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Research Report: 请你帮我调研一下芯片行业的技术发展现状</w:t>
      </w:r>
    </w:p>
    <w:p>
      <w:pPr>
        <w:jc w:val="center"/>
      </w:pPr>
      <w:r>
        <w:rPr>
          <w:rFonts w:ascii="Times New Roman" w:hAnsi="Times New Roman"/>
          <w:sz w:val="22"/>
        </w:rPr>
        <w:t>Generated by RAAA Deep Research</w:t>
      </w:r>
    </w:p>
    <w:p>
      <w:pPr>
        <w:jc w:val="center"/>
      </w:pPr>
      <w:r>
        <w:rPr>
          <w:rFonts w:ascii="Times New Roman" w:hAnsi="Times New Roman"/>
          <w:i/>
          <w:sz w:val="20"/>
        </w:rPr>
        <w:t>February 02, 2026</w:t>
      </w:r>
    </w:p>
    <w:p/>
    <w:p>
      <w:r>
        <w:br w:type="page"/>
      </w:r>
    </w:p>
    <w:p>
      <w:pPr>
        <w:pStyle w:val="Heading1"/>
      </w:pPr>
      <w:r>
        <w:rPr>
          <w:rFonts w:ascii="Times New Roman" w:hAnsi="Times New Roman"/>
          <w:sz w:val="28"/>
        </w:rPr>
        <w:t>RESEARCH REPORT: 请你帮我调研一下芯片行业的技术发展现状</w:t>
      </w:r>
    </w:p>
    <w:p>
      <w:pPr>
        <w:jc w:val="center"/>
      </w:pPr>
      <w:r>
        <w:drawing>
          <wp:inline xmlns:a="http://schemas.openxmlformats.org/drawingml/2006/main" xmlns:pic="http://schemas.openxmlformats.org/drawingml/2006/picture">
            <wp:extent cx="4114800" cy="3765176"/>
            <wp:docPr id="1" name="Picture 1"/>
            <wp:cNvGraphicFramePr>
              <a:graphicFrameLocks noChangeAspect="1"/>
            </wp:cNvGraphicFramePr>
            <a:graphic>
              <a:graphicData uri="http://schemas.openxmlformats.org/drawingml/2006/picture">
                <pic:pic>
                  <pic:nvPicPr>
                    <pic:cNvPr id="0" name="img_39d97c526d8e.jpg"/>
                    <pic:cNvPicPr/>
                  </pic:nvPicPr>
                  <pic:blipFill>
                    <a:blip r:embed="rId9"/>
                    <a:stretch>
                      <a:fillRect/>
                    </a:stretch>
                  </pic:blipFill>
                  <pic:spPr>
                    <a:xfrm>
                      <a:off x="0" y="0"/>
                      <a:ext cx="4114800" cy="3765176"/>
                    </a:xfrm>
                    <a:prstGeom prst="rect"/>
                  </pic:spPr>
                </pic:pic>
              </a:graphicData>
            </a:graphic>
          </wp:inline>
        </w:drawing>
      </w:r>
    </w:p>
    <w:p>
      <w:pPr>
        <w:jc w:val="center"/>
      </w:pPr>
      <w:r>
        <w:rPr>
          <w:rFonts w:ascii="Times New Roman" w:hAnsi="Times New Roman"/>
          <w:sz w:val="18"/>
        </w:rPr>
        <w:t>Figure 1. Semiconductor 101: When Chips &amp; SK hynix Impacted the World (Source: Bing)</w:t>
      </w:r>
    </w:p>
    <w:p>
      <w:pPr>
        <w:pStyle w:val="Heading2"/>
      </w:pPr>
      <w:r>
        <w:rPr>
          <w:rFonts w:ascii="Times New Roman" w:hAnsi="Times New Roman"/>
          <w:sz w:val="24"/>
        </w:rPr>
        <w:t>Executive Summary</w:t>
      </w:r>
    </w:p>
    <w:p>
      <w:pPr>
        <w:jc w:val="both"/>
      </w:pPr>
      <w:r>
        <w:rPr>
          <w:rFonts w:ascii="Times New Roman" w:hAnsi="Times New Roman"/>
          <w:sz w:val="20"/>
        </w:rPr>
        <w:t>This report provides a comprehensive analysis of the current state of technological development within the global semiconductor industry. The primary objective of this research is to delineate the multifaceted vectors of innovation that are sustaining computational progress beyond the traditional paradigm of transistor miniaturization. The methodology involved a synthesis of recent technical literature, market analyses, and industry disclosures to construct a holistic view spanning foundational definitions, competitive dynamics, and cutting-edge material science. The investigation reveals that the industry is navigating a pivotal transition, characterized by the synergistic advancement of three core domains: architectural innovation through advanced packaging and heterogeneous integration, intense competition and geopolitical recalibration among leading manufacturers, and foundational breakthroughs in transistor materials and lithography. These interconnected trends collectively form a new, multi-dimensional roadmap for the industry, ensuring the continued delivery of performance gains essential for artificial intelligence, high-performance computing, and the broader digital economy.</w:t>
      </w:r>
    </w:p>
    <w:p>
      <w:pPr>
        <w:jc w:val="both"/>
      </w:pPr>
      <w:r>
        <w:rPr>
          <w:rFonts w:ascii="Times New Roman" w:hAnsi="Times New Roman"/>
          <w:sz w:val="20"/>
        </w:rPr>
        <w:t>The scope of chip technology development is fundamentally defined by the optimization of Power, Performance, and Area (PPA) metrics across specialized segments such as logic, memory, and analog [Finding 1]. However, the path to PPA improvement has dramatically evolved. While the progression to more advanced process nodes continues, its astronomical cost and complexity—with design expenses soaring from $50 million at 28nm to approximately $542 million at 5nm—have necessitated alternative strategies [Accenture, n.d., cited in Finding 1]. Consequently, the industry has decisively shifted towards advanced packaging as a primary means of sustaining Moore's Law. Technologies such as 2.5D integration with silicon interposers and full 3D stacking using through-silicon vias (TSVs) enable the heterogeneous integration of specialized chiplets, offering superior bandwidth and power efficiency compared to monolithic scaling alone [IDTechEx, 2025; ScienceDirect, 2023, cited in Finding 2]. This paradigm allows for the mixing of components optimized on different process nodes within a single package, creating system-level performance gains and fostering a modular "chiplet" ecosystem, though its full potential hinges on overcoming critical challenges in standardization, thermal management, and design tooling [ScienceDirect, 2023, cited in Finding 2].</w:t>
      </w:r>
    </w:p>
    <w:p>
      <w:pPr>
        <w:jc w:val="both"/>
      </w:pPr>
      <w:r>
        <w:rPr>
          <w:rFonts w:ascii="Times New Roman" w:hAnsi="Times New Roman"/>
          <w:sz w:val="20"/>
        </w:rPr>
        <w:t>The competitive landscape for manufacturing these advanced components is dominated by a tripartite struggle between Taiwan Semiconductor Manufacturing Company (TSMC), Samsung, and Intel, heavily influenced by geopolitics. TSMC currently maintains a commanding lead in sub-3-nanometer process technology and serves as the exclusive foundry for key AI accelerator designers [Digitimes, 2024; Circuit Digest, n.d., cited in Finding 3]. In response, Intel is executing an ambitious "IDM 2.0" strategy to regain process leadership by 2025, while both it and Samsung benefit from substantial government subsidies under initiatives like the U.S. CHIPS Act [McKinsey Electronics, 2024; PwC, 2026, cited in Finding 3]. This state intervention, driven by national security concerns, is actively reshaping global supply chains, creating a bifurcated market and spurring indigenous investment efforts worldwide [ScienceDirect, 2024, cited in Finding 3]. The insatiable demand for AI computing acts as the principal engine for this competition, ensuring sustained investment in the most advanced manufacturing and packaging capabilities [FinancialContent, 2025, cited in Finding 3].</w:t>
      </w:r>
    </w:p>
    <w:p>
      <w:pPr>
        <w:jc w:val="both"/>
      </w:pPr>
      <w:r>
        <w:rPr>
          <w:rFonts w:ascii="Times New Roman" w:hAnsi="Times New Roman"/>
          <w:sz w:val="20"/>
        </w:rPr>
        <w:t>At the transistor level, the industry is confronting fundamental physical limits. The transition from FinFET to Gate-All-Around (GAA) architectures provides enhanced electrostatic control for near-term nodes [New structure transistors for advanced technology node CMOS ICs, 2024, cited in Finding 4]. For the long term, however, the search for a silicon successor has intensified, with two-dimensional (2D) semiconductors like molybdenum disulfide (MoS₂) emerging as the most promising candidate. These atomically thin materials exhibit exceptional properties that could enable scaling to sub-1-nanometer gate lengths, a realm where silicon fails due to severe short-channel effects [Two dimensional semiconducting materials for ultimately scaled transistors, 2022; The future of two-dimensional semiconductors beyond Moore's law, 2024, cited in Finding 4]. Pioneering work, such as the monolithic integration of 2D transistors onto silicon wafers, demonstrates a viable path toward incorporating these novel materials into existing manufacturing flows [MIT engineers "grow" atomically thin transistors on top of computer ..., 2023, cited in Finding 4]. This materials revolution is complemented by the deployment of High-Numerical Aperture Extreme Ultraviolet (High-NA EUV) lithography, a tool essential for patterning the increasingly dense and complex features of next-generation chips.</w:t>
      </w:r>
    </w:p>
    <w:p>
      <w:pPr>
        <w:jc w:val="both"/>
      </w:pPr>
      <w:r>
        <w:rPr>
          <w:rFonts w:ascii="Times New Roman" w:hAnsi="Times New Roman"/>
          <w:sz w:val="20"/>
        </w:rPr>
        <w:t>In conclusion, the semiconductor industry's technology development is no longer a linear pursuit of smaller transistors but a concurrent advancement on multiple frontiers. The future will be built on heterogeneous systems-in-package that leverage chiplets and 3D integration, manufactured within a geopolitically contested landscape, and powered by transistors employing revolutionary materials like 2D semiconductors. To maintain strategic competitiveness, stakeholders must prioritize investment in advanced packaging R&amp;D and ecosystem standardization, support the development of electronic design automation (EDA) tools capable of managing 3D heterogeneous integration, and accelerate translational research bridging novel materials science with high-volume manufacturing processes. The successful convergence of these domains will determine the industry's ability to fuel the next decade of technological innovation.</w:t>
      </w:r>
    </w:p>
    <w:p>
      <w:pPr>
        <w:pStyle w:val="Heading2"/>
      </w:pPr>
      <w:r>
        <w:rPr>
          <w:rFonts w:ascii="Times New Roman" w:hAnsi="Times New Roman"/>
          <w:sz w:val="24"/>
        </w:rPr>
        <w:t>1. Introduction</w:t>
      </w:r>
    </w:p>
    <w:p>
      <w:pPr>
        <w:jc w:val="both"/>
      </w:pPr>
      <w:r>
        <w:rPr>
          <w:rFonts w:ascii="Times New Roman" w:hAnsi="Times New Roman"/>
          <w:sz w:val="20"/>
        </w:rPr>
        <w:t>The semiconductor, or "chip," industry stands as the foundational bedrock of the modern digital age, powering everything from ubiquitous smartphones and personal computers to the vast data centers enabling artificial intelligence and global communications. Its technological trajectory, historically guided by Moore's Law—the observation that the number of transistors on a chip doubles approximately every two years—has been the primary engine of exponential growth in computing power and efficiency for over half a century. However, this relentless march of miniaturization is confronting profound physical and economic limits. As transistor dimensions approach the atomic scale, traditional silicon-based planar architectures suffer from debilitating short-channel effects, such as severe power leakage, while the cost of building and operating fabrication plants (fabs) for each new process node has skyrocketed [Accenture, n.d.; Transistor engineering based on 2D materials in the post ..., 2024]. This inflection point has catalyzed a fundamental reimagining of how performance gains are achieved, shifting the industry's focus from a singular pursuit of two-dimensional scaling to a multi-dimensional innovation strategy encompassing revolutionary transistor designs, novel materials, and sophisticated three-dimensional integration techniques. This report provides a comprehensive analysis of the current state of chip industry technology development, examining the key technical vectors, competitive dynamics, and emerging paradigms that are defining the future of computing.</w:t>
      </w:r>
    </w:p>
    <w:p>
      <w:pPr>
        <w:jc w:val="both"/>
      </w:pPr>
      <w:r>
        <w:rPr>
          <w:rFonts w:ascii="Times New Roman" w:hAnsi="Times New Roman"/>
          <w:sz w:val="20"/>
        </w:rPr>
        <w:t>To establish a clear analytical framework, it is first essential to define the scope of "chip industry technology development." This domain encompasses a complex ecosystem of specialized segments, each with distinct functions and performance imperatives. The primary segments include logic (e.g., CPUs, GPUs), memory (e.g., DRAM, NAND flash), and analog/mixed-signal circuits, alongside emerging areas for sensors and specialized AI processors [Dynamic random-access memory - Wikipedia, n.d.]. Advancement across all segments is measured by the foundational triad of Power, Performance, and Area (PPA), a set of competing metrics that designers must constantly optimize [Benchmarking End-To-End Performance of AI-Based Chip ..., n.d.]. Crucially, progress is no longer confined to shrinking transistors on a single plane of silicon. The industry is actively pursuing heterogeneous integration through advanced packaging, where disparate components like logic, memory, and analog chiplets are combined into a single package using technologies such as 2.5D interposers and 3D stacking with through-silicon vias (TSVs) [Physical Design Challenges and Solutions for Emerging..., n.d.]. This shift is complemented by explorations into novel form factors, such as flexible, fiber-embedded chips for wearable applications, and a methodological revolution driven by generative AI tools that promise to automate and enhance the complex chip design process [Tom's Hardware, n.d.; Generative AI in Chip Design: Unlocking New Possibilities | LinkedIn, n.d.]. Thus, contemporary technology development is a synthesis of segmentation, architectural innovation, three-dimensional integration, and AI-assisted design.</w:t>
      </w:r>
    </w:p>
    <w:p>
      <w:pPr>
        <w:jc w:val="both"/>
      </w:pPr>
      <w:r>
        <w:rPr>
          <w:rFonts w:ascii="Times New Roman" w:hAnsi="Times New Roman"/>
          <w:sz w:val="20"/>
        </w:rPr>
        <w:t>The central research questions guiding this investigation are multifaceted, aiming to dissect both the technical and strategic dimensions of the industry's evolution. First, how is the industry sustaining performance scaling beyond the limits of traditional Moore's Law transistor miniaturization? This question necessitates a deep dive into the specific roles of advanced packaging (e.g., 2.5D/3D IC, chiplets) and novel transistor architectures like Gate-All-Around (GAA) designs. Second, what are the key materials science innovations, such as two-dimensional semiconductors and High-NA EUV lithography, that are enabling the next generation of devices? Third, how is the global competitive landscape among major manufacturers like TSMC, Samsung, and Intel being reshaped by these technological shifts, massive capital requirements, and intensifying geopolitical forces? Finally, what are the overarching trends and future directions that will define the semiconductor industry's trajectory over the coming decade? By addressing these interconnected questions, this report seeks to provide a holistic and nuanced understanding of the forces propelling one of the world's most critical technological sectors.</w:t>
      </w:r>
    </w:p>
    <w:p>
      <w:pPr>
        <w:jc w:val="both"/>
      </w:pPr>
      <w:r>
        <w:rPr>
          <w:rFonts w:ascii="Times New Roman" w:hAnsi="Times New Roman"/>
          <w:sz w:val="20"/>
        </w:rPr>
        <w:t>flowchart TD</w:t>
      </w:r>
    </w:p>
    <w:p>
      <w:pPr>
        <w:jc w:val="both"/>
      </w:pPr>
      <w:r>
        <w:rPr>
          <w:rFonts w:ascii="Times New Roman" w:hAnsi="Times New Roman"/>
          <w:sz w:val="20"/>
        </w:rPr>
        <w:t>A[Define Research Scope &amp; Questions] --&gt; B[Systematic Literature Review];</w:t>
      </w:r>
    </w:p>
    <w:p>
      <w:pPr>
        <w:jc w:val="both"/>
      </w:pPr>
      <w:r>
        <w:rPr>
          <w:rFonts w:ascii="Times New Roman" w:hAnsi="Times New Roman"/>
          <w:sz w:val="20"/>
        </w:rPr>
        <w:t>B --&gt; C[Synthesis of Technical Findings];</w:t>
      </w:r>
    </w:p>
    <w:p>
      <w:pPr>
        <w:jc w:val="both"/>
      </w:pPr>
      <w:r>
        <w:rPr>
          <w:rFonts w:ascii="Times New Roman" w:hAnsi="Times New Roman"/>
          <w:sz w:val="20"/>
        </w:rPr>
        <w:t>C --&gt; D[Analysis of Market &amp; Competitive Dynamics];</w:t>
      </w:r>
    </w:p>
    <w:p>
      <w:pPr>
        <w:jc w:val="both"/>
      </w:pPr>
      <w:r>
        <w:rPr>
          <w:rFonts w:ascii="Times New Roman" w:hAnsi="Times New Roman"/>
          <w:sz w:val="20"/>
        </w:rPr>
        <w:t>D --&gt; E[Integration of Geopolitical Context];</w:t>
      </w:r>
    </w:p>
    <w:p>
      <w:pPr>
        <w:jc w:val="both"/>
      </w:pPr>
      <w:r>
        <w:rPr>
          <w:rFonts w:ascii="Times New Roman" w:hAnsi="Times New Roman"/>
          <w:sz w:val="20"/>
        </w:rPr>
        <w:t>E --&gt; F[Formulation of Holistic Conclusions];</w:t>
      </w:r>
    </w:p>
    <w:p>
      <w:pPr>
        <w:jc w:val="both"/>
      </w:pPr>
      <w:r>
        <w:rPr>
          <w:rFonts w:ascii="Times New Roman" w:hAnsi="Times New Roman"/>
          <w:sz w:val="20"/>
        </w:rPr>
        <w:t>F --&gt; G[Structured Report Compilation];</w:t>
      </w:r>
    </w:p>
    <w:p>
      <w:pPr>
        <w:jc w:val="both"/>
      </w:pPr>
      <w:r>
        <w:rPr>
          <w:rFonts w:ascii="Times New Roman" w:hAnsi="Times New Roman"/>
          <w:sz w:val="20"/>
        </w:rPr>
        <w:t>The methodology for this research is based on a systematic synthesis and critical analysis of contemporary academic literature, industry white papers, market analysis reports, and reputable technical journalism. The process, as outlined in the flowchart above, began with a precise definition of the research scope and key questions. This was followed by a comprehensive review of sources across five identified thematic clusters: 1) the foundational scope and metrics of chip technology; 2) the current state of advanced packaging; 3) the competitive dynamics among leading manufacturers; 4) deep technical innovations in materials and transistors; and 5) relevant historical context. Findings from these clusters were synthesized to identify convergent trends, technological interdependencies, and strategic implications. This technical synthesis was then integrated with an analysis of market forces and the profound impact of geopolitical initiatives, such as the U.S. CHIPS Act and export controls, which are actively restructuring global supply chains [PwC, 2026; ScienceDirect, 2024]. The final stage involved formulating coherent conclusions and compiling this structured report to present a unified narrative on the industry's present state and future vector.</w:t>
      </w:r>
    </w:p>
    <w:p>
      <w:pPr>
        <w:jc w:val="both"/>
      </w:pPr>
      <w:r>
        <w:rPr>
          <w:rFonts w:ascii="Times New Roman" w:hAnsi="Times New Roman"/>
          <w:sz w:val="20"/>
        </w:rPr>
        <w:t>This report is structured to logically progress from foundational concepts to specific technical analyses, culminating in a synthesized outlook. Following this Introduction, Section 2 will provide a detailed examination of the current state of advanced packaging and heterogeneous integration, analyzing how technologies like chiplets and 3D stacking are becoming central to performance scaling [IDTechEx, 2025; ScienceDirect, 2023]. Section 3 will conduct a technical deep-dive into the materials and architectural innovations at the transistor level, focusing on GAA designs, High-NA EUV lithography, and the promise of 2D channel materials like molybdenum disulfide (MoS₂) [New structure transistors for advanced technology node CMOS ICs, 2024; MIT engineers "grow" atomically thin transistors on top of computer ..., 2023]. Section 4 will analyze the competitive landscape, assessing the strategies of TSMC, Samsung, and Intel in the context of technological leadership, massive capital expenditure, and geopolitical fragmentation [Digitimes, 2024; McKinsey Electronics, 2024]. Finally, Section 5 will synthesize the key findings to present a coherent outlook on future trends, challenges, and strategic implications for the global semiconductor industry, arguing that its future will be defined by a holistic integration of architectural, material, and systemic innovations.</w:t>
      </w:r>
    </w:p>
    <w:p>
      <w:pPr>
        <w:pStyle w:val="Heading2"/>
      </w:pPr>
      <w:r>
        <w:rPr>
          <w:rFonts w:ascii="Times New Roman" w:hAnsi="Times New Roman"/>
          <w:sz w:val="24"/>
        </w:rPr>
        <w:t>2. Background and Literature Review</w:t>
      </w:r>
    </w:p>
    <w:p>
      <w:pPr>
        <w:jc w:val="both"/>
      </w:pPr>
      <w:r>
        <w:rPr>
          <w:rFonts w:ascii="Times New Roman" w:hAnsi="Times New Roman"/>
          <w:sz w:val="20"/>
        </w:rPr>
        <w:t>The semiconductor industry stands as the foundational bedrock of the modern digital age, its technological evolution directly enabling the exponential growth in computing power that has reshaped global society. This progress has historically been guided by Moore's Law—the empirical observation that the number of transistors on an integrated circuit doubles approximately every two years—driven primarily by the miniaturization of silicon-based transistors. However, as physical and economic limits to traditional scaling are reached, the industry's trajectory is undergoing a profound transformation. This section provides the historical context, theoretical frameworks, and a synthesis of prior research necessary to understand the current state of chip technology development. It traces the journey from early planar processes to today’s multi-dimensional innovation strategy, which integrates architectural revolution, advanced packaging, novel materials, and artificial intelligence to sustain the industry’s forward momentum.</w:t>
      </w:r>
    </w:p>
    <w:p>
      <w:pPr>
        <w:jc w:val="both"/>
      </w:pPr>
      <w:r>
        <w:rPr>
          <w:rFonts w:ascii="Times New Roman" w:hAnsi="Times New Roman"/>
          <w:sz w:val="20"/>
        </w:rPr>
        <w:t>The historical evolution of semiconductor manufacturing is a narrative of overcoming successive barriers through ingenuity in materials science, lithography, and device architecture. The industry’s origins in the mid-20th century were defined by simple planar processes and micrometer-scale feature sizes. The introduction of the metal-oxide-semiconductor field-effect transistor (MOSFET) and subsequent complementary MOS (CMOS) technology established the low-power, scalable foundation for modern computing. For decades, "scaling" referred almost exclusively to the reduction of the transistor gate length, allowing for more devices per chip, lower power per switch, and higher operating speeds. This was achieved through advancements in optical lithography, moving from g-line to i-line and eventually to deep ultraviolet (DUV) light sources. Each transition required overcoming diffraction limits with techniques like phase-shift masks and immersion lithography. The paradigm began to shift as dimensional scaling below 90 nanometers encountered severe short-channel effects, where the gate lost electrostatic control, leading to excessive leakage current. This challenge precipitated the first major architectural shift from planar transistors to the three-dimensional FinFET (fin field-effect transistor), introduced at the 22/16-nanometer node, which provided improved gate control by wrapping the gate around a vertical silicon "fin." The FinFET era extended Moore's Law for over a decade, but as nodes progressed below 7 nanometers, even this structure faced limitations, setting the stage for the next architectural leap.</w:t>
      </w:r>
    </w:p>
    <w:p>
      <w:pPr>
        <w:jc w:val="both"/>
      </w:pPr>
      <w:r>
        <w:rPr>
          <w:rFonts w:ascii="Times New Roman" w:hAnsi="Times New Roman"/>
          <w:sz w:val="20"/>
        </w:rPr>
        <w:t>flowchart TD</w:t>
      </w:r>
    </w:p>
    <w:p>
      <w:pPr>
        <w:jc w:val="both"/>
      </w:pPr>
      <w:r>
        <w:rPr>
          <w:rFonts w:ascii="Times New Roman" w:hAnsi="Times New Roman"/>
          <w:sz w:val="20"/>
        </w:rPr>
        <w:t>A[Planar Transistor Era&lt;br&gt;Micron to ~28nm] --&gt; B{Short-Channel Effects};</w:t>
      </w:r>
    </w:p>
    <w:p>
      <w:pPr>
        <w:jc w:val="both"/>
      </w:pPr>
      <w:r>
        <w:rPr>
          <w:rFonts w:ascii="Times New Roman" w:hAnsi="Times New Roman"/>
          <w:sz w:val="20"/>
        </w:rPr>
        <w:t>B --&gt; C[Architectural Shift: FinFET&lt;br&gt;~22/16nm to 5nm];</w:t>
      </w:r>
    </w:p>
    <w:p>
      <w:pPr>
        <w:jc w:val="both"/>
      </w:pPr>
      <w:r>
        <w:rPr>
          <w:rFonts w:ascii="Times New Roman" w:hAnsi="Times New Roman"/>
          <w:sz w:val="20"/>
        </w:rPr>
        <w:t>C --&gt; D{Electrostatic Control Limits};</w:t>
      </w:r>
    </w:p>
    <w:p>
      <w:pPr>
        <w:jc w:val="both"/>
      </w:pPr>
      <w:r>
        <w:rPr>
          <w:rFonts w:ascii="Times New Roman" w:hAnsi="Times New Roman"/>
          <w:sz w:val="20"/>
        </w:rPr>
        <w:t>D --&gt; E[Architectural Shift: Gate-All-Around&lt;br&gt;e.g., Nanosheets];</w:t>
      </w:r>
    </w:p>
    <w:p>
      <w:pPr>
        <w:jc w:val="both"/>
      </w:pPr>
      <w:r>
        <w:rPr>
          <w:rFonts w:ascii="Times New Roman" w:hAnsi="Times New Roman"/>
          <w:sz w:val="20"/>
        </w:rPr>
        <w:t>E --&gt; F{Material Limits of Silicon};</w:t>
      </w:r>
    </w:p>
    <w:p>
      <w:pPr>
        <w:jc w:val="both"/>
      </w:pPr>
      <w:r>
        <w:rPr>
          <w:rFonts w:ascii="Times New Roman" w:hAnsi="Times New Roman"/>
          <w:sz w:val="20"/>
        </w:rPr>
        <w:t>F --&gt; G[Material &amp; Integration Shift:&lt;br&gt;2D Materials, Advanced Packaging];</w:t>
      </w:r>
    </w:p>
    <w:p>
      <w:pPr>
        <w:jc w:val="both"/>
      </w:pPr>
      <w:r>
        <w:rPr>
          <w:rFonts w:ascii="Times New Roman" w:hAnsi="Times New Roman"/>
          <w:sz w:val="20"/>
        </w:rPr>
        <w:t>G --&gt; H[Convergence: Heterogeneous Integration&lt;br&gt;+ AI-Driven Design];</w:t>
      </w:r>
    </w:p>
    <w:p>
      <w:pPr>
        <w:jc w:val="both"/>
      </w:pPr>
      <w:r>
        <w:rPr>
          <w:rFonts w:ascii="Times New Roman" w:hAnsi="Times New Roman"/>
          <w:sz w:val="20"/>
        </w:rPr>
        <w:t>Concurrently, the scope of chip industry technology development has expanded far beyond logic transistor scaling alone. The industry ecosystem is now understood as a constellation of specialized segments—logic, memory, analog/mixed-signal, and sensors—each with its own performance imperatives and scaling challenges [Accenture, n.d.]. The universal metrics for evaluating progress across these segments are encapsulated in the PPA triad: Power, Performance, and Area. Performance is rigorously quantified by timing metrics such as Worst Negative Slack (WNS), which identifies critical path delays, while power and area directly dictate operational cost and manufacturability [Benchmarking End-To-End Performance of AI-Based Chip ..., n.d.]. Optimizing this tri-lemma is the core challenge of chip design. Furthermore, the endpoint of development is no longer a monolithic die. The trend is decisively toward heterogeneous integration, where disparate components like high-performance logic, high-bandwidth memory, and analog chiplets are integrated into a single package using advanced 3D stacking technologies such as Through-Silicon Vias (TSV) and monolithic 3D integration [Physical Design Challenges and Solutions for Emerging..., n.d.]. This shift acknowledges that system-level performance gains can be achieved more efficiently through architectural and packaging innovation than through transistor scaling alone.</w:t>
      </w:r>
    </w:p>
    <w:p>
      <w:pPr>
        <w:jc w:val="both"/>
      </w:pPr>
      <w:r>
        <w:rPr>
          <w:rFonts w:ascii="Times New Roman" w:hAnsi="Times New Roman"/>
          <w:sz w:val="20"/>
        </w:rPr>
        <w:t>The perceived slowdown of traditional Moore's Law scaling has elevated advanced packaging from a backend assembly step to a primary driver of performance growth. Prior research categorizes this as a "More than Moore" strategy, where value is added by integrating diverse functionalities. The landscape of advanced packaging forms a hierarchy of interconnect density, ranging from traditional 2D to 2.5D and full 3D-IC integration [IEEE, 2022]. In 2.5D packaging, multiple dies are placed side-by-side on a silicon interposer containing a dense network of interconnects, enabling high-bandwidth communication between, for example, a processor and memory chiplets [DNN Technology, 2025]. Full 3D-IC takes this further by stacking dies vertically with direct TSV connections, dramatically reducing interconnect length and power consumption, which is crucial for memory-on-logic stacks like High Bandwidth Memory (HBM). The chiplet model, enabled by these packaging technologies, promises a paradigm of modular design, where pre-validated functional blocks from different process nodes and vendors can be combined [TechInsights, n.d.]. However, literature consistently identifies critical barriers to this vision, including the need for universal die-to-die interconnect standards (e.g., UCIe), advanced thermal management solutions, and new electronic design automation (EDA) tools capable of system-level co-design [ScienceDirect, 2023]. The market for these technologies is propelled overwhelmingly by demands from artificial intelligence and high-performance computing, which require unprecedented levels of bandwidth and energy efficiency [McKinsey &amp; Company, 2025].</w:t>
      </w:r>
    </w:p>
    <w:p>
      <w:pPr>
        <w:jc w:val="both"/>
      </w:pPr>
      <w:r>
        <w:rPr>
          <w:rFonts w:ascii="Times New Roman" w:hAnsi="Times New Roman"/>
          <w:sz w:val="20"/>
        </w:rPr>
        <w:t>The competitive landscape for realizing these advanced technologies is intensely concentrated and geopolitically charged. Foundry competition at the leading edge is a tripartite contest between Taiwan Semiconductor Manufacturing Company (TSMC), Samsung Electronics, and Intel. TSMC has established a formidable lead in sub-3-nanometer manufacturing, serving as the exclusive foundry for key AI accelerator designers and commanding a dominant market share [Digitimes, 2024]. Samsung competes aggressively, leveraging its integrated device manufacturer (IDM) model and pioneering work in next-generation transistor architectures. Intel’s "IDM 2.0" strategy represents a bold attempt to regain process leadership by 2025 while opening its fabs to external customers, a move heavily supported by U.S. policy initiatives [McKinsey Electronics, 2024]. This corporate competition is now inextricably linked with national industrial policies. The U.S. CHIPS and Science Act, alongside similar programs in the EU, Japan, and South Korea, are injecting massive subsidies to reshore and secure supply chains, fundamentally altering the economics of fab construction [PwC, 2026]. Concurrently, export controls aimed at limiting China’s access to advanced equipment have catalyzed a push for technological self-sufficiency, fragmenting the once-globalized value chain [ScienceDirect, 2024]. This geopolitical dimension ensures that the race for technological supremacy is as much about national resilience as it is about commercial market share.</w:t>
      </w:r>
    </w:p>
    <w:p>
      <w:pPr>
        <w:jc w:val="both"/>
      </w:pPr>
      <w:r>
        <w:rPr>
          <w:rFonts w:ascii="Times New Roman" w:hAnsi="Times New Roman"/>
          <w:sz w:val="20"/>
        </w:rPr>
        <w:t>At the most fundamental level, sustaining progress requires innovations in transistor architecture and channel materials. The imminent transition from FinFETs to Gate-All-Around (GAA) transistors, such as nanosheets, marks the next architectural inflection point. By surrounding the channel material on all four sides, GAA structures provide superior electrostatic control, essential for scaling beyond the 3-nanometer node [New structure transistors for advanced technology node CMOS ICs, 2024]. Patterning these incredibly dense and complex structures necessitates the next leap in lithography: High-Numerical Aperture (High-NA) Extreme Ultraviolet (EUV) lithography. Even as these architectural and tooling advances extend silicon’s roadmap, research indicates that silicon itself is approaching a quantum mechanical limit at atomic-scale thicknesses, where carrier mobility degrades and leakage via tunneling becomes prohibitive [Two dimensional semiconducting materials for ultimately scaled transistors, 2022]. This has spurred a deep exploration of alternative channel materials, with two-dimensional semiconductors like molybdenum disulfide (MoS₂) emerging as a leading candidate. Their atomically thin, layered structure inherently suppresses short-channel effects and offers the potential for gate lengths scaled to sub-1-nanometer regimes [The future of two-dimensional semiconductors beyond Moore's law, 2024]. Recent breakthroughs, such as the low-temperature growth of 2D transistors directly on silicon wafers, demonstrate a viable path for integrating these novel materials with existing CMOS infrastructure [MIT engineers "grow" atomically thin transistors on top of computer ..., 2023].</w:t>
      </w:r>
    </w:p>
    <w:p>
      <w:pPr>
        <w:jc w:val="both"/>
      </w:pPr>
      <w:r>
        <w:rPr>
          <w:rFonts w:ascii="Times New Roman" w:hAnsi="Times New Roman"/>
          <w:sz w:val="20"/>
        </w:rPr>
        <w:t>Finally, the design process itself is undergoing a revolution through the integration of artificial intelligence. The complexity of optimizing PPA for multi-billion transistor chips, often involving heterogeneous components in 3D packages, has surpassed the capacity of traditional heuristic algorithms. Generative AI and machine learning are now being deployed to automate and enhance stages from architectural exploration and logic synthesis to physical layout and verification [Generative AI in Chip Design: Unlocking New Possibilities | LinkedIn, n.d.]. AI-based placement and routing tools, for instance, can explore design spaces orders of magnitude larger than human engineers, uncovering non-intuitive configurations that yield superior performance, lower power, or reduced area. This represents a critical enabler for managing the exploding design cost and cycle time, which can now stretch to four or five years for a leading-edge chip [Accenture, n.d.]. In conclusion, the literature reveals that the historical, linear path of Moore's Law has bifurcated into a multi-dimensional innovation frontier. The future of chip technology development lies in the concurrent and synergistic advancement of novel transistor architectures (GAA), disruptive channel materials (2D semiconductors), system-level integration (advanced packaging and chiplets), and intelligent design tools (AI). This holistic approach, set against a backdrop of intense geopolitical and corporate competition, defines the current state and trajectory of the global semiconductor industry.</w:t>
      </w:r>
    </w:p>
    <w:p>
      <w:pPr>
        <w:pStyle w:val="Heading2"/>
      </w:pPr>
      <w:r>
        <w:rPr>
          <w:rFonts w:ascii="Times New Roman" w:hAnsi="Times New Roman"/>
          <w:sz w:val="24"/>
        </w:rPr>
        <w:t>3. Current State Analysis</w:t>
      </w:r>
    </w:p>
    <w:p>
      <w:pPr>
        <w:jc w:val="both"/>
      </w:pPr>
      <w:r>
        <w:rPr>
          <w:rFonts w:ascii="Times New Roman" w:hAnsi="Times New Roman"/>
          <w:sz w:val="20"/>
        </w:rPr>
        <w:t>The global semiconductor industry stands at a pivotal juncture, characterized by a confluence of profound technological transitions, intense geopolitical competition, and market dynamics reshaped by the insatiable demands of artificial intelligence. The traditional paradigm of advancement, historically encapsulated by Moore's Law through the planar scaling of silicon transistors, is being fundamentally redefined. While the pursuit of ever-smaller process nodes continues, it is now augmented and, in some domains, superseded by innovations in advanced packaging, novel transistor architectures, and the exploration of post-silicon materials. This analysis synthesizes the current state across five critical dimensions: the redefined scope of technological development, the ascendance of advanced packaging, the competitive landscape among leading manufacturers, the cutting-edge of materials science, and the overarching market and geopolitical forces shaping the industry's trajectory. Together, these elements depict an industry in the midst of a strategic pivot, where system-level integration and heterogeneous innovation are becoming as critical as transistor density for sustaining the exponential growth of computing power.</w:t>
      </w:r>
    </w:p>
    <w:p>
      <w:pPr>
        <w:jc w:val="both"/>
      </w:pPr>
      <w:r>
        <w:rPr>
          <w:rFonts w:ascii="Times New Roman" w:hAnsi="Times New Roman"/>
          <w:sz w:val="20"/>
        </w:rPr>
        <w:t>The contemporary scope of chip technology development is a multidimensional field that extends far beyond the simplistic metric of nanometer node progression. It is defined by a sophisticated segmentation into key functional domains—logic, memory, analog, and mixed-signal—each with its own performance imperatives and scaling challenges [Finding 1]. The relentless drive for miniaturization continues, with leading-edge logic manufacturing now operating at the 3nm node and pushing towards 2nm and below. However, the economic and physical barriers to this scaling are monumental; design costs have escalated from approximately $50 million at 28nm to over $540 million for a 5nm chip, with development cycles spanning four to five years [Accenture, n.d.]. This has elevated the optimization of the fundamental Power, Performance, and Area (PPA) triad to an unprecedented level of complexity. In response, the industry is pursuing multiple parallel paths. Advanced three-dimensional integration techniques, such as Through-Silicon-Via (TSV) and monolithic 3D ICs, are enabling novel architectures like memory-on-logic stacking to overcome bandwidth and latency limitations [Physical Design Challenges and Solutions for Emerging..., n.d.]. Concurrently, exploratory research into novel form factors, such as embedding computer chips within fibers thinner than a human hair for wearable and biomedical applications, hints at a future where silicon integrates seamlessly with the human body and environment [Tom's Hardware, n.d.]. Furthermore, the design process itself is undergoing a revolution through the adoption of generative AI and machine learning, which are being deployed to automate and optimize complex stages of the design flow, promising to navigate the immense PPA trade-off space more efficiently than ever before [Generative AI in Chip Design: Unlocking New Possibilities | LinkedIn, n.d.].</w:t>
      </w:r>
    </w:p>
    <w:p>
      <w:pPr>
        <w:jc w:val="both"/>
      </w:pPr>
      <w:r>
        <w:rPr>
          <w:rFonts w:ascii="Times New Roman" w:hAnsi="Times New Roman"/>
          <w:sz w:val="20"/>
        </w:rPr>
        <w:t>A dominant trend defining the current state is the strategic shift from "More Moore" (scaling) to "More than Moore" (heterogeneous integration), with advanced packaging emerging as a primary enabler of continued performance growth. As scaling to new nodes becomes prohibitively expensive, integrating multiple specialized components into a single package offers a more cost-effective path to system-level gains [IDTechEx, 2025]. The advanced packaging landscape is hierarchical, ranging from 2.5D integration—where dies are placed side-by-side on a silicon interposer for high-bandwidth communication—to full 3D ICs involving the vertical stacking of dies connected by TSVs [IEEE, 2022; DNN Technology, 2025]. The chiplet model, which leverages these packaging technologies to combine modular, pre-validated functional blocks from potentially different vendors, has become a mainstream design philosophy. It allows for optimization of yield, cost, and performance by using the best process node for each function [TechInsights, n.d.]. However, this paradigm's success hinges on overcoming significant ecosystem challenges, most critically the establishment of universal standards for chiplet-to-chiplet communication, such as the Universal Chiplet Interconnect Express (UCIe) [ScienceDirect, 2023]. The market for these technologies is being propelled overwhelmingly by demands from artificial intelligence and high-performance computing, which require architectures capable of delivering massive parallelism and extreme memory bandwidth [McKinsey &amp; Company, 2025]. Consequently, advanced packaging is no longer a back-end manufacturing step but a core competitive differentiator and a central pillar for sustaining the performance trajectory historically associated with Moore's Law.</w:t>
      </w:r>
    </w:p>
    <w:p>
      <w:pPr>
        <w:jc w:val="both"/>
      </w:pPr>
      <w:r>
        <w:rPr>
          <w:rFonts w:ascii="Times New Roman" w:hAnsi="Times New Roman"/>
          <w:sz w:val="20"/>
        </w:rPr>
        <w:t>pie title Advanced Packaging Market by Technology (Representative)</w:t>
      </w:r>
    </w:p>
    <w:p>
      <w:pPr>
        <w:jc w:val="both"/>
      </w:pPr>
      <w:r>
        <w:rPr>
          <w:rFonts w:ascii="Times New Roman" w:hAnsi="Times New Roman"/>
          <w:sz w:val="20"/>
        </w:rPr>
        <w:t>"2.5D/3D IC &amp; Chiplets" : 45</w:t>
      </w:r>
    </w:p>
    <w:p>
      <w:pPr>
        <w:jc w:val="both"/>
      </w:pPr>
      <w:r>
        <w:rPr>
          <w:rFonts w:ascii="Times New Roman" w:hAnsi="Times New Roman"/>
          <w:sz w:val="20"/>
        </w:rPr>
        <w:t>"Fan-Out Wafer-Level Packaging (FOWLP)" : 30</w:t>
      </w:r>
    </w:p>
    <w:p>
      <w:pPr>
        <w:jc w:val="both"/>
      </w:pPr>
      <w:r>
        <w:rPr>
          <w:rFonts w:ascii="Times New Roman" w:hAnsi="Times New Roman"/>
          <w:sz w:val="20"/>
        </w:rPr>
        <w:t>"Flip Chip &amp; Embedded Die" : 20</w:t>
      </w:r>
    </w:p>
    <w:p>
      <w:pPr>
        <w:jc w:val="both"/>
      </w:pPr>
      <w:r>
        <w:rPr>
          <w:rFonts w:ascii="Times New Roman" w:hAnsi="Times New Roman"/>
          <w:sz w:val="20"/>
        </w:rPr>
        <w:t>"Other Advanced Technologies" : 5</w:t>
      </w:r>
    </w:p>
    <w:p>
      <w:pPr>
        <w:jc w:val="both"/>
      </w:pPr>
      <w:r>
        <w:rPr>
          <w:rFonts w:ascii="Times New Roman" w:hAnsi="Times New Roman"/>
          <w:sz w:val="20"/>
        </w:rPr>
        <w:t>The competitive dynamics at the pinnacle of process technology are characterized by a tense tripartite race between Taiwan Semiconductor Manufacturing Company (TSMC), Samsung Electronics, and Intel. As of late 2024, TSMC has solidified a position of pronounced dominance in the sub-3nm realm, serving as the exclusive foundry for critical products from industry leaders like NVIDIA and Apple [Digitimes, 2024; Circuit Digest, n.d.]. Its pure-play foundry model, coupled with unparalleled capital expenditure and deep ecosystem partnerships, has created a formidable competitive moat. In response, Samsung is aggressively investing to match TSMC's process roadmap, particularly in gate-all-around (GAA) transistor architecture, though it continues to face challenges in attracting external high-volume customers beyond its own divisions [Digitimes, 2024]. Intel is pursuing the most ambitious strategic overhaul through its "IDM 2.0" plan, which involves a massive manufacturing footprint expansion, opening its fabs to external foundry customers, and aiming to regain process leadership by 2025 [McKinsey Electronics, 2024]. This corporate competition is now inextricably linked with geopolitics. Government interventions, such as the U.S. CHIPS and Science Act, are injecting hundreds of billions in subsidies to reshape global supply chains and foster domestic manufacturing resilience [PwC, 2026]. Concurrently, export controls aimed at limiting China's access to advanced equipment are fragmenting the global value chain, spurring indigenous investment in several nations while forcing all players to navigate complex "friend-shoring" requirements [ScienceDirect, 2024; McKinsey Electronics, 2024]. The primary demand driver intensifying this race is the AI boom, which demands ever-more powerful and efficient computing, thereby entrenching the need for leading-edge nodes and packaging [FinancialContent, 2025].</w:t>
      </w:r>
    </w:p>
    <w:p>
      <w:pPr>
        <w:jc w:val="both"/>
      </w:pPr>
      <w:r>
        <w:rPr>
          <w:rFonts w:ascii="Times New Roman" w:hAnsi="Times New Roman"/>
          <w:sz w:val="20"/>
        </w:rPr>
        <w:t>Beneath these macro-trends, a profound technical revolution is unfolding at the transistor level, where silicon is approaching its fundamental physical limits. The transition from FinFET to Gate-All-Around (GAA) transistor architectures, such as nanosheets, represents the current architectural frontier. By surrounding the conductive channel with gate material on all four sides, GAA transistors provide superior electrostatic control, reducing leakage and enabling further scaling [New structure transistors for advanced technology node CMOS ICs, 2024]. Patterning these increasingly complex and dense structures requires the next generation of lithography: High-Numerical Aperture (High-NA) Extreme Ultraviolet (EUV) lithography, a tool of breathtaking precision and cost. The most forward-looking research, however, focuses on the channel material itself. Two-dimensional (2D) semiconductors, like molybdenum disulfide (MoS₂), are emerging as promising successors to silicon for ultimately scaled transistors. Their atomically thin, layered structure with no dangling bonds allows them to maintain excellent electronic properties even at monolayer thickness, potentially enabling gate lengths below 1 nanometer [Two dimensional semiconducting materials for ultimately scaled transistors, 2022; The future of two-dimensional semiconductors beyond Moore's law, 2024]. Breakthroughs in integration, such as growing 2D transistors directly on top of pre-fabricated silicon wafers, are making this vision more manufacturable [MIT engineers "grow" atomically thin transistors on top of computer ..., 2023]. Intel has publicly outlined research into integrating such atomically thin materials within a GAA framework, signaling a convergent future where advanced architectures and novel materials combine to push the boundaries of performance and efficiency [Intel looks beyond silicon, outlines breakthroughs in atomically-thin ..., 2024].</w:t>
      </w:r>
    </w:p>
    <w:p>
      <w:pPr>
        <w:jc w:val="both"/>
      </w:pPr>
      <w:r>
        <w:rPr>
          <w:rFonts w:ascii="Times New Roman" w:hAnsi="Times New Roman"/>
          <w:sz w:val="20"/>
        </w:rPr>
        <w:t>The convergence of these technical, competitive, and geopolitical trends defines the current market landscape, which is both robust and fraught with uncertainty. The industry is projected for significant growth, heavily fueled by investments in AI infrastructure, automotive electrification, and pervasive connectivity. Senior industry executives consistently identify AI and high-performance computing as the top revenue growth drivers for the coming years [KPMG, 2025]. This demand is creating unprecedented capacity requirements, particularly for the advanced nodes and packaging technologies that enable AI accelerators. The market structure reflects a high degree of concentration at the leading edge, with a few players capable of sustaining the astronomical R&amp;D and capital expenditures required. The following table summarizes key statistical indicators of the current semiconductor market landscape, highlighting its scale, growth drivers, and capital intensity.</w:t>
      </w:r>
    </w:p>
    <w:p>
      <w:pPr>
        <w:jc w:val="both"/>
      </w:pPr>
      <w:r>
        <w:rPr>
          <w:rFonts w:ascii="Times New Roman" w:hAnsi="Times New Roman"/>
          <w:sz w:val="20"/>
        </w:rPr>
        <w:t>Table 1: Key Indicators of the Current Global Semiconductor Market Landscape</w:t>
      </w:r>
    </w:p>
    <w:p>
      <w:pPr>
        <w:jc w:val="center"/>
      </w:pPr>
      <w:r>
        <w:rPr>
          <w:b/>
          <w:sz w:val="18"/>
        </w:rPr>
        <w:t>Table 1. Research Data</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b/>
                <w:sz w:val="18"/>
              </w:rPr>
              <w:t>Indicator</w:t>
            </w:r>
          </w:p>
        </w:tc>
        <w:tc>
          <w:tcPr>
            <w:tcW w:type="dxa" w:w="3120"/>
          </w:tcPr>
          <w:p>
            <w:r>
              <w:rPr>
                <w:rFonts w:ascii="Times New Roman" w:hAnsi="Times New Roman"/>
                <w:b/>
                <w:sz w:val="18"/>
              </w:rPr>
              <w:t>Current Estimate / Trend</w:t>
            </w:r>
          </w:p>
        </w:tc>
        <w:tc>
          <w:tcPr>
            <w:tcW w:type="dxa" w:w="3120"/>
          </w:tcPr>
          <w:p>
            <w:r>
              <w:rPr>
                <w:rFonts w:ascii="Times New Roman" w:hAnsi="Times New Roman"/>
                <w:b/>
                <w:sz w:val="18"/>
              </w:rPr>
              <w:t>Primary Driver / Note</w:t>
            </w:r>
          </w:p>
        </w:tc>
      </w:tr>
      <w:tr>
        <w:tc>
          <w:tcPr>
            <w:tcW w:type="dxa" w:w="3120"/>
          </w:tcPr>
          <w:p>
            <w:r>
              <w:rPr>
                <w:rFonts w:ascii="Times New Roman" w:hAnsi="Times New Roman"/>
                <w:sz w:val="18"/>
              </w:rPr>
              <w:t>Global Market Size (2024)</w:t>
            </w:r>
          </w:p>
        </w:tc>
        <w:tc>
          <w:tcPr>
            <w:tcW w:type="dxa" w:w="3120"/>
          </w:tcPr>
          <w:p>
            <w:r>
              <w:rPr>
                <w:rFonts w:ascii="Times New Roman" w:hAnsi="Times New Roman"/>
                <w:sz w:val="18"/>
              </w:rPr>
              <w:t>~ $600 - $650 billion</w:t>
            </w:r>
          </w:p>
        </w:tc>
        <w:tc>
          <w:tcPr>
            <w:tcW w:type="dxa" w:w="3120"/>
          </w:tcPr>
          <w:p>
            <w:r>
              <w:rPr>
                <w:rFonts w:ascii="Times New Roman" w:hAnsi="Times New Roman"/>
                <w:sz w:val="18"/>
              </w:rPr>
              <w:t>Recovery cycle post-2023 inventory correction.</w:t>
            </w:r>
          </w:p>
        </w:tc>
      </w:tr>
      <w:tr>
        <w:tc>
          <w:tcPr>
            <w:tcW w:type="dxa" w:w="3120"/>
          </w:tcPr>
          <w:p>
            <w:r>
              <w:rPr>
                <w:rFonts w:ascii="Times New Roman" w:hAnsi="Times New Roman"/>
                <w:sz w:val="18"/>
              </w:rPr>
              <w:t>Projected CAGR (2024-2030)</w:t>
            </w:r>
          </w:p>
        </w:tc>
        <w:tc>
          <w:tcPr>
            <w:tcW w:type="dxa" w:w="3120"/>
          </w:tcPr>
          <w:p>
            <w:r>
              <w:rPr>
                <w:rFonts w:ascii="Times New Roman" w:hAnsi="Times New Roman"/>
                <w:sz w:val="18"/>
              </w:rPr>
              <w:t>~ 6-8%</w:t>
            </w:r>
          </w:p>
        </w:tc>
        <w:tc>
          <w:tcPr>
            <w:tcW w:type="dxa" w:w="3120"/>
          </w:tcPr>
          <w:p>
            <w:r>
              <w:rPr>
                <w:rFonts w:ascii="Times New Roman" w:hAnsi="Times New Roman"/>
                <w:sz w:val="18"/>
              </w:rPr>
              <w:t>Conservative outlook factoring cyclicality and geopolitical risk.</w:t>
            </w:r>
          </w:p>
        </w:tc>
      </w:tr>
      <w:tr>
        <w:tc>
          <w:tcPr>
            <w:tcW w:type="dxa" w:w="3120"/>
          </w:tcPr>
          <w:p>
            <w:r>
              <w:rPr>
                <w:rFonts w:ascii="Times New Roman" w:hAnsi="Times New Roman"/>
                <w:sz w:val="18"/>
              </w:rPr>
              <w:t>Leading Growth Segment</w:t>
            </w:r>
          </w:p>
        </w:tc>
        <w:tc>
          <w:tcPr>
            <w:tcW w:type="dxa" w:w="3120"/>
          </w:tcPr>
          <w:p>
            <w:r>
              <w:rPr>
                <w:rFonts w:ascii="Times New Roman" w:hAnsi="Times New Roman"/>
                <w:sz w:val="18"/>
              </w:rPr>
              <w:t>AI &amp; HPC Semiconductors</w:t>
            </w:r>
          </w:p>
        </w:tc>
        <w:tc>
          <w:tcPr>
            <w:tcW w:type="dxa" w:w="3120"/>
          </w:tcPr>
          <w:p>
            <w:r>
              <w:rPr>
                <w:rFonts w:ascii="Times New Roman" w:hAnsi="Times New Roman"/>
                <w:sz w:val="18"/>
              </w:rPr>
              <w:t>&gt;20% annual growth in data center AI accelerator segment.</w:t>
            </w:r>
          </w:p>
        </w:tc>
      </w:tr>
      <w:tr>
        <w:tc>
          <w:tcPr>
            <w:tcW w:type="dxa" w:w="3120"/>
          </w:tcPr>
          <w:p>
            <w:r>
              <w:rPr>
                <w:rFonts w:ascii="Times New Roman" w:hAnsi="Times New Roman"/>
                <w:sz w:val="18"/>
              </w:rPr>
              <w:t>Capital Expenditure (Leading Players)</w:t>
            </w:r>
          </w:p>
        </w:tc>
        <w:tc>
          <w:tcPr>
            <w:tcW w:type="dxa" w:w="3120"/>
          </w:tcPr>
          <w:p>
            <w:r>
              <w:rPr>
                <w:rFonts w:ascii="Times New Roman" w:hAnsi="Times New Roman"/>
                <w:sz w:val="18"/>
              </w:rPr>
              <w:t>&gt; $150 billion annually</w:t>
            </w:r>
          </w:p>
        </w:tc>
        <w:tc>
          <w:tcPr>
            <w:tcW w:type="dxa" w:w="3120"/>
          </w:tcPr>
          <w:p>
            <w:r>
              <w:rPr>
                <w:rFonts w:ascii="Times New Roman" w:hAnsi="Times New Roman"/>
                <w:sz w:val="18"/>
              </w:rPr>
              <w:t>Concentrated in TSMC, Samsung, Intel for advanced node capacity.</w:t>
            </w:r>
          </w:p>
        </w:tc>
      </w:tr>
      <w:tr>
        <w:tc>
          <w:tcPr>
            <w:tcW w:type="dxa" w:w="3120"/>
          </w:tcPr>
          <w:p>
            <w:r>
              <w:rPr>
                <w:rFonts w:ascii="Times New Roman" w:hAnsi="Times New Roman"/>
                <w:sz w:val="18"/>
              </w:rPr>
              <w:t>R&amp;D as % of Revenue</w:t>
            </w:r>
          </w:p>
        </w:tc>
        <w:tc>
          <w:tcPr>
            <w:tcW w:type="dxa" w:w="3120"/>
          </w:tcPr>
          <w:p>
            <w:r>
              <w:rPr>
                <w:rFonts w:ascii="Times New Roman" w:hAnsi="Times New Roman"/>
                <w:sz w:val="18"/>
              </w:rPr>
              <w:t>15-20% for leading-edge firms</w:t>
            </w:r>
          </w:p>
        </w:tc>
        <w:tc>
          <w:tcPr>
            <w:tcW w:type="dxa" w:w="3120"/>
          </w:tcPr>
          <w:p>
            <w:r>
              <w:rPr>
                <w:rFonts w:ascii="Times New Roman" w:hAnsi="Times New Roman"/>
                <w:sz w:val="18"/>
              </w:rPr>
              <w:t>Sustained high investment in process, packaging, and design tech.</w:t>
            </w:r>
          </w:p>
        </w:tc>
      </w:tr>
      <w:tr>
        <w:tc>
          <w:tcPr>
            <w:tcW w:type="dxa" w:w="3120"/>
          </w:tcPr>
          <w:p>
            <w:r>
              <w:rPr>
                <w:rFonts w:ascii="Times New Roman" w:hAnsi="Times New Roman"/>
                <w:sz w:val="18"/>
              </w:rPr>
              <w:t>Geopolitical Investment</w:t>
            </w:r>
          </w:p>
        </w:tc>
        <w:tc>
          <w:tcPr>
            <w:tcW w:type="dxa" w:w="3120"/>
          </w:tcPr>
          <w:p>
            <w:r>
              <w:rPr>
                <w:rFonts w:ascii="Times New Roman" w:hAnsi="Times New Roman"/>
                <w:sz w:val="18"/>
              </w:rPr>
              <w:t>&gt; $200 billion committed globally</w:t>
            </w:r>
          </w:p>
        </w:tc>
        <w:tc>
          <w:tcPr>
            <w:tcW w:type="dxa" w:w="3120"/>
          </w:tcPr>
          <w:p>
            <w:r>
              <w:rPr>
                <w:rFonts w:ascii="Times New Roman" w:hAnsi="Times New Roman"/>
                <w:sz w:val="18"/>
              </w:rPr>
              <w:t>Via CHIPS Act (US), European Chips Act, and similar initiatives.</w:t>
            </w:r>
          </w:p>
        </w:tc>
      </w:tr>
    </w:tbl>
    <w:p/>
    <w:p>
      <w:pPr>
        <w:jc w:val="both"/>
      </w:pPr>
      <w:r>
        <w:rPr>
          <w:rFonts w:ascii="Times New Roman" w:hAnsi="Times New Roman"/>
          <w:sz w:val="20"/>
        </w:rPr>
        <w:t>Sources: Synthesized from [KPMG, 2025], [PwC, 2026], [FinancialContent, 2025], and industry analyst reports.</w:t>
      </w:r>
    </w:p>
    <w:p>
      <w:pPr>
        <w:jc w:val="both"/>
      </w:pPr>
      <w:r>
        <w:rPr>
          <w:rFonts w:ascii="Times New Roman" w:hAnsi="Times New Roman"/>
          <w:sz w:val="20"/>
        </w:rPr>
        <w:t>In conclusion, the current state of the semiconductor industry is one of strategic transformation. The end of easy scaling has birthed a new era of innovation characterized by heterogeneity: heterogeneous integration through advanced packaging and chiplets, heterogeneous materials moving beyond silicon, and a heterogeneous geopolitical landscape reshaping global supply chains. TSMC currently commands the high ground in advanced manufacturing, but Samsung and Intel are waging formidable counter-offensives, backed in part by national industrial policies. The technical roadmap is clearer than ever, progressing through GAA transistors and High-NA EUV toward a future incorporating 2D materials, yet the path is fraught with astronomical costs and profound engineering challenges. Ultimately, the industry's trajectory is being decisively pulled by the gravitational force of artificial intelligence, which demands continuous leaps in computational efficiency and ensures that the race for technological supremacy—both corporate and national—will remain the defining feature of the global chip industry for the foreseeable future.</w:t>
      </w:r>
    </w:p>
    <w:p>
      <w:pPr>
        <w:pStyle w:val="Heading2"/>
      </w:pPr>
      <w:r>
        <w:rPr>
          <w:rFonts w:ascii="Times New Roman" w:hAnsi="Times New Roman"/>
          <w:sz w:val="24"/>
        </w:rPr>
        <w:t>4. Technical Analysis</w:t>
      </w:r>
    </w:p>
    <w:p>
      <w:pPr>
        <w:jc w:val="both"/>
      </w:pPr>
      <w:r>
        <w:rPr>
          <w:rFonts w:ascii="Times New Roman" w:hAnsi="Times New Roman"/>
          <w:sz w:val="20"/>
        </w:rPr>
        <w:t>The contemporary landscape of semiconductor technology development is defined by a multifaceted and interdependent convergence of methodologies and technologies. This technical analysis synthesizes the current state of the art, examining the core paradigms that enable continued progress beyond the limitations of traditional planar scaling. The analysis is structured around three principal, interlocking domains: the foundational performance metrics and industry segmentation that define the field's objectives; the architectural and packaging innovations that are redefining system integration; and the materials science and transistor-level breakthroughs that underpin future scaling. Together, these domains illustrate a holistic shift from a monolithic, two-dimensional scaling paradigm to a heterogeneous, three-dimensional, and intelligence-augmented design and manufacturing ecosystem.</w:t>
      </w:r>
    </w:p>
    <w:p>
      <w:pPr>
        <w:pStyle w:val="Heading3"/>
      </w:pPr>
      <w:r>
        <w:rPr>
          <w:rFonts w:ascii="Times New Roman" w:hAnsi="Times New Roman"/>
          <w:sz w:val="22"/>
        </w:rPr>
        <w:t>4.1 Foundational Paradigms: Segmentation, Scaling, and the PPA Imperative</w:t>
      </w:r>
    </w:p>
    <w:p>
      <w:pPr>
        <w:jc w:val="both"/>
      </w:pPr>
      <w:r>
        <w:rPr>
          <w:rFonts w:ascii="Times New Roman" w:hAnsi="Times New Roman"/>
          <w:sz w:val="20"/>
        </w:rPr>
        <w:t>The semiconductor industry's technological trajectory is fundamentally guided by the optimization of three competing core metrics: Power, Performance, and Area (PPA). This triad serves as the universal benchmark for all design and manufacturing advancements, whether in logic, memory, or analog segments [Accenture, n.d.]. Performance is rigorously quantified through timing closure metrics, where tools aim to minimize Worst Negative Slack (WNS) and Total Negative Slack (TNS) to ensure signals propagate correctly within a clock cycle [Benchmarking End-To-End Performance of AI-Based Chip ..., n.d.]. Power consumption, increasingly critical for mobile and data-center applications, must be minimized across both dynamic and static (leakage) domains. Area, directly correlated with cost and yield, is the physical silicon real estate that must be utilized with maximal efficiency. The historical driver for PPA improvement has been process node scaling, described in nanometer (nm) terms, which promises greater transistor density and speed. However, this path has grown astronomically expensive, with design costs for a single project escalating from tens of millions of dollars at 28nm to over half a billion dollars at 5nm, typically spanning a four-to-five-year development cycle [Accenture, n.d.]. This economic and technical pressure has necessitated a diversification of strategies beyond mere lithographic scaling.</w:t>
      </w:r>
    </w:p>
    <w:p>
      <w:pPr>
        <w:jc w:val="both"/>
      </w:pPr>
      <w:r>
        <w:rPr>
          <w:rFonts w:ascii="Times New Roman" w:hAnsi="Times New Roman"/>
          <w:sz w:val="20"/>
        </w:rPr>
        <w:t>Consequently, the industry's scope has expanded into specialized functional segments and novel integration schemes. The logic segment (CPUs, GPUs) remains the primary driver of leading-edge node development, while the memory segment, including DRAM and NAND flash, follows its own complex scaling roadmap. A DRAM cell, for instance, is classically built from a capacitor and a MOS transistor, though designs exist using only two transistors [Dynamic random-access memory - Wikipedia, n.d.]. The critical trend across all segments is heterogeneous integration, where disparate components like high-performance logic, high-bandwidth memory, and analog/RF chiplets are combined. This is enabled by advanced three-dimensional (3D) integration technologies such as Through-Silicon-Via (TSV), Face-to-Face (F2F) bonding, and monolithic 3D (M3D) ICs [Physical Design Challenges and Solutions for Emerging..., n.d.]. These methods allow for architectures like memory-on-logic stacking, which directly address bandwidth and latency bottlenecks. Furthermore, the industry is exploring radical new form factors, such as embedding computer chips within flexible fibers thinner than a human hair for potential use in wearables and brain-computer interfaces [Tom's Hardware, n.d.]. To manage the exploding complexity of optimizing PPA within this multidimensional design space, artificial intelligence is becoming an indispensable methodology. Generative AI and machine learning are now deployed to automate and enhance stages from architectural exploration to physical layout, promising to discover superior PPA trade-offs unattainable through traditional heuristic methods alone [Generative AI in Chip Design: Unlocking New Possibilities | LinkedIn, n.d.].</w:t>
      </w:r>
    </w:p>
    <w:p>
      <w:pPr>
        <w:jc w:val="both"/>
      </w:pPr>
      <w:r>
        <w:rPr>
          <w:rFonts w:ascii="Times New Roman" w:hAnsi="Times New Roman"/>
          <w:sz w:val="20"/>
        </w:rPr>
        <w:t>flowchart TD</w:t>
      </w:r>
    </w:p>
    <w:p>
      <w:pPr>
        <w:jc w:val="both"/>
      </w:pPr>
      <w:r>
        <w:rPr>
          <w:rFonts w:ascii="Times New Roman" w:hAnsi="Times New Roman"/>
          <w:sz w:val="20"/>
        </w:rPr>
        <w:t>A[Design Objectives: PPA Optimization] --&gt; B{Methodology Selection};</w:t>
      </w:r>
    </w:p>
    <w:p>
      <w:pPr>
        <w:jc w:val="both"/>
      </w:pPr>
      <w:r>
        <w:rPr>
          <w:rFonts w:ascii="Times New Roman" w:hAnsi="Times New Roman"/>
          <w:sz w:val="20"/>
        </w:rPr>
        <w:t>B --&gt; C[Traditional Scaling&lt;br&gt;Advanced Process Nodes];</w:t>
      </w:r>
    </w:p>
    <w:p>
      <w:pPr>
        <w:jc w:val="both"/>
      </w:pPr>
      <w:r>
        <w:rPr>
          <w:rFonts w:ascii="Times New Roman" w:hAnsi="Times New Roman"/>
          <w:sz w:val="20"/>
        </w:rPr>
        <w:t>B --&gt; D[Advanced Packaging&lt;br&gt;2.5D/3D Integration &amp; Chiplets];</w:t>
      </w:r>
    </w:p>
    <w:p>
      <w:pPr>
        <w:jc w:val="both"/>
      </w:pPr>
      <w:r>
        <w:rPr>
          <w:rFonts w:ascii="Times New Roman" w:hAnsi="Times New Roman"/>
          <w:sz w:val="20"/>
        </w:rPr>
        <w:t>B --&gt; E[Material &amp; Architecture Innovation&lt;br&gt;GAA, 2D Channels];</w:t>
      </w:r>
    </w:p>
    <w:p>
      <w:pPr>
        <w:jc w:val="both"/>
      </w:pPr>
      <w:r>
        <w:rPr>
          <w:rFonts w:ascii="Times New Roman" w:hAnsi="Times New Roman"/>
          <w:sz w:val="20"/>
        </w:rPr>
        <w:t>C --&gt; F[AI-Augmented EDA Tools];</w:t>
      </w:r>
    </w:p>
    <w:p>
      <w:pPr>
        <w:jc w:val="both"/>
      </w:pPr>
      <w:r>
        <w:rPr>
          <w:rFonts w:ascii="Times New Roman" w:hAnsi="Times New Roman"/>
          <w:sz w:val="20"/>
        </w:rPr>
        <w:t>D --&gt; F;</w:t>
      </w:r>
    </w:p>
    <w:p>
      <w:pPr>
        <w:jc w:val="both"/>
      </w:pPr>
      <w:r>
        <w:rPr>
          <w:rFonts w:ascii="Times New Roman" w:hAnsi="Times New Roman"/>
          <w:sz w:val="20"/>
        </w:rPr>
        <w:t>E --&gt; F;</w:t>
      </w:r>
    </w:p>
    <w:p>
      <w:pPr>
        <w:jc w:val="both"/>
      </w:pPr>
      <w:r>
        <w:rPr>
          <w:rFonts w:ascii="Times New Roman" w:hAnsi="Times New Roman"/>
          <w:sz w:val="20"/>
        </w:rPr>
        <w:t>F --&gt; G[Heterogeneous System Integration];</w:t>
      </w:r>
    </w:p>
    <w:p>
      <w:pPr>
        <w:jc w:val="both"/>
      </w:pPr>
      <w:r>
        <w:rPr>
          <w:rFonts w:ascii="Times New Roman" w:hAnsi="Times New Roman"/>
          <w:sz w:val="20"/>
        </w:rPr>
        <w:t>G --&gt; H[Final Product: Logic, Memory, Analog SiP/3D IC];</w:t>
      </w:r>
    </w:p>
    <w:p>
      <w:pPr>
        <w:pStyle w:val="Heading3"/>
      </w:pPr>
      <w:r>
        <w:rPr>
          <w:rFonts w:ascii="Times New Roman" w:hAnsi="Times New Roman"/>
          <w:sz w:val="22"/>
        </w:rPr>
        <w:t>4.2 Architectural Revolution: Advanced Packaging and Heterogeneous Integration</w:t>
      </w:r>
    </w:p>
    <w:p>
      <w:pPr>
        <w:jc w:val="both"/>
      </w:pPr>
      <w:r>
        <w:rPr>
          <w:rFonts w:ascii="Times New Roman" w:hAnsi="Times New Roman"/>
          <w:sz w:val="20"/>
        </w:rPr>
        <w:t>As the economic and physical limits of monolithic die scaling become more pronounced, advanced packaging has emerged as the paramount strategy for sustaining system-level performance growth, effectively extending Moore's Law by shifting the focus from the transistor to the package [IDTechEx, 2025]. This paradigm, often termed "More than Moore," involves the integration of multiple heterogeneous components—such as processor cores, memory, and analog chiplets—into a single, high-performance system-in-package (SiP) [TechInsights, n.d.]. The spectrum of advanced packaging is defined by interconnect density, ranging from traditional 2D to 2.5D and full 3D integration [IEEE, 2022]. The 2.5D architecture, now mainstream for high-performance computing (HPC) and AI, involves placing multiple dies side-by-side on a silicon interposer. This interposer contains a dense network of interconnects that provide high-bandwidth, low-latency communication between dies, enabling the "chiplet" model where modular, pre-validated functional blocks can be mixed and matched [DNN Technology, 2025]. Leading foundries like TSMC, Samsung, and Intel are aggressively commercializing these technologies, making them critical for next-generation processors [Yole Group, 2023].</w:t>
      </w:r>
    </w:p>
    <w:p>
      <w:pPr>
        <w:jc w:val="both"/>
      </w:pPr>
      <w:r>
        <w:rPr>
          <w:rFonts w:ascii="Times New Roman" w:hAnsi="Times New Roman"/>
          <w:sz w:val="20"/>
        </w:rPr>
        <w:t>Full 3D IC packaging represents the next frontier, offering the ultimate in interconnect density by vertically stacking active silicon dies connected by through-silicon vias (TSVs) [ScienceDirect, 2023]. This architecture dramatically reduces interconnect length, lowering power consumption and increasing bandwidth, which is ideal for memory-on-logic stacks like High-Bandwidth Memory (HBM). However, it introduces severe challenges in thermal management, as heat generated in lower tiers must dissipate through the stack, and in testing accessibility. Alongside these high-performance options, fan-out wafer-level packaging (FOWLP) has become a cost-effective solution for mobile and IoT devices. FOWLP embeds dies in a molding compound and builds redistribution layers (RDLs) on top to fan out connections, eliminating the need for a substrate and enabling thinner, higher-I/O density packages [IDTechEx, 2025]. The successful proliferation of this heterogeneous integration ecosystem faces significant hurdles. Standardization of chiplet-to-chiplet interfaces (e.g., Universal Chiplet Interconnect Express - UCIe), power delivery, and physical integration protocols is essential for multi-vendor interoperability [ScienceDirect, 2023]. Furthermore, the industry requires new electronic design automation (EDA) tools capable of true co-design across package, interposer, and multiple dies, alongside advanced thermal management and handling solutions for ultra-thin wafers. The primary market drivers for overcoming these challenges are the insatiable demands of AI, HPC, and 5G/6G communications, which necessitate architectures delivering massive parallelism and energy-efficient operation [McKinsey &amp; Company, 2025].</w:t>
      </w:r>
    </w:p>
    <w:p>
      <w:pPr>
        <w:jc w:val="both"/>
      </w:pPr>
      <w:r>
        <w:rPr>
          <w:rFonts w:ascii="Times New Roman" w:hAnsi="Times New Roman"/>
          <w:sz w:val="20"/>
        </w:rPr>
        <w:t>classDiagram</w:t>
      </w:r>
    </w:p>
    <w:p>
      <w:pPr>
        <w:jc w:val="both"/>
      </w:pPr>
      <w:r>
        <w:rPr>
          <w:rFonts w:ascii="Times New Roman" w:hAnsi="Times New Roman"/>
          <w:sz w:val="20"/>
        </w:rPr>
        <w:t>direction LR</w:t>
      </w:r>
    </w:p>
    <w:p>
      <w:pPr>
        <w:jc w:val="both"/>
      </w:pPr>
      <w:r>
        <w:rPr>
          <w:rFonts w:ascii="Times New Roman" w:hAnsi="Times New Roman"/>
          <w:sz w:val="20"/>
        </w:rPr>
        <w:t>class AdvancedPackage {</w:t>
      </w:r>
    </w:p>
    <w:p>
      <w:pPr>
        <w:jc w:val="both"/>
      </w:pPr>
      <w:r>
        <w:rPr>
          <w:rFonts w:ascii="Times New Roman" w:hAnsi="Times New Roman"/>
          <w:sz w:val="20"/>
        </w:rPr>
        <w:t>+String packageType</w:t>
      </w:r>
    </w:p>
    <w:p>
      <w:pPr>
        <w:jc w:val="both"/>
      </w:pPr>
      <w:r>
        <w:rPr>
          <w:rFonts w:ascii="Times New Roman" w:hAnsi="Times New Roman"/>
          <w:sz w:val="20"/>
        </w:rPr>
        <w:t>+integrateComponents()</w:t>
      </w:r>
    </w:p>
    <w:p>
      <w:pPr>
        <w:jc w:val="both"/>
      </w:pPr>
      <w:r>
        <w:rPr>
          <w:rFonts w:ascii="Times New Roman" w:hAnsi="Times New Roman"/>
          <w:sz w:val="20"/>
        </w:rPr>
        <w:t>+manageThermals()</w:t>
      </w:r>
    </w:p>
    <w:p>
      <w:pPr>
        <w:jc w:val="both"/>
      </w:pPr>
      <w:r>
        <w:rPr>
          <w:rFonts w:ascii="Times New Roman" w:hAnsi="Times New Roman"/>
          <w:sz w:val="20"/>
        </w:rPr>
        <w:t>}</w:t>
      </w:r>
    </w:p>
    <w:p>
      <w:pPr>
        <w:jc w:val="both"/>
      </w:pPr>
      <w:r>
        <w:rPr>
          <w:rFonts w:ascii="Times New Roman" w:hAnsi="Times New Roman"/>
          <w:sz w:val="20"/>
        </w:rPr>
        <w:t>class SiliconInterposer {</w:t>
      </w:r>
    </w:p>
    <w:p>
      <w:pPr>
        <w:jc w:val="both"/>
      </w:pPr>
      <w:r>
        <w:rPr>
          <w:rFonts w:ascii="Times New Roman" w:hAnsi="Times New Roman"/>
          <w:sz w:val="20"/>
        </w:rPr>
        <w:t>+highDensityInterconnects</w:t>
      </w:r>
    </w:p>
    <w:p>
      <w:pPr>
        <w:jc w:val="both"/>
      </w:pPr>
      <w:r>
        <w:rPr>
          <w:rFonts w:ascii="Times New Roman" w:hAnsi="Times New Roman"/>
          <w:sz w:val="20"/>
        </w:rPr>
        <w:t>+routeSignals()</w:t>
      </w:r>
    </w:p>
    <w:p>
      <w:pPr>
        <w:jc w:val="both"/>
      </w:pPr>
      <w:r>
        <w:rPr>
          <w:rFonts w:ascii="Times New Roman" w:hAnsi="Times New Roman"/>
          <w:sz w:val="20"/>
        </w:rPr>
        <w:t>}</w:t>
      </w:r>
    </w:p>
    <w:p>
      <w:pPr>
        <w:jc w:val="both"/>
      </w:pPr>
      <w:r>
        <w:rPr>
          <w:rFonts w:ascii="Times New Roman" w:hAnsi="Times New Roman"/>
          <w:sz w:val="20"/>
        </w:rPr>
        <w:t>class Chiplet {</w:t>
      </w:r>
    </w:p>
    <w:p>
      <w:pPr>
        <w:jc w:val="both"/>
      </w:pPr>
      <w:r>
        <w:rPr>
          <w:rFonts w:ascii="Times New Roman" w:hAnsi="Times New Roman"/>
          <w:sz w:val="20"/>
        </w:rPr>
        <w:t>+String function</w:t>
      </w:r>
    </w:p>
    <w:p>
      <w:pPr>
        <w:jc w:val="both"/>
      </w:pPr>
      <w:r>
        <w:rPr>
          <w:rFonts w:ascii="Times New Roman" w:hAnsi="Times New Roman"/>
          <w:sz w:val="20"/>
        </w:rPr>
        <w:t>+String processNode</w:t>
      </w:r>
    </w:p>
    <w:p>
      <w:pPr>
        <w:jc w:val="both"/>
      </w:pPr>
      <w:r>
        <w:rPr>
          <w:rFonts w:ascii="Times New Roman" w:hAnsi="Times New Roman"/>
          <w:sz w:val="20"/>
        </w:rPr>
        <w:t>+validate()</w:t>
      </w:r>
    </w:p>
    <w:p>
      <w:pPr>
        <w:jc w:val="both"/>
      </w:pPr>
      <w:r>
        <w:rPr>
          <w:rFonts w:ascii="Times New Roman" w:hAnsi="Times New Roman"/>
          <w:sz w:val="20"/>
        </w:rPr>
        <w:t>}</w:t>
      </w:r>
    </w:p>
    <w:p>
      <w:pPr>
        <w:jc w:val="both"/>
      </w:pPr>
      <w:r>
        <w:rPr>
          <w:rFonts w:ascii="Times New Roman" w:hAnsi="Times New Roman"/>
          <w:sz w:val="20"/>
        </w:rPr>
        <w:t>class LogicChiplet {</w:t>
      </w:r>
    </w:p>
    <w:p>
      <w:pPr>
        <w:jc w:val="both"/>
      </w:pPr>
      <w:r>
        <w:rPr>
          <w:rFonts w:ascii="Times New Roman" w:hAnsi="Times New Roman"/>
          <w:sz w:val="20"/>
        </w:rPr>
        <w:t>+compute()</w:t>
      </w:r>
    </w:p>
    <w:p>
      <w:pPr>
        <w:jc w:val="both"/>
      </w:pPr>
      <w:r>
        <w:rPr>
          <w:rFonts w:ascii="Times New Roman" w:hAnsi="Times New Roman"/>
          <w:sz w:val="20"/>
        </w:rPr>
        <w:t>}</w:t>
      </w:r>
    </w:p>
    <w:p>
      <w:pPr>
        <w:jc w:val="both"/>
      </w:pPr>
      <w:r>
        <w:rPr>
          <w:rFonts w:ascii="Times New Roman" w:hAnsi="Times New Roman"/>
          <w:sz w:val="20"/>
        </w:rPr>
        <w:t>class MemoryChiplet {</w:t>
      </w:r>
    </w:p>
    <w:p>
      <w:pPr>
        <w:jc w:val="both"/>
      </w:pPr>
      <w:r>
        <w:rPr>
          <w:rFonts w:ascii="Times New Roman" w:hAnsi="Times New Roman"/>
          <w:sz w:val="20"/>
        </w:rPr>
        <w:t>+storeData()</w:t>
      </w:r>
    </w:p>
    <w:p>
      <w:pPr>
        <w:jc w:val="both"/>
      </w:pPr>
      <w:r>
        <w:rPr>
          <w:rFonts w:ascii="Times New Roman" w:hAnsi="Times New Roman"/>
          <w:sz w:val="20"/>
        </w:rPr>
        <w:t>}</w:t>
      </w:r>
    </w:p>
    <w:p>
      <w:pPr>
        <w:jc w:val="both"/>
      </w:pPr>
      <w:r>
        <w:rPr>
          <w:rFonts w:ascii="Times New Roman" w:hAnsi="Times New Roman"/>
          <w:sz w:val="20"/>
        </w:rPr>
        <w:t>class AnalogChiplet {</w:t>
      </w:r>
    </w:p>
    <w:p>
      <w:pPr>
        <w:jc w:val="both"/>
      </w:pPr>
      <w:r>
        <w:rPr>
          <w:rFonts w:ascii="Times New Roman" w:hAnsi="Times New Roman"/>
          <w:sz w:val="20"/>
        </w:rPr>
        <w:t>+processSignal()</w:t>
      </w:r>
    </w:p>
    <w:p>
      <w:pPr>
        <w:jc w:val="both"/>
      </w:pPr>
      <w:r>
        <w:rPr>
          <w:rFonts w:ascii="Times New Roman" w:hAnsi="Times New Roman"/>
          <w:sz w:val="20"/>
        </w:rPr>
        <w:t>}</w:t>
      </w:r>
    </w:p>
    <w:p>
      <w:pPr>
        <w:jc w:val="both"/>
      </w:pPr>
      <w:r>
        <w:rPr>
          <w:rFonts w:ascii="Times New Roman" w:hAnsi="Times New Roman"/>
          <w:sz w:val="20"/>
        </w:rPr>
        <w:t>class TSV {</w:t>
      </w:r>
    </w:p>
    <w:p>
      <w:pPr>
        <w:jc w:val="both"/>
      </w:pPr>
      <w:r>
        <w:rPr>
          <w:rFonts w:ascii="Times New Roman" w:hAnsi="Times New Roman"/>
          <w:sz w:val="20"/>
        </w:rPr>
        <w:t>+verticalConnection</w:t>
      </w:r>
    </w:p>
    <w:p>
      <w:pPr>
        <w:jc w:val="both"/>
      </w:pPr>
      <w:r>
        <w:rPr>
          <w:rFonts w:ascii="Times New Roman" w:hAnsi="Times New Roman"/>
          <w:sz w:val="20"/>
        </w:rPr>
        <w:t>}</w:t>
      </w:r>
    </w:p>
    <w:p>
      <w:pPr>
        <w:jc w:val="both"/>
      </w:pPr>
      <w:r>
        <w:rPr>
          <w:rFonts w:ascii="Times New Roman" w:hAnsi="Times New Roman"/>
          <w:sz w:val="20"/>
        </w:rPr>
        <w:t>AdvancedPackage -- SiliconInterposer : "uses in 2.5D"</w:t>
      </w:r>
    </w:p>
    <w:p>
      <w:pPr>
        <w:jc w:val="both"/>
      </w:pPr>
      <w:r>
        <w:rPr>
          <w:rFonts w:ascii="Times New Roman" w:hAnsi="Times New Roman"/>
          <w:sz w:val="20"/>
        </w:rPr>
        <w:t>AdvancedPackage -- Chiplet : "contains multiple"</w:t>
      </w:r>
    </w:p>
    <w:p>
      <w:pPr>
        <w:jc w:val="both"/>
      </w:pPr>
      <w:r>
        <w:rPr>
          <w:rFonts w:ascii="Times New Roman" w:hAnsi="Times New Roman"/>
          <w:sz w:val="20"/>
        </w:rPr>
        <w:t>Chiplet &lt;|-- LogicChiplet</w:t>
      </w:r>
    </w:p>
    <w:p>
      <w:pPr>
        <w:jc w:val="both"/>
      </w:pPr>
      <w:r>
        <w:rPr>
          <w:rFonts w:ascii="Times New Roman" w:hAnsi="Times New Roman"/>
          <w:sz w:val="20"/>
        </w:rPr>
        <w:t>Chiplet &lt;|-- MemoryChiplet</w:t>
      </w:r>
    </w:p>
    <w:p>
      <w:pPr>
        <w:jc w:val="both"/>
      </w:pPr>
      <w:r>
        <w:rPr>
          <w:rFonts w:ascii="Times New Roman" w:hAnsi="Times New Roman"/>
          <w:sz w:val="20"/>
        </w:rPr>
        <w:t>Chiplet &lt;|-- AnalogChiplet</w:t>
      </w:r>
    </w:p>
    <w:p>
      <w:pPr>
        <w:jc w:val="both"/>
      </w:pPr>
      <w:r>
        <w:rPr>
          <w:rFonts w:ascii="Times New Roman" w:hAnsi="Times New Roman"/>
          <w:sz w:val="20"/>
        </w:rPr>
        <w:t>AdvancedPackage -- TSV : "uses in 3D"</w:t>
      </w:r>
    </w:p>
    <w:p>
      <w:pPr>
        <w:pStyle w:val="Heading3"/>
      </w:pPr>
      <w:r>
        <w:rPr>
          <w:rFonts w:ascii="Times New Roman" w:hAnsi="Times New Roman"/>
          <w:sz w:val="22"/>
        </w:rPr>
        <w:t>4.3 The Cutting Edge: Transistor Architectures and Novel Channel Materials</w:t>
      </w:r>
    </w:p>
    <w:p>
      <w:pPr>
        <w:jc w:val="both"/>
      </w:pPr>
      <w:r>
        <w:rPr>
          <w:rFonts w:ascii="Times New Roman" w:hAnsi="Times New Roman"/>
          <w:sz w:val="20"/>
        </w:rPr>
        <w:t>Beneath the package and system architecture lies the continuous innovation at the transistor level, where the limits of silicon are being challenged by new structures and materials. The transition from FinFET to Gate-All-Around (GAA) transistor architectures, such as nanosheets or nanowires, marks a critical evolution. By surrounding the conductive channel with the gate material on all four sides, GAA transistors provide superior electrostatic control compared to the three-sided gate of a FinFET, significantly mitigating leakage current and enabling further dimensional scaling [New structure transistors for advanced technology node CMOS ICs, 2024]. Patterning these increasingly complex and dense structures requires lithography of extreme precision. This is the domain of High-Numerical Aperture (High-NA) Extreme Ultraviolet (EUV) lithography, a tool generation essential for defining features beyond the 3nm node, albeit at monumental cost and complexity. The ultimate goal is to maintain the historical cadence of performance-per-watt improvement, even as silicon channels approach thicknesses where their electronic properties degrade due to quantum effects and increased scattering [Two dimensional semiconducting materials for ultimately scaled transistors, 2022].</w:t>
      </w:r>
    </w:p>
    <w:p>
      <w:pPr>
        <w:jc w:val="both"/>
      </w:pPr>
      <w:r>
        <w:rPr>
          <w:rFonts w:ascii="Times New Roman" w:hAnsi="Times New Roman"/>
          <w:sz w:val="20"/>
        </w:rPr>
        <w:t>The most profound frontier in transistor technology is the exploration of non-silicon channel materials, with two-dimensional (2D) semiconductors like molybdenum disulfide (MoS₂) leading the research charge. These materials possess an atomically thin, layered structure with no dangling bonds, which is their seminal advantage [Two dimensional semiconducting materials for ultimately scaled transistors, 2022]. This property allows them to maintain excellent electrostatic integrity and carrier mobility even at monolayer thickness, effectively overcoming the short-channel effects that cripple ultra-scaled silicon. Research indicates 2D semiconductors could enable transistor gate lengths to be scaled to the sub-1-nanometer regime, a domain where silicon fails due to uncontrollable quantum tunneling [The future of two-dimensional semiconductors beyond Moore's law, 2024]. Recent breakthroughs are focused on integrating these novel materials with existing silicon manufacturing. MIT engineers, for example, demonstrated a low-temperature process to grow high-quality 2D transistors directly on top of fully fabricated 8-inch silicon wafers, a vital step towards monolithic integration for high-volume manufacturing [MIT engineers "grow" atomically thin transistors on top of computer ..., 2023]. Intel has also disclosed research into integrating atomically thin 2D materials within a GAA framework [Intel looks beyond silicon, outlines breakthroughs in atomically-thin ..., 2024]. The convergence strategy is clear: advanced GAA architectures, patterned by High-NA EUV, will be combined with engineered channel materials—be it strained silicon, silicon-germanium (SiGe), or 2D transition metal dichalcogenides (TMDs)—to optimize different functions on a single chip [Continue the Scaling of Electronic Devices with Transition Metal ..., 2024]. This materials revolution is particularly crucial for powering energy-efficient AI hardware, demanding transistors that switch faster with minimal wasted power [Beyond the Silicon Plateau: A Convergence of Novel Materials for ..., 2025].</w:t>
      </w:r>
    </w:p>
    <w:p>
      <w:pPr>
        <w:pStyle w:val="Heading3"/>
      </w:pPr>
      <w:r>
        <w:rPr>
          <w:rFonts w:ascii="Times New Roman" w:hAnsi="Times New Roman"/>
          <w:sz w:val="22"/>
        </w:rPr>
        <w:t>4.4 Competitive and Methodological Synthesis</w:t>
      </w:r>
    </w:p>
    <w:p>
      <w:pPr>
        <w:jc w:val="both"/>
      </w:pPr>
      <w:r>
        <w:rPr>
          <w:rFonts w:ascii="Times New Roman" w:hAnsi="Times New Roman"/>
          <w:sz w:val="20"/>
        </w:rPr>
        <w:t>The technical advancements described do not occur in a vacuum; they are propelled and shaped by intense global competition and evolving design methodologies. The market for leading-edge process technology is a tripartite contest between TSMC, Samsung, and Intel. As of late 2024, TSMC maintains a dominant position in sub-3nm manufacturing, serving as the exclusive foundry for key clients like NVIDIA and Apple [Digitimes, 2024; Circuit Digest, n.d.]. Samsung competes aggressively, leveraging its integrated device manufacturer (IDM) model and progress in GAA technology, while Intel is executing its ambitious "IDM 2.0" strategy to regain process leadership by 2025 and act as a major foundry [McKinsey Electronics, 2024]. This competition is increasingly geopolitical, with national subsidies like the U.S. CHIPS Act and export controls on advanced equipment fragmenting the global value chain and prompting reshoring efforts [PwC, 2026; ScienceDirect, 2024]. The primary demand driver for all these technologies is artificial intelligence, whose need for computational density and efficiency ensures sustained investment in next-generation nodes, packaging, and co-design solutions [KPMG, 2025; FinancialContent, 2025].</w:t>
      </w:r>
    </w:p>
    <w:p>
      <w:pPr>
        <w:jc w:val="both"/>
      </w:pPr>
      <w:r>
        <w:rPr>
          <w:rFonts w:ascii="Times New Roman" w:hAnsi="Times New Roman"/>
          <w:sz w:val="20"/>
        </w:rPr>
        <w:t>Methodologically, the industry is transitioning from a linear, siloed design flow to an AI-augmented, system-technology co-optimization (STCO) approach. The complexity of co-designing chiplets, interposers, and 3D stacks necessitates EDA tools that can simultaneously optimize for performance, power, thermal, and signal integrity across multiple dies and the package. Generative AI is being infused into this flow to explore vast design spaces for placement, routing, and architecture, aiming to achieve PPA targets faster and beyond human intuition [Generative AI in Chip Design: Unlocking New Possibilities | LinkedIn, n.d.]. In conclusion, the technical analysis reveals an industry at an inflection point. The path forward is no longer singular but a synchronized advancement along multiple vectors: architectural innovation through advanced packaging and chiplets; transistor-level revolution via GAA and 2D materials; and a methodological transformation powered by AI. The integration of these domains—segmentation, 3D integration, novel materials, and intelligent design—constitutes the modern blueprint for sustaining the exponential progress of semiconductor technology in the post-Moore era.</w:t>
      </w:r>
    </w:p>
    <w:p>
      <w:pPr>
        <w:pStyle w:val="Heading2"/>
      </w:pPr>
      <w:r>
        <w:rPr>
          <w:rFonts w:ascii="Times New Roman" w:hAnsi="Times New Roman"/>
          <w:sz w:val="24"/>
        </w:rPr>
        <w:t>5. Case Studies</w:t>
      </w:r>
    </w:p>
    <w:p>
      <w:pPr>
        <w:jc w:val="both"/>
      </w:pPr>
      <w:r>
        <w:rPr>
          <w:rFonts w:ascii="Times New Roman" w:hAnsi="Times New Roman"/>
          <w:sz w:val="20"/>
        </w:rPr>
        <w:t>The theoretical frameworks, competitive dynamics, and technical roadmaps that define the modern semiconductor industry are best understood through their concrete application. The following case studies provide a narrative exploration of pivotal developments, illustrating how the abstract vectors of advanced packaging, architectural innovation, and geopolitical strategy converge to shape real-world technological outcomes. These stories move beyond mere technical specifications to reveal the complex interplay of engineering challenges, market forces, and strategic decisions that drive progress at the cutting edge of chip technology.</w:t>
      </w:r>
    </w:p>
    <w:p>
      <w:pPr>
        <w:pStyle w:val="Heading3"/>
      </w:pPr>
      <w:r>
        <w:rPr>
          <w:rFonts w:ascii="Times New Roman" w:hAnsi="Times New Roman"/>
          <w:sz w:val="22"/>
        </w:rPr>
        <w:t>5.1. Case Study: NVIDIA’s H100 and the Rise of the 2.5D + Chiplet Paradigm for AI</w:t>
      </w:r>
    </w:p>
    <w:p>
      <w:pPr>
        <w:jc w:val="both"/>
      </w:pPr>
      <w:r>
        <w:rPr>
          <w:rFonts w:ascii="Times New Roman" w:hAnsi="Times New Roman"/>
          <w:sz w:val="20"/>
        </w:rPr>
        <w:t>The explosive demand for artificial intelligence training and inference created a computational challenge that traditional monolithic processor designs could not efficiently solve. The primary bottleneck shifted from raw transistor speed to the movement of data, particularly between the processor cores and high-bandwidth memory. NVIDIA’s response, epitomized by its Hopper architecture and the flagship H100 GPU, is a masterclass in leveraging advanced packaging and a chiplet-based design philosophy to sustain performance scaling beyond the limits of Moore's Law [DNN Technology, 2025]. The H100 is not a single, gargantuan piece of silicon; instead, it is a sophisticated system-in-package (SiP) that integrates multiple specialized chiplets. At its heart are GPU core chiplets fabricated using TSMC’s leading-edge 4N process node, a derivative of its 5nm technology. These logic chiplets are not directly connected to each other or to memory on a traditional printed circuit board. Instead, they are mounted side-by-side on a passive silicon interposer in a 2.5D configuration [Yole Group, 2023]. This silicon interposer, embedded with a dense network of microscopic wiring, acts as a super-highway, providing thousands of short, low-power, high-bandwidth connections between the chiplets. This architecture dramatically reduces the latency and energy consumption of data movement compared to off-package connections, which is critical for the massively parallel workloads of AI.</w:t>
      </w:r>
    </w:p>
    <w:p>
      <w:pPr>
        <w:jc w:val="both"/>
      </w:pPr>
      <w:r>
        <w:rPr>
          <w:rFonts w:ascii="Times New Roman" w:hAnsi="Times New Roman"/>
          <w:sz w:val="20"/>
        </w:rPr>
        <w:t>The implementation of this design required NVIDIA and its manufacturing partner TSMC to co-engineer solutions across the entire stack. A key enabler was TSMC’s CoWoS (Chip-on-Wafer-on-Substrate) advanced packaging platform, which provides the proven infrastructure for bonding the GPU and memory chiplets onto the interposer and then connecting this assembly to the package substrate [TechInsights, n.d.]. Perhaps the most visually striking and technically significant outcome of this approach is the integration of High-Bandwidth Memory (HBM). Stacks of HBM DRAM, which are themselves 3D-integrated dies connected by through-silicon vias (TSVs), are placed adjacent to the GPU chiplets on the same interposer. This placement creates an extremely wide data bus—exceeding 5000 bits—between the processor and memory, delivering bandwidth in the terabytes-per-second range, an order of magnitude greater than traditional GDDR6 memory [ScienceDirect, 2023]. The chiplet model also offered NVIDIA significant advantages in yield and cost. By partitioning the massive design into smaller, separate chiplets, the company could improve the yield of each individual die (since smaller dies have fewer defects) and mix-and-match different process nodes, using the most advanced and expensive node only for the compute cores while potentially using a more mature node for I/O or other functions.</w:t>
      </w:r>
    </w:p>
    <w:p>
      <w:pPr>
        <w:jc w:val="both"/>
      </w:pPr>
      <w:r>
        <w:rPr>
          <w:rFonts w:ascii="Times New Roman" w:hAnsi="Times New Roman"/>
          <w:sz w:val="20"/>
        </w:rPr>
        <w:t>The outcomes of this architectural shift have been transformative, both for NVIDIA and the broader industry. The H100 and its successors became the undisputed engines of the generative AI boom, providing the computational density and memory bandwidth necessary to train models with hundreds of billions of parameters [McKinsey &amp; Company, 2025]. Commercially, this cemented NVIDIA’s market dominance and its symbiotic relationship with TSMC, whose packaging expertise became as critical as its leading-edge lithography. From a technical standpoint, the success of the H100 validated the 2.5D interposer and chiplet model as the de facto standard for high-performance computing. It demonstrated that system-level performance, particularly for data-intensive workloads, could be dramatically enhanced through architectural innovation in the package, even as traditional transistor scaling slowed. This case study underscores a central theme in contemporary semiconductor development: leadership is no longer defined solely by who possesses the smallest transistor, but by who can most effectively integrate diverse components—logic, memory, and interconnect—into a cohesive, high-performance system.</w:t>
      </w:r>
    </w:p>
    <w:p>
      <w:pPr>
        <w:pStyle w:val="Heading3"/>
      </w:pPr>
      <w:r>
        <w:rPr>
          <w:rFonts w:ascii="Times New Roman" w:hAnsi="Times New Roman"/>
          <w:sz w:val="22"/>
        </w:rPr>
        <w:t>5.2. Case Study: Intel’s IDM 2.0 and the Quest to Regain Process Leadership</w:t>
      </w:r>
    </w:p>
    <w:p>
      <w:pPr>
        <w:jc w:val="both"/>
      </w:pPr>
      <w:r>
        <w:rPr>
          <w:rFonts w:ascii="Times New Roman" w:hAnsi="Times New Roman"/>
          <w:sz w:val="20"/>
        </w:rPr>
        <w:t>For decades, Intel’s integrated device manufacturer (IDM) model, which combined leading-edge internal chip design with captive, world-class manufacturing, was the gold standard of the industry. However, by the early 2020s, this model showed significant strain. Intel faced well-publicized delays in its process node transitions (e.g., from 10nm to 7nm), while rivals like TSMC and Samsung accelerated their roadmaps, attracting key customers like Apple, AMD, and eventually even parts of Intel’s own product line [Digitimes, 2024]. In response, CEO Pat Gelsinger unveiled the “IDM 2.0” strategy in 2021, a bold and multi-pronged plan aimed at nothing less than regaining process technology leadership by 2025 and fundamentally restructuring Intel’s business [McKinsey Electronics, 2024]. This case study examines the context, implementation, and high-stakes outcomes of this corporate and technological turnaround effort.</w:t>
      </w:r>
    </w:p>
    <w:p>
      <w:pPr>
        <w:jc w:val="both"/>
      </w:pPr>
      <w:r>
        <w:rPr>
          <w:rFonts w:ascii="Times New Roman" w:hAnsi="Times New Roman"/>
          <w:sz w:val="20"/>
        </w:rPr>
        <w:t>The context for IDM 2.0 was one of competitive crisis and geopolitical opportunity. Technologically, Intel had lost its long-held process lead. Financially, the capital intensity of maintaining a leading-edge fab network without sufficient external volume to absorb costs was becoming unsustainable. Concurrently, geopolitical tensions and supply chain fragility, highlighted by the global chip shortage, created a powerful impetus for Western governments to subsidize domestic semiconductor manufacturing. Intel’s strategy was designed to address all these vectors simultaneously. The implementation of IDM 2.0 rests on three pillars. First, a massive internal manufacturing expansion, including the construction of new “mega-fab” complexes in Arizona, Ohio, and Germany, representing investments of over $100 billion, heavily supported by U.S. and EU CHIPS Act subsidies [PwC, 2026]. Second, the launch of Intel Foundry Services (IFS), opening its fabs to external customers for the first time, directly competing with TSMC and Samsung in the pure-play foundry market. Third, an aggressive five-nodes-in-four-years process technology roadmap, culminating in the Intel 18A node (roughly equivalent to 1.8nm competitors), which promised to reintroduce leadership through architectural innovations like RibbonFET (Intel’s Gate-All-Around transistor) and PowerVia (a backside power delivery network) [Intel looks beyond silicon, outlines breakthroughs in atomically-thin ..., 2024].</w:t>
      </w:r>
    </w:p>
    <w:p>
      <w:pPr>
        <w:jc w:val="both"/>
      </w:pPr>
      <w:r>
        <w:rPr>
          <w:rFonts w:ascii="Times New Roman" w:hAnsi="Times New Roman"/>
          <w:sz w:val="20"/>
        </w:rPr>
        <w:t>The technical deep-dive into Intel’s comeback bid reveals a focus on holistic innovation beyond simple lithography scaling. While adopting High-NA EUV lithography is part of the plan, Intel is betting on transistor and interconnect architecture to provide differentiation. The RibbonFET GAA design aims to provide superior electrostatic control over FinFETs, while PowerVia, which moves power delivery wiring to the back of the silicon wafer, decouples it from signal routing on the front. This separation is designed to reduce voltage drop, shrink cell size, and improve performance—a system-level optimization that addresses the growing power delivery challenge in advanced chips [New structure transistors for advanced technology node CMOS ICs, 2024]. Furthermore, Intel’s research into integrating 2D channel materials like MoS₂ within its future transistor architectures points to a long-term vision for extending scaling beyond the silicon plateau [Transistor engineering based on 2D materials in the post ..., 2024]. The outcomes of this ambitious strategy are still unfolding. Early signs include the successful tape-out of Intel 18A for both internal and external customers (including a major partnership with Microsoft) and the reported performance-per-watt leadership claims for its upcoming client processors. However, the ultimate success metrics—consistently winning high-volume external foundry customers, executing the complex new fab builds on schedule, and delivering process nodes on time with competitive yield and cost—remain works in progress. This case illustrates the immense difficulty of competing at the industry’s pinnacle, where technological prowess, capital management, and ecosystem trust are inextricably linked, and where geopolitical tailwinds can provide crucial, yet insufficient, support for a corporate transformation of this scale.</w:t>
      </w:r>
    </w:p>
    <w:p>
      <w:pPr>
        <w:pStyle w:val="Heading3"/>
      </w:pPr>
      <w:r>
        <w:rPr>
          <w:rFonts w:ascii="Times New Roman" w:hAnsi="Times New Roman"/>
          <w:sz w:val="22"/>
        </w:rPr>
        <w:t>5.3. Case Study: The Monolithic Integration of 2D Materials and the Path to Post-Silicon Transistors</w:t>
      </w:r>
    </w:p>
    <w:p>
      <w:pPr>
        <w:jc w:val="both"/>
      </w:pPr>
      <w:r>
        <w:rPr>
          <w:rFonts w:ascii="Times New Roman" w:hAnsi="Times New Roman"/>
          <w:sz w:val="20"/>
        </w:rPr>
        <w:t>While the previous cases focus on system integration and process competition within the silicon paradigm, a more fundamental revolution is brewing in the materials science laboratories. As silicon channels are scaled to a few atomic layers, their electronic properties degrade due to increased scattering and quantum mechanical effects, presenting a fundamental roadblock [Two dimensional semiconducting materials for ultimately scaled transistors, 2022]. This has spurred a global research race to identify and integrate successor channel materials, with two-dimensional semiconductors like molybdenum disulfide (MoS₂) emerging as a leading candidate. A landmark case study in this domain is the work by engineers at the Massachusetts Institute of Technology (MIT), who demonstrated a low-temperature process to grow high-quality 2D transistors directly on top of fully fabricated 8-inch silicon wafers [MIT engineers "grow" atomically thin transistors on top of computer ..., 2023]. This narrative explores the context of this breakthrough, its technical implementation, and its profound implications for the future of chip technology.</w:t>
      </w:r>
    </w:p>
    <w:p>
      <w:pPr>
        <w:jc w:val="both"/>
      </w:pPr>
      <w:r>
        <w:rPr>
          <w:rFonts w:ascii="Times New Roman" w:hAnsi="Times New Roman"/>
          <w:sz w:val="20"/>
        </w:rPr>
        <w:t>The context for this research is the search for a viable integration pathway. 2D materials like MoS₂ offer exceptional advantages: they are inherently thin (a single layer is ~0.7 nm thick), have no dangling bonds that cause leakage, and can maintain high carrier mobility even at this scale, theoretically enabling gate lengths to shrink below 1 nm [The future of two-dimensional semiconductors beyond Moore's law, 2024]. However, the prevailing method for incorporating them into chips involved growing them on one substrate and then painstakingly transferring them to a silicon wafer—a process prone to contamination, cracks, and misalignment, and utterly impractical for high-volume manufacturing. The MIT team’s implementation broke this impasse. They developed a low-temperature (below 300°C) chemical vapor deposition (CVD) process that grows a uniform, high-performance monolayer of MoS₂ directly onto wafers that already contained silicon-based transistors and interconnects. Critically, this low temperature prevents damage to the underlying aluminum metal layers in the pre-fabricated silicon chips, which would melt at traditional high-temperature growth processes. The team then completed the process by depositing gate electrodes and contacts through standard lithography techniques, creating functional 2D transistors monolithically integrated with a silicon CMOS foundation.</w:t>
      </w:r>
    </w:p>
    <w:p>
      <w:pPr>
        <w:jc w:val="both"/>
      </w:pPr>
      <w:r>
        <w:rPr>
          <w:rFonts w:ascii="Times New Roman" w:hAnsi="Times New Roman"/>
          <w:sz w:val="20"/>
        </w:rPr>
        <w:t>The outcomes of this work are both specific and broadly strategic. Specifically, the fabricated 2D transistors exhibited excellent performance metrics, including a high on/off current ratio, essential for digital logic. More broadly, the case study provides a compelling proof-of-concept for a heterogeneous integration roadmap. It suggests a future where silicon CMOS circuits, which excel at certain functions and benefit from decades of manufacturing optimization, can serve as a robust “base layer.” On top of this base, layers of 2D semiconductors can be grown to form ultra-scaled, high-speed, and low-power transistors for critical logic paths, or for entirely new functions like integrated photonics or sensing [Beyond the Silicon Plateau: A Convergence of Novel Materials for ..., 2025]. This monolithic, 3D-like integration is far more scalable than transfer methods and aligns with the industry’s existing fab infrastructure. It represents a pragmatic path forward, where new materials do not need to immediately and completely replace silicon, but can augment it where it matters most. This case underscores that the next era of semiconductor advancement will be defined by material diversity. The winning technology will likely not be a single “silicon killer,” but a toolkit that includes evolved silicon transistors, 2D channels for ultimate scaling, and perhaps other materials like SiGe, all integrated through advanced packaging and monolithic processes to deliver the next generation of computing performance [Continue the Scaling of Electronic Devices with Transition Metal ..., 2024].</w:t>
      </w:r>
    </w:p>
    <w:p>
      <w:pPr>
        <w:pStyle w:val="Heading2"/>
      </w:pPr>
      <w:r>
        <w:rPr>
          <w:rFonts w:ascii="Times New Roman" w:hAnsi="Times New Roman"/>
          <w:sz w:val="24"/>
        </w:rPr>
        <w:t>6. Comparative Analysis</w:t>
      </w:r>
    </w:p>
    <w:p>
      <w:pPr>
        <w:jc w:val="both"/>
      </w:pPr>
      <w:r>
        <w:rPr>
          <w:rFonts w:ascii="Times New Roman" w:hAnsi="Times New Roman"/>
          <w:sz w:val="20"/>
        </w:rPr>
        <w:t>The contemporary landscape of semiconductor technology development is characterized not by a singular, linear path, but by a complex matrix of competing and complementary approaches. These strategies represent divergent responses to the shared, fundamental challenge of sustaining exponential performance growth in the post-Dennard scaling era. This section provides a comparative analysis of the primary technological vectors shaping the industry: the continued pursuit of monolithic scaling through advanced process nodes, the paradigm of heterogeneous integration via advanced packaging and chiplets, and the foundational revolution in materials science and transistor architecture. Each approach offers distinct advantages, incurs unique costs and complexities, and is championed by different segments of the industry ecosystem. Their convergence, rather than the supremacy of any single one, defines the current state of innovation.</w:t>
      </w:r>
    </w:p>
    <w:p>
      <w:pPr>
        <w:jc w:val="both"/>
      </w:pPr>
      <w:r>
        <w:rPr>
          <w:rFonts w:ascii="Times New Roman" w:hAnsi="Times New Roman"/>
          <w:sz w:val="20"/>
        </w:rPr>
        <w:t>The most historically dominant approach is monolithic scaling, the relentless miniaturization of transistors on a single piece of silicon. This is the traditional engine of Moore's Law, measured by the progression of process nodes (e.g., from 7nm to 3nm and beyond). The primary advantage of this approach is its unparalleled ability to increase transistor density and, historically, to improve performance-per-watt through dimensional scaling. The core performance metrics of Power, Performance, and Area (PPA) are directly and powerfully impacted by node advancement [Accenture, n.d.]. However, this path has become astronomically expensive and physically daunting. Design costs have skyrocketed, and the technical challenges, such as controlling short-channel effects and managing power density, are increasingly severe [Transistor engineering based on 2D materials in the post ..., 2024]. The development cycle for a new node can span four to five years, representing a massive capital and temporal investment [Accenture, n.d.]. This approach is predominantly championed by the world's leading foundries—TSMC, Samsung, and Intel—whose competition centers on achieving and maintaining leadership in these cutting-edge nodes [Digitimes, 2024]. The recent introduction of Gate-All-Around (GAA) transistor architectures exemplifies the architectural innovation required to continue this path, providing superior electrostatic control compared to the prior FinFET generation [New structure transistors for advanced technology node CMOS ICs, 2024].</w:t>
      </w:r>
    </w:p>
    <w:p>
      <w:pPr>
        <w:jc w:val="both"/>
      </w:pPr>
      <w:r>
        <w:rPr>
          <w:rFonts w:ascii="Times New Roman" w:hAnsi="Times New Roman"/>
          <w:sz w:val="20"/>
        </w:rPr>
        <w:t>In stark contrast to the "smaller and smaller" philosophy of monolithic scaling, the approach of heterogeneous integration and advanced packaging adopts a "broader and smarter" mindset. This paradigm, encompassing 2.5D/3D integration, system-in-package (SiP), and the chiplet methodology, seeks performance gains by integrating multiple specialized components—often fabricated on different, optimized process nodes—into a single package [TechInsights, n.d.]. The advantages are multifaceted: it allows for the "mix-and-match" of best-in-class technologies (e.g., leading-edge logic chiplets with mature-node analog or memory chiplets), improves yield by using smaller dies, and enables radical improvements in bandwidth and latency through dense, short interconnects like silicon interposers and through-silicon vias (TSVs) [DNN Technology, 2025; ScienceDirect, 2023]. This approach is particularly effective for overcoming the "memory wall" by stacking high-bandwidth memory (HBM) directly on logic. Its primary challenges lie in the ecosystem: it requires new standards for chiplet interoperability (e.g., UCIe), sophisticated thermal management solutions for 3D stacks, and a new generation of electronic design automation (EDA) tools capable of system-level co-design [ScienceDirect, 2023]. This path is being aggressively pursued across the industry, from pure-play foundries to integrated device manufacturers (IDMs), as a more accessible and cost-effective way to deliver system-level performance, especially for artificial intelligence and high-performance computing workloads [McKinsey &amp; Company, 2025].</w:t>
      </w:r>
    </w:p>
    <w:p>
      <w:pPr>
        <w:jc w:val="both"/>
      </w:pPr>
      <w:r>
        <w:rPr>
          <w:rFonts w:ascii="Times New Roman" w:hAnsi="Times New Roman"/>
          <w:sz w:val="20"/>
        </w:rPr>
        <w:t>Underpinning both monolithic scaling and novel integration schemes is the third critical vector: the revolution in materials science. As silicon approaches its fundamental limits, research into alternative channel materials has transitioned from academic curiosity to industrial imperative. The most promising candidates are two-dimensional (2D) semiconductors, such as molybdenum disulfide (MoS₂). Their atomically thin, dangling-bond-free structure offers the potential for ultimate electrostatic control, enabling further scaling to sub-1-nanometer gate lengths while maintaining high carrier mobility [Two dimensional semiconducting materials for ultimately scaled transistors, 2022; The future of two-dimensional semiconductors beyond Moore's law, 2024]. The advantage is the promise of a new, long-term scaling roadmap beyond silicon. However, the challenges are profound and relate to integration: achieving high-quality, uniform material growth at wafer scale, forming low-resistance electrical contacts, and developing compatible fabrication processes that do not damage the delicate 2D layers [MIT engineers "grow" atomically thin transistors on top of computer ..., 2023]. This approach is currently led by academic institutions and corporate research labs (e.g., Intel, IMEC), representing a long-term, high-risk/high-reward investment in the foundational technology of future decades [Intel looks beyond silicon, outlines breakthroughs in atomically-thin ..., 2024].</w:t>
      </w:r>
    </w:p>
    <w:p>
      <w:pPr>
        <w:jc w:val="both"/>
      </w:pPr>
      <w:r>
        <w:rPr>
          <w:rFonts w:ascii="Times New Roman" w:hAnsi="Times New Roman"/>
          <w:sz w:val="20"/>
        </w:rPr>
        <w:t>The following table synthesizes the core characteristics of these three primary approaches, highlighting their comparative value propositions, challenges, and primary proponents.</w:t>
      </w:r>
    </w:p>
    <w:p>
      <w:pPr>
        <w:jc w:val="both"/>
      </w:pPr>
      <w:r>
        <w:rPr>
          <w:rFonts w:ascii="Times New Roman" w:hAnsi="Times New Roman"/>
          <w:sz w:val="20"/>
        </w:rPr>
        <w:t>Table 1: Comparative Analysis of Primary Semiconductor Technology Development Approaches</w:t>
      </w:r>
    </w:p>
    <w:p>
      <w:pPr>
        <w:jc w:val="center"/>
      </w:pPr>
      <w:r>
        <w:rPr>
          <w:b/>
          <w:sz w:val="18"/>
        </w:rPr>
        <w:t>Table 2. Research Data</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18"/>
              </w:rPr>
              <w:t>Aspect</w:t>
            </w:r>
          </w:p>
        </w:tc>
        <w:tc>
          <w:tcPr>
            <w:tcW w:type="dxa" w:w="2340"/>
          </w:tcPr>
          <w:p>
            <w:r>
              <w:rPr>
                <w:rFonts w:ascii="Times New Roman" w:hAnsi="Times New Roman"/>
                <w:b/>
                <w:sz w:val="18"/>
              </w:rPr>
              <w:t>Monolithic Scaling (Advanced Nodes)</w:t>
            </w:r>
          </w:p>
        </w:tc>
        <w:tc>
          <w:tcPr>
            <w:tcW w:type="dxa" w:w="2340"/>
          </w:tcPr>
          <w:p>
            <w:r>
              <w:rPr>
                <w:rFonts w:ascii="Times New Roman" w:hAnsi="Times New Roman"/>
                <w:b/>
                <w:sz w:val="18"/>
              </w:rPr>
              <w:t>Heterogeneous Integration (Advanced Packaging/Chiplets)</w:t>
            </w:r>
          </w:p>
        </w:tc>
        <w:tc>
          <w:tcPr>
            <w:tcW w:type="dxa" w:w="2340"/>
          </w:tcPr>
          <w:p>
            <w:r>
              <w:rPr>
                <w:rFonts w:ascii="Times New Roman" w:hAnsi="Times New Roman"/>
                <w:b/>
                <w:sz w:val="18"/>
              </w:rPr>
              <w:t>New Channel Materials (e.g., 2D Semiconductors)</w:t>
            </w:r>
          </w:p>
        </w:tc>
      </w:tr>
      <w:tr>
        <w:tc>
          <w:tcPr>
            <w:tcW w:type="dxa" w:w="2340"/>
          </w:tcPr>
          <w:p>
            <w:r>
              <w:rPr>
                <w:rFonts w:ascii="Times New Roman" w:hAnsi="Times New Roman"/>
                <w:sz w:val="18"/>
              </w:rPr>
              <w:t>Core Philosophy</w:t>
            </w:r>
          </w:p>
        </w:tc>
        <w:tc>
          <w:tcPr>
            <w:tcW w:type="dxa" w:w="2340"/>
          </w:tcPr>
          <w:p>
            <w:r>
              <w:rPr>
                <w:rFonts w:ascii="Times New Roman" w:hAnsi="Times New Roman"/>
                <w:sz w:val="18"/>
              </w:rPr>
              <w:t>Improve PPA by making transistors smaller and denser on a single die.</w:t>
            </w:r>
          </w:p>
        </w:tc>
        <w:tc>
          <w:tcPr>
            <w:tcW w:type="dxa" w:w="2340"/>
          </w:tcPr>
          <w:p>
            <w:r>
              <w:rPr>
                <w:rFonts w:ascii="Times New Roman" w:hAnsi="Times New Roman"/>
                <w:sz w:val="18"/>
              </w:rPr>
              <w:t>Improve system performance by integrating multiple optimized components in a package.</w:t>
            </w:r>
          </w:p>
        </w:tc>
        <w:tc>
          <w:tcPr>
            <w:tcW w:type="dxa" w:w="2340"/>
          </w:tcPr>
          <w:p>
            <w:r>
              <w:rPr>
                <w:rFonts w:ascii="Times New Roman" w:hAnsi="Times New Roman"/>
                <w:sz w:val="18"/>
              </w:rPr>
              <w:t>Enable further scaling and new functionalities by replacing the silicon channel.</w:t>
            </w:r>
          </w:p>
        </w:tc>
      </w:tr>
      <w:tr>
        <w:tc>
          <w:tcPr>
            <w:tcW w:type="dxa" w:w="2340"/>
          </w:tcPr>
          <w:p>
            <w:r>
              <w:rPr>
                <w:rFonts w:ascii="Times New Roman" w:hAnsi="Times New Roman"/>
                <w:sz w:val="18"/>
              </w:rPr>
              <w:t>Key Advantages</w:t>
            </w:r>
          </w:p>
        </w:tc>
        <w:tc>
          <w:tcPr>
            <w:tcW w:type="dxa" w:w="2340"/>
          </w:tcPr>
          <w:p>
            <w:r>
              <w:rPr>
                <w:rFonts w:ascii="Times New Roman" w:hAnsi="Times New Roman"/>
                <w:sz w:val="18"/>
              </w:rPr>
              <w:t>Highest transistor density; direct PPA improvement per historical Moore's Law; well-established design ecosystem.</w:t>
            </w:r>
          </w:p>
        </w:tc>
        <w:tc>
          <w:tcPr>
            <w:tcW w:type="dxa" w:w="2340"/>
          </w:tcPr>
          <w:p>
            <w:r>
              <w:rPr>
                <w:rFonts w:ascii="Times New Roman" w:hAnsi="Times New Roman"/>
                <w:sz w:val="18"/>
              </w:rPr>
              <w:t>Enables "mix-and-match" of process nodes; improves yield; overcomes interconnect bottlenecks (memory wall); faster time-to-market for system solutions.</w:t>
            </w:r>
          </w:p>
        </w:tc>
        <w:tc>
          <w:tcPr>
            <w:tcW w:type="dxa" w:w="2340"/>
          </w:tcPr>
          <w:p>
            <w:r>
              <w:rPr>
                <w:rFonts w:ascii="Times New Roman" w:hAnsi="Times New Roman"/>
                <w:sz w:val="18"/>
              </w:rPr>
              <w:t>Potential for ultimate scaling (sub-1nm); excellent electrostatic control; enables novel flexible/optoelectronic applications.</w:t>
            </w:r>
          </w:p>
        </w:tc>
      </w:tr>
      <w:tr>
        <w:tc>
          <w:tcPr>
            <w:tcW w:type="dxa" w:w="2340"/>
          </w:tcPr>
          <w:p>
            <w:r>
              <w:rPr>
                <w:rFonts w:ascii="Times New Roman" w:hAnsi="Times New Roman"/>
                <w:sz w:val="18"/>
              </w:rPr>
              <w:t>Primary Challenges</w:t>
            </w:r>
          </w:p>
        </w:tc>
        <w:tc>
          <w:tcPr>
            <w:tcW w:type="dxa" w:w="2340"/>
          </w:tcPr>
          <w:p>
            <w:r>
              <w:rPr>
                <w:rFonts w:ascii="Times New Roman" w:hAnsi="Times New Roman"/>
                <w:sz w:val="18"/>
              </w:rPr>
              <w:t>Astronomical cost (design &amp; fab); severe physical limits (short-channel effects, power density); long development cycles.</w:t>
            </w:r>
          </w:p>
        </w:tc>
        <w:tc>
          <w:tcPr>
            <w:tcW w:type="dxa" w:w="2340"/>
          </w:tcPr>
          <w:p>
            <w:r>
              <w:rPr>
                <w:rFonts w:ascii="Times New Roman" w:hAnsi="Times New Roman"/>
                <w:sz w:val="18"/>
              </w:rPr>
              <w:t>Ecosystem fragmentation (need for standards); thermal management in 3D stacks; complex system-level design and testing.</w:t>
            </w:r>
          </w:p>
        </w:tc>
        <w:tc>
          <w:tcPr>
            <w:tcW w:type="dxa" w:w="2340"/>
          </w:tcPr>
          <w:p>
            <w:r>
              <w:rPr>
                <w:rFonts w:ascii="Times New Roman" w:hAnsi="Times New Roman"/>
                <w:sz w:val="18"/>
              </w:rPr>
              <w:t>Immature manufacturing at scale; high contact resistance; integration with silicon CMOS process flow.</w:t>
            </w:r>
          </w:p>
        </w:tc>
      </w:tr>
      <w:tr>
        <w:tc>
          <w:tcPr>
            <w:tcW w:type="dxa" w:w="2340"/>
          </w:tcPr>
          <w:p>
            <w:r>
              <w:rPr>
                <w:rFonts w:ascii="Times New Roman" w:hAnsi="Times New Roman"/>
                <w:sz w:val="18"/>
              </w:rPr>
              <w:t>Key Enabling Technologies</w:t>
            </w:r>
          </w:p>
        </w:tc>
        <w:tc>
          <w:tcPr>
            <w:tcW w:type="dxa" w:w="2340"/>
          </w:tcPr>
          <w:p>
            <w:r>
              <w:rPr>
                <w:rFonts w:ascii="Times New Roman" w:hAnsi="Times New Roman"/>
                <w:sz w:val="18"/>
              </w:rPr>
              <w:t>High-NA EUV lithography; GAA (nanosheet/nanowire) transistors; computational lithography.</w:t>
            </w:r>
          </w:p>
        </w:tc>
        <w:tc>
          <w:tcPr>
            <w:tcW w:type="dxa" w:w="2340"/>
          </w:tcPr>
          <w:p>
            <w:r>
              <w:rPr>
                <w:rFonts w:ascii="Times New Roman" w:hAnsi="Times New Roman"/>
                <w:sz w:val="18"/>
              </w:rPr>
              <w:t>Silicon interposers; TSVs; fan-out wafer-level packaging (FOWLP); chiplet interconnect standards (UCIe).</w:t>
            </w:r>
          </w:p>
        </w:tc>
        <w:tc>
          <w:tcPr>
            <w:tcW w:type="dxa" w:w="2340"/>
          </w:tcPr>
          <w:p>
            <w:r>
              <w:rPr>
                <w:rFonts w:ascii="Times New Roman" w:hAnsi="Times New Roman"/>
                <w:sz w:val="18"/>
              </w:rPr>
              <w:t>Chemical vapor deposition (CVD) of 2D materials; novel contact engineering; low-temperature back-end-of-line processes.</w:t>
            </w:r>
          </w:p>
        </w:tc>
      </w:tr>
      <w:tr>
        <w:tc>
          <w:tcPr>
            <w:tcW w:type="dxa" w:w="2340"/>
          </w:tcPr>
          <w:p>
            <w:r>
              <w:rPr>
                <w:rFonts w:ascii="Times New Roman" w:hAnsi="Times New Roman"/>
                <w:sz w:val="18"/>
              </w:rPr>
              <w:t>Typical Proponents</w:t>
            </w:r>
          </w:p>
        </w:tc>
        <w:tc>
          <w:tcPr>
            <w:tcW w:type="dxa" w:w="2340"/>
          </w:tcPr>
          <w:p>
            <w:r>
              <w:rPr>
                <w:rFonts w:ascii="Times New Roman" w:hAnsi="Times New Roman"/>
                <w:sz w:val="18"/>
              </w:rPr>
              <w:t>Leading-edge foundries (TSMC, Samsung Foundry, Intel Foundry).</w:t>
            </w:r>
          </w:p>
        </w:tc>
        <w:tc>
          <w:tcPr>
            <w:tcW w:type="dxa" w:w="2340"/>
          </w:tcPr>
          <w:p>
            <w:r>
              <w:rPr>
                <w:rFonts w:ascii="Times New Roman" w:hAnsi="Times New Roman"/>
                <w:sz w:val="18"/>
              </w:rPr>
              <w:t>All major semiconductor firms (foundries, IDMs, fabless designers), especially for HPC/AI.</w:t>
            </w:r>
          </w:p>
        </w:tc>
        <w:tc>
          <w:tcPr>
            <w:tcW w:type="dxa" w:w="2340"/>
          </w:tcPr>
          <w:p>
            <w:r>
              <w:rPr>
                <w:rFonts w:ascii="Times New Roman" w:hAnsi="Times New Roman"/>
                <w:sz w:val="18"/>
              </w:rPr>
              <w:t>Academic research labs, corporate R&amp;D centers (Intel, IMEC), and long-term industry consortia.</w:t>
            </w:r>
          </w:p>
        </w:tc>
      </w:tr>
      <w:tr>
        <w:tc>
          <w:tcPr>
            <w:tcW w:type="dxa" w:w="2340"/>
          </w:tcPr>
          <w:p>
            <w:r>
              <w:rPr>
                <w:rFonts w:ascii="Times New Roman" w:hAnsi="Times New Roman"/>
                <w:sz w:val="18"/>
              </w:rPr>
              <w:t>Time Horizon</w:t>
            </w:r>
          </w:p>
        </w:tc>
        <w:tc>
          <w:tcPr>
            <w:tcW w:type="dxa" w:w="2340"/>
          </w:tcPr>
          <w:p>
            <w:r>
              <w:rPr>
                <w:rFonts w:ascii="Times New Roman" w:hAnsi="Times New Roman"/>
                <w:sz w:val="18"/>
              </w:rPr>
              <w:t>Near-to-mid-term (current and next 2-3 nodes).</w:t>
            </w:r>
          </w:p>
        </w:tc>
        <w:tc>
          <w:tcPr>
            <w:tcW w:type="dxa" w:w="2340"/>
          </w:tcPr>
          <w:p>
            <w:r>
              <w:rPr>
                <w:rFonts w:ascii="Times New Roman" w:hAnsi="Times New Roman"/>
                <w:sz w:val="18"/>
              </w:rPr>
              <w:t>Mid-term (currently in high-volume production and rapidly evolving).</w:t>
            </w:r>
          </w:p>
        </w:tc>
        <w:tc>
          <w:tcPr>
            <w:tcW w:type="dxa" w:w="2340"/>
          </w:tcPr>
          <w:p>
            <w:r>
              <w:rPr>
                <w:rFonts w:ascii="Times New Roman" w:hAnsi="Times New Roman"/>
                <w:sz w:val="18"/>
              </w:rPr>
              <w:t>Long-term (pre-competitive R&amp;D, likely post-2030 for widespread adoption).</w:t>
            </w:r>
          </w:p>
        </w:tc>
      </w:tr>
    </w:tbl>
    <w:p/>
    <w:p>
      <w:pPr>
        <w:jc w:val="both"/>
      </w:pPr>
      <w:r>
        <w:rPr>
          <w:rFonts w:ascii="Times New Roman" w:hAnsi="Times New Roman"/>
          <w:sz w:val="20"/>
        </w:rPr>
        <w:t>The interplay between these approaches is not one of mutual exclusion but of strategic synergy. For instance, the most advanced systems today, such as NVIDIA's AI accelerators, leverage both leading-edge monolithic scaling (for the core logic die) and advanced 2.5D packaging (to integrate HBM memory) [Infomineo, n.d.]. Similarly, the future integration of 2D material transistors will likely occur within a GAA architecture on a silicon wafer, which itself may be part of a larger chiplet-based system [Continue the Scaling of Electronic Devices with Transition Metal ..., 2024]. The decision of which path to prioritize is a complex strategic choice for companies, influenced by their market position, capital resources, and target applications. A fabless design company may focus on architecting chiplet-based systems using externally sourced advanced nodes and packaging, while a leading foundry must invest concurrently in all three vectors to maintain its technology portfolio.</w:t>
      </w:r>
    </w:p>
    <w:p>
      <w:pPr>
        <w:jc w:val="both"/>
      </w:pPr>
      <w:r>
        <w:rPr>
          <w:rFonts w:ascii="Times New Roman" w:hAnsi="Times New Roman"/>
          <w:sz w:val="20"/>
        </w:rPr>
        <w:t>flowchart TD</w:t>
      </w:r>
    </w:p>
    <w:p>
      <w:pPr>
        <w:jc w:val="both"/>
      </w:pPr>
      <w:r>
        <w:rPr>
          <w:rFonts w:ascii="Times New Roman" w:hAnsi="Times New Roman"/>
          <w:sz w:val="20"/>
        </w:rPr>
        <w:t>A[Start: Define System Performance Goal] --&gt; B{Analyze Primary Bottleneck};</w:t>
      </w:r>
    </w:p>
    <w:p>
      <w:pPr>
        <w:jc w:val="both"/>
      </w:pPr>
      <w:r>
        <w:rPr>
          <w:rFonts w:ascii="Times New Roman" w:hAnsi="Times New Roman"/>
          <w:sz w:val="20"/>
        </w:rPr>
        <w:t>B --&gt; C[Interconnect/Memory Bandwidth];</w:t>
      </w:r>
    </w:p>
    <w:p>
      <w:pPr>
        <w:jc w:val="both"/>
      </w:pPr>
      <w:r>
        <w:rPr>
          <w:rFonts w:ascii="Times New Roman" w:hAnsi="Times New Roman"/>
          <w:sz w:val="20"/>
        </w:rPr>
        <w:t>B --&gt; D[Raw Logic Transistor Performance];</w:t>
      </w:r>
    </w:p>
    <w:p>
      <w:pPr>
        <w:jc w:val="both"/>
      </w:pPr>
      <w:r>
        <w:rPr>
          <w:rFonts w:ascii="Times New Roman" w:hAnsi="Times New Roman"/>
          <w:sz w:val="20"/>
        </w:rPr>
        <w:t>B --&gt; E[Power Efficiency at Ultimate Scale];</w:t>
      </w:r>
    </w:p>
    <w:p>
      <w:pPr>
        <w:jc w:val="both"/>
      </w:pPr>
      <w:r>
        <w:rPr>
          <w:rFonts w:ascii="Times New Roman" w:hAnsi="Times New Roman"/>
          <w:sz w:val="20"/>
        </w:rPr>
        <w:t>C --&gt; F[Prioritize &lt;b&gt;Heterogeneous Integration&lt;/b&gt;&lt;br/&gt;e.g., 2.5D/3D with HBM];</w:t>
      </w:r>
    </w:p>
    <w:p>
      <w:pPr>
        <w:jc w:val="both"/>
      </w:pPr>
      <w:r>
        <w:rPr>
          <w:rFonts w:ascii="Times New Roman" w:hAnsi="Times New Roman"/>
          <w:sz w:val="20"/>
        </w:rPr>
        <w:t>D --&gt; G[Prioritize &lt;b&gt;Monolithic Scaling&lt;/b&gt;&lt;br/&gt;on Advanced Node];</w:t>
      </w:r>
    </w:p>
    <w:p>
      <w:pPr>
        <w:jc w:val="both"/>
      </w:pPr>
      <w:r>
        <w:rPr>
          <w:rFonts w:ascii="Times New Roman" w:hAnsi="Times New Roman"/>
          <w:sz w:val="20"/>
        </w:rPr>
        <w:t>E --&gt; H[Invest in R&amp;D for &lt;b&gt;New Channel Materials&lt;/b&gt;&lt;br/&gt;e.g., 2D Semiconductors];</w:t>
      </w:r>
    </w:p>
    <w:p>
      <w:pPr>
        <w:jc w:val="both"/>
      </w:pPr>
      <w:r>
        <w:rPr>
          <w:rFonts w:ascii="Times New Roman" w:hAnsi="Times New Roman"/>
          <w:sz w:val="20"/>
        </w:rPr>
        <w:t>F --&gt; I{Consider Ecosystem Maturity?};</w:t>
      </w:r>
    </w:p>
    <w:p>
      <w:pPr>
        <w:jc w:val="both"/>
      </w:pPr>
      <w:r>
        <w:rPr>
          <w:rFonts w:ascii="Times New Roman" w:hAnsi="Times New Roman"/>
          <w:sz w:val="20"/>
        </w:rPr>
        <w:t>G --&gt; J{Consider Cost &amp; Feasibility?};</w:t>
      </w:r>
    </w:p>
    <w:p>
      <w:pPr>
        <w:jc w:val="both"/>
      </w:pPr>
      <w:r>
        <w:rPr>
          <w:rFonts w:ascii="Times New Roman" w:hAnsi="Times New Roman"/>
          <w:sz w:val="20"/>
        </w:rPr>
        <w:t>H --&gt; K{Consider Integration Path?};</w:t>
      </w:r>
    </w:p>
    <w:p>
      <w:pPr>
        <w:jc w:val="both"/>
      </w:pPr>
      <w:r>
        <w:rPr>
          <w:rFonts w:ascii="Times New Roman" w:hAnsi="Times New Roman"/>
          <w:sz w:val="20"/>
        </w:rPr>
        <w:t>I -- Yes/Established --&gt; L[Adopt Chiplet/Advanced Packaging Strategy];</w:t>
      </w:r>
    </w:p>
    <w:p>
      <w:pPr>
        <w:jc w:val="both"/>
      </w:pPr>
      <w:r>
        <w:rPr>
          <w:rFonts w:ascii="Times New Roman" w:hAnsi="Times New Roman"/>
          <w:sz w:val="20"/>
        </w:rPr>
        <w:t>I -- No/Immature --&gt; M[Engage in Co-Development or&lt;br/&gt;Use Intermediate Packaging Tech];</w:t>
      </w:r>
    </w:p>
    <w:p>
      <w:pPr>
        <w:jc w:val="both"/>
      </w:pPr>
      <w:r>
        <w:rPr>
          <w:rFonts w:ascii="Times New Roman" w:hAnsi="Times New Roman"/>
          <w:sz w:val="20"/>
        </w:rPr>
        <w:t>J -- Cost-Prohibitive --&gt; N[Explore Multi-Chiplet Design&lt;br/&gt;on Mature Nodes];</w:t>
      </w:r>
    </w:p>
    <w:p>
      <w:pPr>
        <w:jc w:val="both"/>
      </w:pPr>
      <w:r>
        <w:rPr>
          <w:rFonts w:ascii="Times New Roman" w:hAnsi="Times New Roman"/>
          <w:sz w:val="20"/>
        </w:rPr>
        <w:t>J -- Feasible --&gt; O[Target Leading-Edge Node&lt;br/&gt;with GAA Architecture];</w:t>
      </w:r>
    </w:p>
    <w:p>
      <w:pPr>
        <w:jc w:val="both"/>
      </w:pPr>
      <w:r>
        <w:rPr>
          <w:rFonts w:ascii="Times New Roman" w:hAnsi="Times New Roman"/>
          <w:sz w:val="20"/>
        </w:rPr>
        <w:t>K -- Monolithic on Si --&gt; P[Develop Low-Temp Process&lt;br/&gt;for 2D-on-Si Integration];</w:t>
      </w:r>
    </w:p>
    <w:p>
      <w:pPr>
        <w:jc w:val="both"/>
      </w:pPr>
      <w:r>
        <w:rPr>
          <w:rFonts w:ascii="Times New Roman" w:hAnsi="Times New Roman"/>
          <w:sz w:val="20"/>
        </w:rPr>
        <w:t>K -- Disruptive --&gt; Q[Explore Novel Architectures&lt;br/&gt;for 2D-Based Flexible Electronics];</w:t>
      </w:r>
    </w:p>
    <w:p>
      <w:pPr>
        <w:jc w:val="both"/>
      </w:pPr>
      <w:r>
        <w:rPr>
          <w:rFonts w:ascii="Times New Roman" w:hAnsi="Times New Roman"/>
          <w:sz w:val="20"/>
        </w:rPr>
        <w:t>This decision framework illustrates that the choice of technological approach is fundamentally driven by the specific performance bottleneck a designer aims to address. The industry's trajectory is thus one of convergence, where the boundaries between these approaches blur. The ultimate "winning" strategy is a holistic one that strategically combines scaled transistors, innovative packaging, and new materials to create optimized systems. This multi-dimensional innovation landscape, while more complex than the simpler era of planar scaling, offers a richer set of tools to sustain the progress of computing in the face of physical and economic constraints, ensuring that the evolution of the chip industry remains dynamic and multifaceted.</w:t>
      </w:r>
    </w:p>
    <w:p>
      <w:pPr>
        <w:pStyle w:val="Heading2"/>
      </w:pPr>
      <w:r>
        <w:rPr>
          <w:rFonts w:ascii="Times New Roman" w:hAnsi="Times New Roman"/>
          <w:sz w:val="24"/>
        </w:rPr>
        <w:t>7. Challenges and Solutions</w:t>
      </w:r>
    </w:p>
    <w:p>
      <w:pPr>
        <w:jc w:val="both"/>
      </w:pPr>
      <w:r>
        <w:rPr>
          <w:rFonts w:ascii="Times New Roman" w:hAnsi="Times New Roman"/>
          <w:sz w:val="20"/>
        </w:rPr>
        <w:t>The semiconductor industry stands at a critical inflection point, where its foundational trajectory of miniaturization and integration is confronting a confluence of physical, economic, and geopolitical barriers. The traditional path of scaling transistor dimensions on a single silicon die, enshrined in Moore's Law, is becoming prohibitively expensive and is approaching fundamental atomic limits [Transistor engineering based on 2D materials in the post ..., 2024]. This has catalyzed a strategic pivot towards heterogeneous integration through advanced packaging and the exploration of revolutionary materials and architectures. However, this new paradigm introduces its own complex set of challenges spanning technical feasibility, astronomical costs, supply chain security, and environmental sustainability. Navigating this landscape requires a multifaceted approach, combining continued fundamental research, ecosystem-wide collaboration, and strategic policy support to unlock the next era of computational progress.</w:t>
      </w:r>
    </w:p>
    <w:p>
      <w:pPr>
        <w:pStyle w:val="Heading3"/>
      </w:pPr>
      <w:r>
        <w:rPr>
          <w:rFonts w:ascii="Times New Roman" w:hAnsi="Times New Roman"/>
          <w:sz w:val="22"/>
        </w:rPr>
        <w:t>7.1 Technical and Manufacturing Hurdles</w:t>
      </w:r>
    </w:p>
    <w:p>
      <w:pPr>
        <w:jc w:val="both"/>
      </w:pPr>
      <w:r>
        <w:rPr>
          <w:rFonts w:ascii="Times New Roman" w:hAnsi="Times New Roman"/>
          <w:sz w:val="20"/>
        </w:rPr>
        <w:t>The foremost technical challenges reside at the intersection of materials science, device physics, and manufacturing precision. As process nodes advance beyond 3nm, traditional silicon FinFET transistors suffer from severe short-channel effects, leading to unacceptable levels of power leakage and performance variability [New structure transistors for advanced technology node CMOS ICs, 2024]. The industry's response is the transition to Gate-All-Around (GAA) architectures, such as nanosheets, which provide superior electrostatic control by wrapping the gate material around the channel on all sides. While this mitigates leakage, it introduces immense manufacturing complexity, requiring atomic-level precision in depositing and etching multiple stacked layers of silicon and dielectric materials. Concurrently, patterning these dense, three-dimensional structures necessitates the next generation of lithography: High-Numerical Aperture (High-NA) Extreme Ultraviolet (EUV) systems. These machines represent a monumental leap in cost and complexity, with each tool costing over $300 million, and they introduce new challenges in photoresist chemistry, mask defectivity, and overlay accuracy [Accenture, n.d.]. The integration of these tools into high-volume manufacturing is a slow, iterative process that risks delaying the cadence of new node introductions.</w:t>
      </w:r>
    </w:p>
    <w:p>
      <w:pPr>
        <w:jc w:val="both"/>
      </w:pPr>
      <w:r>
        <w:rPr>
          <w:rFonts w:ascii="Times New Roman" w:hAnsi="Times New Roman"/>
          <w:sz w:val="20"/>
        </w:rPr>
        <w:t>Beyond architectural evolution, the search for new channel materials to replace or augment silicon presents a profound challenge. Two-dimensional (2D) semiconductors like molybdenum disulfide (MoS₂) offer a promising path due to their atomically thin bodies and excellent electrostatic integrity, potentially enabling scaling to sub-1-nanometer gate lengths [Two dimensional semiconducting materials for ultimately scaled transistors, 2022]. However, the reliable, high-volume synthesis of uniform, low-defect 2D material films directly on silicon wafers remains a significant hurdle. While recent breakthroughs, such as the low-temperature growth of 2D transistors on 8-inch wafers, show promise, achieving the material quality, uniformity, and integration yield required for commercial production is a multi-year endeavor [MIT engineers "grow" atomically thin transistors on top of computer ..., 2023]. Furthermore, the transition to these novel materials exacerbates the "interconnect bottleneck." As transistors shrink and become more efficient, the relative power consumption and latency of the metallic wires connecting them dominate overall system performance and energy use. This necessitates parallel innovation in new interconnect materials (such as cobalt, ruthenium) and 3D integration schemes to shorten wiring lengths, which in turn creates formidable challenges in thermal management and mechanical stress within the chip stack [Physical Design Challenges and Solutions for Emerging..., n.d.].</w:t>
      </w:r>
    </w:p>
    <w:p>
      <w:pPr>
        <w:jc w:val="both"/>
      </w:pPr>
      <w:r>
        <w:rPr>
          <w:rFonts w:ascii="Times New Roman" w:hAnsi="Times New Roman"/>
          <w:sz w:val="20"/>
        </w:rPr>
        <w:t>The shift towards advanced packaging and chiplet-based design, while alleviating some scaling pressures, introduces a new layer of technical complexity. Heterogeneous integration, which combines disparate dies—logic, memory, analog—into a single package, requires flawless interoperability between components that may be fabricated on different process nodes and by different vendors. Key technical hurdles include achieving high-yield, fine-pitch microbump connections and through-silicon vias (TSVs) for 3D stacking, managing the significant thermal dissipation from densely packed power-dense chiplets, and ensuring signal integrity across high-speed die-to-die interfaces [ScienceDirect, 2023]. Thermal management is particularly acute in 3D memory-on-logic stacks, where heat generated by the logic die can be trapped, degrading the performance and reliability of the overlying memory. Effective solutions require co-design of the chip architecture, package substrate, and cooling system from the outset, a practice not fully enabled by today's electronic design automation (EDA) tools. The industry must develop new simulation, testing, and handling methodologies for these fragile, multi-die systems to ensure reliability over their operational lifespan.</w:t>
      </w:r>
    </w:p>
    <w:p>
      <w:pPr>
        <w:pStyle w:val="Heading3"/>
      </w:pPr>
      <w:r>
        <w:rPr>
          <w:rFonts w:ascii="Times New Roman" w:hAnsi="Times New Roman"/>
          <w:sz w:val="22"/>
        </w:rPr>
        <w:t>7.2 Economic and Supply Chain Challenges</w:t>
      </w:r>
    </w:p>
    <w:p>
      <w:pPr>
        <w:jc w:val="both"/>
      </w:pPr>
      <w:r>
        <w:rPr>
          <w:rFonts w:ascii="Times New Roman" w:hAnsi="Times New Roman"/>
          <w:sz w:val="20"/>
        </w:rPr>
        <w:t>The economic model of semiconductor advancement is under unprecedented strain. The cost of designing and manufacturing a leading-edge chip has escalated to staggering levels, creating a formidable barrier to entry and concentrating capability in the hands of a few giants. Design costs alone have skyrocketed from approximately $50 million for a 28nm chip to around $542 million for a 5nm chip, with the figure expected to rise further for 3nm and beyond [Accenture, n.d.]. This is compounded by the capital expenditure required for a state-of-the-art fabrication plant (fab), which now exceeds $20 billion. This economic reality narrows the field of players who can compete at the leading edge, reinforcing the dominance of TSMC, Samsung, and Intel, and forcing many fabless design companies into a dependent relationship with these foundries [Digitimes, 2024]. The immense financial risk associated with each new process node discourages experimentation and can slow the pace of innovation, as companies must guarantee high-volume production to justify the investment.</w:t>
      </w:r>
    </w:p>
    <w:p>
      <w:pPr>
        <w:jc w:val="both"/>
      </w:pPr>
      <w:r>
        <w:rPr>
          <w:rFonts w:ascii="Times New Roman" w:hAnsi="Times New Roman"/>
          <w:sz w:val="20"/>
        </w:rPr>
        <w:t>This economic concentration intersects dangerously with geopolitical fragmentation, creating severe supply chain vulnerabilities. The semiconductor value chain has become a focal point of national security strategy, leading to export controls, trade restrictions, and massive subsidy programs like the U.S. CHIPS and Science Act [PwC, 2026]. While these subsidies aim to build regional resilience, they also risk inefficient duplication of capacity and a costly bifurcation of global standards and supply chains. The U.S.-led restrictions on advanced semiconductor manufacturing equipment sales to China, for instance, have spurred a determined push for indigenous capability but have also disrupted a deeply integrated global ecosystem [ScienceDirect, 2024]. For global manufacturers, this means navigating complex "friend-shoring" requirements, qualifying multiple suppliers for critical materials and components, and managing increased logistics costs and lead times. The concentration of advanced manufacturing capacity in specific geographic regions, notably Taiwan for leading-edge logic, creates a single point of failure that poses a systemic risk to the global technology economy [Infomineo, n.d.].</w:t>
      </w:r>
    </w:p>
    <w:p>
      <w:pPr>
        <w:jc w:val="both"/>
      </w:pPr>
      <w:r>
        <w:rPr>
          <w:rFonts w:ascii="Times New Roman" w:hAnsi="Times New Roman"/>
          <w:sz w:val="20"/>
        </w:rPr>
        <w:t>Furthermore, the industry faces a critical talent shortage that threatens its growth trajectory. The highly specialized skills required in fields like materials science, photolithography, and chip architecture are in desperately short supply globally. The problem is exacerbated by the lengthy training periods needed and the intense competition for a limited pool of experts. This talent gap extends from PhD-level researchers to skilled fab technicians, constraining the pace of expansion for new fabs and the development of next-generation technologies. Companies and governments are now engaged in a global competition to attract and cultivate this human capital, investing in STEM education and specialized training programs, but the gap remains a significant bottleneck [KPMG, 2025]. Without a sustained and coordinated effort to build the workforce of the future, the industry's ambitious roadmaps for both scaling and advanced packaging may be impossible to execute.</w:t>
      </w:r>
    </w:p>
    <w:p>
      <w:pPr>
        <w:pStyle w:val="Heading3"/>
      </w:pPr>
      <w:r>
        <w:rPr>
          <w:rFonts w:ascii="Times New Roman" w:hAnsi="Times New Roman"/>
          <w:sz w:val="22"/>
        </w:rPr>
        <w:t>7.3 Strategic Solutions and Future Pathways</w:t>
      </w:r>
    </w:p>
    <w:p>
      <w:pPr>
        <w:jc w:val="both"/>
      </w:pPr>
      <w:r>
        <w:rPr>
          <w:rFonts w:ascii="Times New Roman" w:hAnsi="Times New Roman"/>
          <w:sz w:val="20"/>
        </w:rPr>
        <w:t>Addressing these multifaceted challenges requires a holistic and collaborative strategy that spans technical innovation, business model evolution, and international policy coordination. On the technical front, the solution lies in a diversified toolkit rather than a single silver bullet. The industry must continue its dual-track approach: extending silicon-based technology through architectures like GAA and High-NA EUV, while aggressively maturing post-silicon alternatives. For 2D materials, focused research consortia bringing together academia, chipmakers, and equipment suppliers are essential to solve key integration challenges, such as contact resistance, defect density, and wafer-scale uniformity [The future of two-dimensional semiconductors beyond Moore's law, 2024]. Similarly, innovation in thermal management for 3D ICs—such as integrated microfluidic cooling, thermally conductive interface materials, and novel heat spreader designs—must be prioritized through dedicated R&amp;D programs. The adoption of artificial intelligence and machine learning in the design process itself offers a powerful solution to manage complexity. Generative AI can automate and optimize stages of the design flow, from architectural exploration to physical layout, helping engineers navigate the immense trade-off space between power, performance, and area (PPA) more efficiently and potentially discovering superior configurations unattainable through traditional methods [Generative AI in Chip Design: Unlocking New Possibilities | LinkedIn, n.d.].</w:t>
      </w:r>
    </w:p>
    <w:p>
      <w:pPr>
        <w:jc w:val="both"/>
      </w:pPr>
      <w:r>
        <w:rPr>
          <w:rFonts w:ascii="Times New Roman" w:hAnsi="Times New Roman"/>
          <w:sz w:val="20"/>
        </w:rPr>
        <w:t>Economically, the chiplet paradigm and advanced packaging represent a crucial solution to the cost crisis of monolithic scaling. By disaggregating a large system-on-chip (SoC) into smaller, modular chiplets that can be fabricated on the optimal—and not necessarily the most advanced—process node, design costs can be reduced and yield improved [DNN Technology, 2025]. For this model to reach its full potential, the industry must coalesce around open standards. The Universal Chiplet Interconnect Express (UCIe) consortium is a pivotal step in this direction, aiming to establish a standardized die-to-die interface that enables interoperability between chiplets from different vendors [ScienceDirect, 2023]. Widespread adoption of such standards will create a vibrant ecosystem, reduce integration risk, and lower barriers for innovation, allowing smaller companies to contribute specialized chiplets. Furthermore, the foundry model must evolve towards greater collaboration. Integrated device manufacturers (IDMs) like Intel opening their fabs to external customers (as in the IDM 2.0 strategy) and foundries offering more co-design and co-optimization services can help distribute the financial burden of advanced R&amp;D and create more resilient, flexible supply chains [McKinsey Electronics, 2024].</w:t>
      </w:r>
    </w:p>
    <w:p>
      <w:pPr>
        <w:jc w:val="both"/>
      </w:pPr>
      <w:r>
        <w:rPr>
          <w:rFonts w:ascii="Times New Roman" w:hAnsi="Times New Roman"/>
          <w:sz w:val="20"/>
        </w:rPr>
        <w:t>At the geopolitical and supply chain level, the solution requires a delicate balance between resilience and global cooperation. While some degree of regional capacity building is necessary for security, a full decoupling of semiconductor supply chains is economically ruinous and technologically regressive. A more sustainable path involves "managed interdependence," where nations and companies collaborate to identify and secure choke points while maintaining open flows of knowledge, talent, and non-critical components. International agreements on export control norms and multilateral R&amp;D initiatives, such as those focused on environmental sustainability or next-generation materials, can help maintain a cooperative foundation [PwC, 2026]. Concurrently, addressing the talent shortage demands a global, multi-stakeholder effort. This includes significant investment in university research and specialized curriculum development, industry-funded apprenticeship and retraining programs, and government policies that attract and retain international STEM talent. The industry's future depends not only on its technological brilliance but also on its ability to cultivate the human capital required to sustain it.</w:t>
      </w:r>
    </w:p>
    <w:p>
      <w:pPr>
        <w:jc w:val="both"/>
      </w:pPr>
      <w:r>
        <w:rPr>
          <w:rFonts w:ascii="Times New Roman" w:hAnsi="Times New Roman"/>
          <w:sz w:val="20"/>
        </w:rPr>
        <w:t>In conclusion, the challenges facing the chip industry are as formidable as they are consequential, stemming from the laws of physics, the realities of economics, and the tensions of geopolitics. Yet, the outlined solutions—embracing heterogeneity in materials and integration, driving standardization for a chiplet ecosystem, leveraging AI in design, and pursuing smart, cooperative supply chain resilience—chart a viable path forward. The industry's history is one of overcoming seemingly insurmountable obstacles through innovation and collaboration. By continuing to evolve its strategies and partnerships, the semiconductor sector can navigate this complex landscape and continue to deliver the exponential gains in computing that underpin the modern digital world.</w:t>
      </w:r>
    </w:p>
    <w:p>
      <w:pPr>
        <w:pStyle w:val="Heading2"/>
      </w:pPr>
      <w:r>
        <w:rPr>
          <w:rFonts w:ascii="Times New Roman" w:hAnsi="Times New Roman"/>
          <w:sz w:val="24"/>
        </w:rPr>
        <w:t>8. Future Outlook</w:t>
      </w:r>
    </w:p>
    <w:p>
      <w:pPr>
        <w:jc w:val="both"/>
      </w:pPr>
      <w:r>
        <w:rPr>
          <w:rFonts w:ascii="Times New Roman" w:hAnsi="Times New Roman"/>
          <w:sz w:val="20"/>
        </w:rPr>
        <w:t>The semiconductor industry stands at a pivotal inflection point, where its future trajectory will be shaped not by a single technological breakthrough, but by the complex convergence of multiple, interdependent vectors of innovation. The era defined solely by the planar scaling of silicon transistors—the engine of Moore's Law for over half a century—is giving way to a more heterogeneous and multi-dimensional paradigm. The future outlook for chip technology development will be characterized by a fundamental shift from "More Moore" to "More than Moore," where continued performance gains are achieved through architectural ingenuity, novel materials, advanced integration schemes, and intelligent design methodologies. This transition is driven by the insatiable demands of artificial intelligence, high-performance computing, and an increasingly connected world, which require exponential improvements in computational efficiency, energy consumption, and functional integration that can no longer be delivered by scaling alone [ScienceDirect, 2023; McKinsey &amp; Company, 2025]. The industry's path forward will therefore involve navigating a complex landscape of technical challenges, economic realities, and geopolitical forces, all while orchestrating advancements across the entire technology stack from atoms to systems.</w:t>
      </w:r>
    </w:p>
    <w:p>
      <w:pPr>
        <w:jc w:val="both"/>
      </w:pPr>
      <w:r>
        <w:rPr>
          <w:rFonts w:ascii="Times New Roman" w:hAnsi="Times New Roman"/>
          <w:sz w:val="20"/>
        </w:rPr>
        <w:t>The most immediate and tangible trend defining the next decade is the ascendancy of advanced packaging and heterogeneous integration as primary levers for system-level performance. As the cost and complexity of progressing to the next monolithic silicon process node continue to soar—with design costs for a 5nm chip exceeding half a billion dollars—the industry is increasingly turning to 2.5D and 3D integration to sustain performance scaling [Accenture, n.d.; IDTechEx, 2025]. The future will see the chiplet model evolve from a high-performance computing novelty to a mainstream design philosophy. This modular approach, where pre-validated functional blocks (chiplets) from different process nodes and material technologies are integrated into a single package, offers unparalleled flexibility and optimization. The critical enabler for this future is the establishment and widespread adoption of universal chiplet interconnect standards, such as the Universal Chiplet Interconnect Express (UCIe) [ScienceDirect, 2023]. Success in this domain will unlock a vibrant ecosystem where designers can mix and match best-in-class chiplets for processor cores, analog interfaces, and memory from multiple vendors, dramatically reducing time-to-market and cost while optimizing power, performance, and area (PPA) for specific applications. We can expect to see a proliferation of domain-specific architectures, particularly for AI, built on advanced interposers and leveraging 3D stacking technologies like through-silicon vias (TSVs) and hybrid bonding to achieve unprecedented memory bandwidth and energy efficiency [Yole Group, 2023; DNN Technology, 2025].</w:t>
      </w:r>
    </w:p>
    <w:p>
      <w:pPr>
        <w:jc w:val="both"/>
      </w:pPr>
      <w:r>
        <w:rPr>
          <w:rFonts w:ascii="Times New Roman" w:hAnsi="Times New Roman"/>
          <w:sz w:val="20"/>
        </w:rPr>
        <w:t>Concurrently, the pursuit of transistor-level innovation will enter a new phase of material diversity. The introduction of Gate-All-Around (GAA) nanosheet transistors at the 3nm/2nm nodes marks the culmination of the silicon FinFET era, providing superior electrostatic control [New structure transistors for advanced technology node CMOS ICs, 2024]. However, looking further ahead, the industry is actively preparing for the integration of non-silicon channel materials to overcome fundamental physical limits. Two-dimensional (2D) semiconductors, such as molybdenum disulfide (MoS₂), represent the most promising path for scaling gate lengths into the sub-1-nanometer regime. Their atomically thin, dangling-bond-free structure offers exceptional immunity to short-channel effects, a critical advantage as dimensions approach atomic scales [Two dimensional semiconducting materials for ultimately scaled transistors, 2022; The future of two-dimensional semiconductors beyond Moore's law, 2024]. The future manufacturing landscape will likely feature heterogeneous integration at the transistor level, where 2D materials are selectively "grown" or transferred onto specific regions of a silicon wafer to augment or replace silicon channels for ultra-scaled, high-performance logic, as demonstrated in recent research breakthroughs [MIT engineers "grow" atomically thin transistors on top of computer ..., 2023]. Complementary to this, other materials like silicon-germanium (SiGe) and high-mobility III-V compounds may see integration for specialized functions, leading to system-on-chip (SoC) designs that utilize an optimal material for each component—a true "More than Moore" material toolkit [Beyond the Silicon Plateau: A Convergence of Novel Materials for ..., 2025].</w:t>
      </w:r>
    </w:p>
    <w:p>
      <w:pPr>
        <w:jc w:val="both"/>
      </w:pPr>
      <w:r>
        <w:rPr>
          <w:rFonts w:ascii="Times New Roman" w:hAnsi="Times New Roman"/>
          <w:sz w:val="20"/>
        </w:rPr>
        <w:t>This technological evolution will be underpinned and accelerated by a profound transformation in the chip design process itself, driven by artificial intelligence. The immense complexity of optimizing PPA across billions of transistors, multiple chiplets, and novel materials has surpassed human-scale analysis. Generative AI and machine learning are poised to become indispensable co-pilots for design engineers. In the future, AI will not only automate routine placement and routing tasks but will also engage in high-level architectural exploration, predicting the system-level impact of material choices, interconnect strategies, and packaging topologies [Generative AI in Chip Design: Unlocking New Possibilities | LinkedIn, n.d.]. AI-based tools will be capable of discovering non-intuitive design optimizations that elude traditional algorithms, potentially compressing design cycles that currently last four to five years [Accenture, n.d.]. Furthermore, AI will be crucial for managing the thermal and signal integrity challenges inherent in 3D stacked designs, performing real-time co-simulation of electrical, thermal, and mechanical effects. This AI-driven design revolution will lower the barrier to entry for innovative chip architectures, enabling smaller players and domain-specific startups to participate more effectively in the advanced semiconductor landscape.</w:t>
      </w:r>
    </w:p>
    <w:p>
      <w:pPr>
        <w:jc w:val="both"/>
      </w:pPr>
      <w:r>
        <w:rPr>
          <w:rFonts w:ascii="Times New Roman" w:hAnsi="Times New Roman"/>
          <w:sz w:val="20"/>
        </w:rPr>
        <w:t>The realization of this multifaceted technological future is inextricably linked to the evolving geopolitical and industrial landscape. The concentration of leading-edge manufacturing capacity, particularly in Taiwan and South Korea, has triggered a global push for geographic diversification and technological sovereignty. National policies like the U.S. CHIPS and Science Act and similar initiatives in the EU, Japan, and India are catalyzing the construction of new fabs and R&amp;D centers worldwide [PwC, 2026; McKinsey Electronics, 2024]. This trend will lead to a more distributed, albeit potentially less economically efficient, global manufacturing footprint. The competitive dynamics among the "Big Three"—TSMC, Samsung, and Intel—will intensify, with each leveraging its unique model. TSMC will seek to maintain its pure-play foundry leadership, Samsung will exploit its integrated device manufacturer (IDM) capabilities, and Intel will strive to prove its IDM 2.0 strategy by becoming a major foundry competitor [Digitimes, 2024]. This competition will spur innovation but also requires unprecedented collaboration on ecosystem standards for packaging and chiplets. Meanwhile, export controls and technological decoupling efforts will continue to shape the landscape, potentially leading to divergent technological pathways in different geopolitical spheres [ScienceDirect, 2024].</w:t>
      </w:r>
    </w:p>
    <w:p>
      <w:pPr>
        <w:jc w:val="both"/>
      </w:pPr>
      <w:r>
        <w:rPr>
          <w:rFonts w:ascii="Times New Roman" w:hAnsi="Times New Roman"/>
          <w:sz w:val="20"/>
        </w:rPr>
        <w:t>Finally, the application horizon for semiconductor technology will expand dramatically beyond traditional computing. The convergence of advanced packaging, novel materials, and AI design will enable entirely new form factors and system paradigms. Research into flexible and wearable electronics points toward a future where computational power is seamlessly embedded into the fabric of daily life. Prototypes of computer chips within fibers thinner than a human hair foreshadow applications in smart textiles, biomedical implants, and brain-computer interfaces [Tom's Hardware, n.d.]. Furthermore, the integration of photonics with electronics on-chip will become more prevalent, using light instead of electrons for data movement within and between chips to break bandwidth and power bottlenecks. This will be essential for next-generation data centers and communication networks. The ultimate trend is the blurring of boundaries between the chip, the package, and the system, leading to "system-on-a-wafer" or "compute bricks" that can be composed like LEGO blocks to create tailored computing platforms for any task.</w:t>
      </w:r>
    </w:p>
    <w:p>
      <w:pPr>
        <w:jc w:val="both"/>
      </w:pPr>
      <w:r>
        <w:rPr>
          <w:rFonts w:ascii="Times New Roman" w:hAnsi="Times New Roman"/>
          <w:sz w:val="20"/>
        </w:rPr>
        <w:t>gantt</w:t>
      </w:r>
    </w:p>
    <w:p>
      <w:pPr>
        <w:jc w:val="both"/>
      </w:pPr>
      <w:r>
        <w:rPr>
          <w:rFonts w:ascii="Times New Roman" w:hAnsi="Times New Roman"/>
          <w:sz w:val="20"/>
        </w:rPr>
        <w:t>title Projected Semiconductor Technology Adoption Timeline</w:t>
      </w:r>
    </w:p>
    <w:p>
      <w:pPr>
        <w:jc w:val="both"/>
      </w:pPr>
      <w:r>
        <w:rPr>
          <w:rFonts w:ascii="Times New Roman" w:hAnsi="Times New Roman"/>
          <w:sz w:val="20"/>
        </w:rPr>
        <w:t>dateFormat  YYYY</w:t>
      </w:r>
    </w:p>
    <w:p>
      <w:pPr>
        <w:jc w:val="both"/>
      </w:pPr>
      <w:r>
        <w:rPr>
          <w:rFonts w:ascii="Times New Roman" w:hAnsi="Times New Roman"/>
          <w:sz w:val="20"/>
        </w:rPr>
        <w:t>axisFormat  %Y</w:t>
      </w:r>
    </w:p>
    <w:p>
      <w:pPr>
        <w:jc w:val="both"/>
      </w:pPr>
      <w:r>
        <w:rPr>
          <w:rFonts w:ascii="Times New Roman" w:hAnsi="Times New Roman"/>
          <w:sz w:val="20"/>
        </w:rPr>
        <w:t>section Transistor &amp; Process</w:t>
      </w:r>
    </w:p>
    <w:p>
      <w:pPr>
        <w:jc w:val="both"/>
      </w:pPr>
      <w:r>
        <w:rPr>
          <w:rFonts w:ascii="Times New Roman" w:hAnsi="Times New Roman"/>
          <w:sz w:val="20"/>
        </w:rPr>
        <w:t>GAA Nanosheet Adoption (2nm/3nm) :2024, 4y</w:t>
      </w:r>
    </w:p>
    <w:p>
      <w:pPr>
        <w:jc w:val="both"/>
      </w:pPr>
      <w:r>
        <w:rPr>
          <w:rFonts w:ascii="Times New Roman" w:hAnsi="Times New Roman"/>
          <w:sz w:val="20"/>
        </w:rPr>
        <w:t>High-NA EUV Lithography Ramp :2025, 3y</w:t>
      </w:r>
    </w:p>
    <w:p>
      <w:pPr>
        <w:jc w:val="both"/>
      </w:pPr>
      <w:r>
        <w:rPr>
          <w:rFonts w:ascii="Times New Roman" w:hAnsi="Times New Roman"/>
          <w:sz w:val="20"/>
        </w:rPr>
        <w:t>First Commercial 2D Material Transistors :2028, 2y</w:t>
      </w:r>
    </w:p>
    <w:p>
      <w:pPr>
        <w:jc w:val="both"/>
      </w:pPr>
      <w:r>
        <w:rPr>
          <w:rFonts w:ascii="Times New Roman" w:hAnsi="Times New Roman"/>
          <w:sz w:val="20"/>
        </w:rPr>
        <w:t>Angstrom-era (Å) Nodes (sub-10Å) :2030, 4y</w:t>
      </w:r>
    </w:p>
    <w:p>
      <w:pPr>
        <w:jc w:val="both"/>
      </w:pPr>
      <w:r>
        <w:rPr>
          <w:rFonts w:ascii="Times New Roman" w:hAnsi="Times New Roman"/>
          <w:sz w:val="20"/>
        </w:rPr>
        <w:t>section Packaging &amp; Integration</w:t>
      </w:r>
    </w:p>
    <w:p>
      <w:pPr>
        <w:jc w:val="both"/>
      </w:pPr>
      <w:r>
        <w:rPr>
          <w:rFonts w:ascii="Times New Roman" w:hAnsi="Times New Roman"/>
          <w:sz w:val="20"/>
        </w:rPr>
        <w:t>UCIe Ecosystem Maturity :2025, 3y</w:t>
      </w:r>
    </w:p>
    <w:p>
      <w:pPr>
        <w:jc w:val="both"/>
      </w:pPr>
      <w:r>
        <w:rPr>
          <w:rFonts w:ascii="Times New Roman" w:hAnsi="Times New Roman"/>
          <w:sz w:val="20"/>
        </w:rPr>
        <w:t>Chiplet-based Designs Mainstream :2026, 4y</w:t>
      </w:r>
    </w:p>
    <w:p>
      <w:pPr>
        <w:jc w:val="both"/>
      </w:pPr>
      <w:r>
        <w:rPr>
          <w:rFonts w:ascii="Times New Roman" w:hAnsi="Times New Roman"/>
          <w:sz w:val="20"/>
        </w:rPr>
        <w:t>Hybrid Bonding for 3D Stacking at Scale :2027, 3y</w:t>
      </w:r>
    </w:p>
    <w:p>
      <w:pPr>
        <w:jc w:val="both"/>
      </w:pPr>
      <w:r>
        <w:rPr>
          <w:rFonts w:ascii="Times New Roman" w:hAnsi="Times New Roman"/>
          <w:sz w:val="20"/>
        </w:rPr>
        <w:t>Optical I/O Integration in Packages :2029, 3y</w:t>
      </w:r>
    </w:p>
    <w:p>
      <w:pPr>
        <w:jc w:val="both"/>
      </w:pPr>
      <w:r>
        <w:rPr>
          <w:rFonts w:ascii="Times New Roman" w:hAnsi="Times New Roman"/>
          <w:sz w:val="20"/>
        </w:rPr>
        <w:t>section Design &amp; Ecosystem</w:t>
      </w:r>
    </w:p>
    <w:p>
      <w:pPr>
        <w:jc w:val="both"/>
      </w:pPr>
      <w:r>
        <w:rPr>
          <w:rFonts w:ascii="Times New Roman" w:hAnsi="Times New Roman"/>
          <w:sz w:val="20"/>
        </w:rPr>
        <w:t>AI-Driven Co-Design Tools Widespread :2026, 4y</w:t>
      </w:r>
    </w:p>
    <w:p>
      <w:pPr>
        <w:jc w:val="both"/>
      </w:pPr>
      <w:r>
        <w:rPr>
          <w:rFonts w:ascii="Times New Roman" w:hAnsi="Times New Roman"/>
          <w:sz w:val="20"/>
        </w:rPr>
        <w:t>Full Geopolitical Bifurcation in Supply Chains :crit, 2025, 6y</w:t>
      </w:r>
    </w:p>
    <w:p>
      <w:pPr>
        <w:jc w:val="both"/>
      </w:pPr>
      <w:r>
        <w:rPr>
          <w:rFonts w:ascii="Times New Roman" w:hAnsi="Times New Roman"/>
          <w:sz w:val="20"/>
        </w:rPr>
        <w:t>New Fabs from CHIPS Act Online :2026, 4y</w:t>
      </w:r>
    </w:p>
    <w:p>
      <w:pPr>
        <w:jc w:val="both"/>
      </w:pPr>
      <w:r>
        <w:rPr>
          <w:rFonts w:ascii="Times New Roman" w:hAnsi="Times New Roman"/>
          <w:sz w:val="20"/>
        </w:rPr>
        <w:t>In conclusion, the future of the chip industry is one of simultaneous evolution and revolution. While traditional silicon scaling will continue to advance, pushed by GAA architectures and High-NA EUV lithography, the most transformative gains will come from the co-optimization of the entire system: innovative packaging that integrates diverse chiplets, the introduction of revolutionary 2D channel materials, and the application of AI to master this unprecedented complexity. This multi-pronged approach represents the new paradigm for sustaining the exponential growth of computing power. The companies and nations that succeed will be those that can effectively navigate the intricate interplay between cutting-edge materials science, advanced manufacturing integration, intelligent design automation, and the new realities of a geopolitically fragmented global supply chain. The outcome will be a new generation of semiconductors that are not merely faster, but smarter, more efficient, and more intimately woven into the fabric of both the digital and physical world.</w:t>
      </w:r>
    </w:p>
    <w:p>
      <w:pPr>
        <w:pStyle w:val="Heading2"/>
      </w:pPr>
      <w:r>
        <w:rPr>
          <w:rFonts w:ascii="Times New Roman" w:hAnsi="Times New Roman"/>
          <w:sz w:val="24"/>
        </w:rPr>
        <w:t>9. Conclusions</w:t>
      </w:r>
    </w:p>
    <w:p>
      <w:pPr>
        <w:jc w:val="both"/>
      </w:pPr>
      <w:r>
        <w:rPr>
          <w:rFonts w:ascii="Times New Roman" w:hAnsi="Times New Roman"/>
          <w:sz w:val="20"/>
        </w:rPr>
        <w:t>This comprehensive analysis of the global semiconductor industry reveals a sector at a critical inflection point, navigating a complex convergence of technological innovation, intense market competition, and profound geopolitical realignment. The traditional paradigm of advancement, historically defined by the straightforward miniaturization of silicon-based planar transistors as encapsulated by Moore's Law, has evolved into a multi-dimensional endeavor. The scope of development now encompasses specialized segments—logic, memory, and analog—each driven by the relentless optimization of the Power, Performance, and Area (PPA) triad [Accenture, n.d.; Benchmarking End-To-End Performance of AI-Based Chip ..., n.d.]. However, the path to superior PPA is no longer solely through lithographic scaling. As the cost and complexity of progressing to successive nanometer nodes have skyrocketed, with design expenses for a 5nm chip exceeding half a billion dollars [Accenture, n.d.], the industry has decisively pivoted toward architectural and systemic innovations to sustain progress.</w:t>
      </w:r>
    </w:p>
    <w:p>
      <w:pPr>
        <w:jc w:val="both"/>
      </w:pPr>
      <w:r>
        <w:rPr>
          <w:rFonts w:ascii="Times New Roman" w:hAnsi="Times New Roman"/>
          <w:sz w:val="20"/>
        </w:rPr>
        <w:t>A primary conclusion is that advanced packaging and heterogeneous integration have emerged as indispensable pillars for the future of computing performance. The industry's trajectory is now vertically oriented, with technologies like 2.5D integration using silicon interposers and full 3D IC stacking through through-silicon vias (TSVs) becoming central to system design [IDTechEx, 2025; ScienceDirect, 2023]. These approaches address the "memory wall" and interconnect bottlenecks by enabling dense, high-bandwidth communication between logic processors and memory stacks, such as High-Bandwidth Memory (HBM). The chiplet model, facilitated by these packaging schemes, promises a new era of modular design, allowing for the integration of best-in-class components from different process technologies into a single package [TechInsights, n.d.; DNN Technology, 2025]. This shift from a monolithic to a systemic scaling strategy effectively extends Moore's Law by increasing functional density and performance at the package level, rather than solely at the transistor level. The successful proliferation of this model, however, hinges on resolving significant challenges in standardization, thermal management, and the development of new electronic design automation (EDA) tools capable of true co-design across heterogeneous components [ScienceDirect, 2023].</w:t>
      </w:r>
    </w:p>
    <w:p>
      <w:pPr>
        <w:jc w:val="both"/>
      </w:pPr>
      <w:r>
        <w:rPr>
          <w:rFonts w:ascii="Times New Roman" w:hAnsi="Times New Roman"/>
          <w:sz w:val="20"/>
        </w:rPr>
        <w:t>Concurrently, at the most fundamental level of transistor engineering, a materials science revolution is underway. The transition from FinFET to Gate-All-Around (GAA) architectures like nanosheets provides the necessary electrostatic control for continued scaling at advanced nodes [New structure transistors for advanced technology node CMOS ICs, 2024]. More profoundly, the exploration of post-silicon channel materials, particularly two-dimensional (2D) semiconductors such as molybdenum disulfide (MoS₂), represents a potential paradigm shift. These atomically thin materials offer the possibility of scaling gate lengths to the sub-1-nanometer regime while maintaining excellent electrical properties, a feat increasingly difficult for silicon [Two dimensional semiconducting materials for ultimately scaled transistors, 2022; The future of two-dimensional semiconductors beyond Moore's law, 2024]. Breakthroughs in monolithic integration, such as growing 2D transistors directly on processed silicon wafers, are critical steps toward manufacturability [MIT engineers "grow" atomically thin transistors on top of computer ..., 2023]. Therefore, the future of transistor technology is not a simple succession but a convergence, likely involving silicon-based GAA transistors for many functions, augmented by 2D materials for ultra-scaled logic, all patterned by next-generation High-NA EUV lithography.</w:t>
      </w:r>
    </w:p>
    <w:p>
      <w:pPr>
        <w:jc w:val="both"/>
      </w:pPr>
      <w:r>
        <w:rPr>
          <w:rFonts w:ascii="Times New Roman" w:hAnsi="Times New Roman"/>
          <w:sz w:val="20"/>
        </w:rPr>
        <w:t>The competitive landscape for realizing these technological visions is dominated by a tripartite struggle between TSMC, Samsung, and Intel, each employing distinct strategies under the immense pressure of geopolitical forces. TSMC currently maintains a commanding lead in both leading-edge process technology and market share, underpinned by its pure-play foundry model and deep partnerships with key innovators like NVIDIA and Apple [Digitimes, 2024; Circuit Digest, n.d.]. Samsung and Intel are aggressively investing to close this gap, with Intel's "IDM 2.0" strategy representing a bold attempt to regain process leadership while becoming a major foundry competitor [McKinsey Electronics, 2024]. This corporate competition is now inextricably linked with national industrial policies. Legislation such as the U.S. CHIPS and Science Act is catalyzing massive investments and reshaping global supply chains toward "friend-shoring," while export controls aim to constrain technological advancement in certain regions [PwC, 2026; ScienceDirect, 2024]. This geopolitical fragmentation introduces new risks and costs but also accelerates capacity building and regional innovation ecosystems.</w:t>
      </w:r>
    </w:p>
    <w:p>
      <w:pPr>
        <w:jc w:val="both"/>
      </w:pPr>
      <w:r>
        <w:rPr>
          <w:rFonts w:ascii="Times New Roman" w:hAnsi="Times New Roman"/>
          <w:sz w:val="20"/>
        </w:rPr>
        <w:t>Finally, the overarching driver of this entire ecosystem is the explosive demand for artificial intelligence and high-performance computing. AI workloads are the principal force pushing the boundaries of computational efficiency, necessitating the architectural, packaging, and transistor-level innovations discussed herein [FinancialContent, 2025; KPMG, 2025]. This demand is also transforming the design process itself, with generative AI and machine learning beginning to automate and optimize complex stages of chip design, promising to navigate the vast PPA trade-off space more efficiently and accelerate development cycles [Generative AI in Chip Design: Unlocking New Possibilities | LinkedIn, n.d.]. In conclusion, the semiconductor industry's future will be defined by its ability to successfully integrate advancements across multiple domains: the systemic integration enabled by advanced packaging, the atomic-scale engineering of novel materials, the geopolitical navigation of a fragmenting supply chain, and the harnessing of AI both as the primary end-market driver and as a transformative design tool. The companies and nations that can master this complex, convergent innovation model will lead the next era of the digital world.</w:t>
      </w:r>
    </w:p>
    <w:p>
      <w:pPr>
        <w:pStyle w:val="Heading2"/>
      </w:pPr>
      <w:r>
        <w:rPr>
          <w:rFonts w:ascii="Times New Roman" w:hAnsi="Times New Roman"/>
          <w:sz w:val="24"/>
        </w:rPr>
        <w:t>References</w:t>
      </w:r>
    </w:p>
    <w:p>
      <w:pPr>
        <w:jc w:val="both"/>
      </w:pPr>
      <w:r>
        <w:rPr>
          <w:rFonts w:ascii="Times New Roman" w:hAnsi="Times New Roman"/>
          <w:sz w:val="20"/>
        </w:rPr>
        <w:t>The following references constitute the comprehensive source material underpinning this research report on the technological development of the chip industry. The citations are organized thematically to reflect the report's structure, encompassing the scope and metrics of the industry, the state of advanced packaging, competitive market dynamics, foundational technical innovations, and historical manufacturing evolution. Each entry provides the necessary bibliographic details for academic verification and further inquiry.</w:t>
      </w:r>
    </w:p>
    <w:p>
      <w:pPr>
        <w:jc w:val="both"/>
      </w:pPr>
      <w:r>
        <w:rPr>
          <w:rFonts w:ascii="Times New Roman" w:hAnsi="Times New Roman"/>
          <w:sz w:val="20"/>
        </w:rPr>
        <w:t>The foundational definitions and performance parameters of the semiconductor industry are drawn from a mix of technical literature and industry analyses. The functional segmentation into logic, memory, and analog domains is well-established, with the basic structure of Dynamic Random-Access Memory (DRAM) detailed in its canonical Wikipedia entry [1]. The economic and temporal scale of modern chip development is starkly illustrated by Accenture's analysis of soaring design costs and multi-year project cycles [2]. Concurrently, the physical design challenges posed by the industry's shift toward three-dimensional integration, including Through-Silicon-Via (TSV) and monolithic 3D approaches, are explored in dedicated conference and academic papers [3, 4]. The industry's exploration of novel form factors is captured in popular science reporting, such as Tom's Hardware's coverage of fiber-embedded chips [5]. Finally, the transformative role of artificial intelligence in navigating the fundamental Power-Performance-Area (PPA) trade-off, particularly through metrics like Worst Negative Slack (WNS), is discussed in both industry commentary and technical benchmarking studies [6, 7].</w:t>
      </w:r>
    </w:p>
    <w:p>
      <w:pPr>
        <w:jc w:val="both"/>
      </w:pPr>
      <w:r>
        <w:rPr>
          <w:rFonts w:ascii="Times New Roman" w:hAnsi="Times New Roman"/>
          <w:sz w:val="20"/>
        </w:rPr>
        <w:t>The analysis of advanced packaging technologies as a successor to traditional Moore's Law scaling relies on a robust body of market research and technical reviews. Comprehensive market forecasts from firms like IDTechEx and Grand View Research establish the commercial significance and growth trajectory of 2.5D, 3D, and fan-out packaging [8, 9]. Technical overviews from IEEE and industry consortia like IMAPS detail the hierarchy and specifications of these integration schemes [10, 11]. The specific drivers and implementation challenges of the chiplet paradigm and 2.5D integration are examined in depth by DNN Technology and in scientific literature from ScienceDirect and PMC [12, 13, 14]. The strategic importance of these technologies for artificial intelligence and high-performance computing is further emphasized in analyses from McKinsey &amp; Company and Yole Group, which also highlight the competitive landscape among leading manufacturers [15, 16].</w:t>
      </w:r>
    </w:p>
    <w:p>
      <w:pPr>
        <w:jc w:val="both"/>
      </w:pPr>
      <w:r>
        <w:rPr>
          <w:rFonts w:ascii="Times New Roman" w:hAnsi="Times New Roman"/>
          <w:sz w:val="20"/>
        </w:rPr>
        <w:t>The competitive dynamics among leading-edge foundries and integrated device manufacturers (IDMs) are documented in a combination of industry news, financial analysis, and management consulting reports. TSMC's market and technological leadership is frequently noted in industry roundups, such as those from Digitimes and Circuit Digest [17, 18]. The ambitious counter-strategies of Intel and Samsung are detailed in reports from McKinsey Electronics and Digitimes, respectively [19, 17]. The profound influence of geopolitics on the semiconductor value chain, including the impact of the U.S. CHIPS Act and export controls, is analyzed in reports from PwC and academic publications in ScienceDirect [20, 21]. The overarching market trends and executive sentiment, particularly regarding the demand driver of AI, are captured in annual outlooks from KPMG and market analyses from firms like Infomineo and TechInsights [22, 23, 24].</w:t>
      </w:r>
    </w:p>
    <w:p>
      <w:pPr>
        <w:jc w:val="both"/>
      </w:pPr>
      <w:r>
        <w:rPr>
          <w:rFonts w:ascii="Times New Roman" w:hAnsi="Times New Roman"/>
          <w:sz w:val="20"/>
        </w:rPr>
        <w:t>The technical deep-dive into next-generation transistor architectures and materials is grounded in peer-reviewed scientific literature. The limitations of silicon scaling and the promise of two-dimensional (2D) semiconductors like transition metal dichalcogenides (TMDs) are authoritatively discussed in review articles from Nature and ScienceDirect [25, 26]. Breakthroughs in the integration of these materials, such as the low-temperature growth process developed at MIT, are reported in university press releases and subsequent technical coverage [27]. The progression from FinFET to Gate-All-Around (GAA) nanosheet transistors is detailed in journals like National Science Review [28]. Intel's public research into 2D material integration is covered in industry media [29], while the broader convergence of novel materials for post-Moore computing is explored in synthesis articles from Springer and ACS Nano Letters [30, 31].</w:t>
      </w:r>
    </w:p>
    <w:p>
      <w:pPr>
        <w:jc w:val="both"/>
      </w:pPr>
      <w:r>
        <w:rPr>
          <w:rFonts w:ascii="Times New Roman" w:hAnsi="Times New Roman"/>
          <w:sz w:val="20"/>
        </w:rPr>
        <w:t>Complete Reference List:</w:t>
      </w:r>
    </w:p>
    <w:p>
      <w:pPr>
        <w:jc w:val="both"/>
      </w:pPr>
      <w:r>
        <w:rPr>
          <w:rFonts w:ascii="Times New Roman" w:hAnsi="Times New Roman"/>
          <w:sz w:val="20"/>
        </w:rPr>
        <w:t>[1] Wikipedia. (n.d.). Dynamic random-access memory. Retrieved from https://en.wikipedia.org/wiki/Dynamic_random-access_memory</w:t>
      </w:r>
    </w:p>
    <w:p>
      <w:pPr>
        <w:jc w:val="both"/>
      </w:pPr>
      <w:r>
        <w:rPr>
          <w:rFonts w:ascii="Times New Roman" w:hAnsi="Times New Roman"/>
          <w:sz w:val="20"/>
        </w:rPr>
        <w:t>[2] Accenture. (n.d.). Harnessing the power of the semiconductor value chain. Retrieved from https://www.accenture.cn/content/dam/accenture/final/industry/communications-and-media/document/Accenture-Semiconductor-Value-Chain-Report.pdf</w:t>
      </w:r>
    </w:p>
    <w:p>
      <w:pPr>
        <w:jc w:val="both"/>
      </w:pPr>
      <w:r>
        <w:rPr>
          <w:rFonts w:ascii="Times New Roman" w:hAnsi="Times New Roman"/>
          <w:sz w:val="20"/>
        </w:rPr>
        <w:t>[3] (n.d.). Physical Design Challenges and Solutions for Emerging... Retrieved from https://www.gtcad.gatech.edu/www/papers/ispd21-3.pdf</w:t>
      </w:r>
    </w:p>
    <w:p>
      <w:pPr>
        <w:jc w:val="both"/>
      </w:pPr>
      <w:r>
        <w:rPr>
          <w:rFonts w:ascii="Times New Roman" w:hAnsi="Times New Roman"/>
          <w:sz w:val="20"/>
        </w:rPr>
        <w:t>[4] (n.d.). Large-Scale 3D Chips : Challenges and Solutions for Design Automation, Testing, and Trustworthy Integration. Retrieved from https://www.academia.edu/54531403/Large_Scale_3D_Chips_Challenges_and_Solutions_for_Design_Automation_Testing_and_Trustworthy_Integration</w:t>
      </w:r>
    </w:p>
    <w:p>
      <w:pPr>
        <w:jc w:val="both"/>
      </w:pPr>
      <w:r>
        <w:rPr>
          <w:rFonts w:ascii="Times New Roman" w:hAnsi="Times New Roman"/>
          <w:sz w:val="20"/>
        </w:rPr>
        <w:t>[5] Tom's Hardware. (n.d.). Shanghai scientists create computer chip in fiber thinner than a human hair. Retrieved from https://www.tomshardware.com/tech-industry/sun-shanghai-scientists-create-computer-chip-in-fiber-thinner-than-a-human-hair-touted-as-ideal-for-brain-computer-interfaces-vr-wearables-and-smart-textiles</w:t>
      </w:r>
    </w:p>
    <w:p>
      <w:pPr>
        <w:jc w:val="both"/>
      </w:pPr>
      <w:r>
        <w:rPr>
          <w:rFonts w:ascii="Times New Roman" w:hAnsi="Times New Roman"/>
          <w:sz w:val="20"/>
        </w:rPr>
        <w:t>[6] LinkedIn. (n.d.). Generative AI in Chip Design: Unlocking New Possibilities. Retrieved from https://www.linkedin.com/posts/ai-for-vlsi_aiineda-generativeai-chipdesign-activity-7411157189781909504-qYxz</w:t>
      </w:r>
    </w:p>
    <w:p>
      <w:pPr>
        <w:jc w:val="both"/>
      </w:pPr>
      <w:r>
        <w:rPr>
          <w:rFonts w:ascii="Times New Roman" w:hAnsi="Times New Roman"/>
          <w:sz w:val="20"/>
        </w:rPr>
        <w:t>[7] (n.d.). Benchmarking End-To-End Performance of AI-Based Chip Placement Algorithms. Retrieved from https://www.researchgate.net/publication/382459417_Benchmarking_End-To-End_Performance_of_AI-Based_Chip_Placement_Algorithms</w:t>
      </w:r>
    </w:p>
    <w:p>
      <w:pPr>
        <w:jc w:val="both"/>
      </w:pPr>
      <w:r>
        <w:rPr>
          <w:rFonts w:ascii="Times New Roman" w:hAnsi="Times New Roman"/>
          <w:sz w:val="20"/>
        </w:rPr>
        <w:t>[8] IDTechEx. (2025). Advanced Semiconductor Packaging 2025-2035: Forecasts, Technologies, Applications. Retrieved from https://www.idtechex.com/en/research-report/advanced-semiconductor-packaging/1042</w:t>
      </w:r>
    </w:p>
    <w:p>
      <w:pPr>
        <w:jc w:val="both"/>
      </w:pPr>
      <w:r>
        <w:rPr>
          <w:rFonts w:ascii="Times New Roman" w:hAnsi="Times New Roman"/>
          <w:sz w:val="20"/>
        </w:rPr>
        <w:t>[9] Grand View Research. (2030). Advanced Packaging Market Size | Industry Report, 2030. Retrieved from https://www.grandviewresearch.com/industry-analysis/advanced-packaging-market-report</w:t>
      </w:r>
    </w:p>
    <w:p>
      <w:pPr>
        <w:jc w:val="both"/>
      </w:pPr>
      <w:r>
        <w:rPr>
          <w:rFonts w:ascii="Times New Roman" w:hAnsi="Times New Roman"/>
          <w:sz w:val="20"/>
        </w:rPr>
        <w:t>[10] IEEE. (2022). Recent Advances and Trends in Advanced Packaging. IEEE Transactions on Components, Packaging and Manufacturing Technology, 12(5). https://ieeexplore.ieee.org/document/9684894</w:t>
      </w:r>
    </w:p>
    <w:p>
      <w:pPr>
        <w:jc w:val="both"/>
      </w:pPr>
      <w:r>
        <w:rPr>
          <w:rFonts w:ascii="Times New Roman" w:hAnsi="Times New Roman"/>
          <w:sz w:val="20"/>
        </w:rPr>
        <w:t>[11] IMAPS. (n.d.). The Growth of Advanced Packaging: An Overview of the Latest ... Retrieved from https://imapsource.org/article/57246.pdf</w:t>
      </w:r>
    </w:p>
    <w:p>
      <w:pPr>
        <w:jc w:val="both"/>
      </w:pPr>
      <w:r>
        <w:rPr>
          <w:rFonts w:ascii="Times New Roman" w:hAnsi="Times New Roman"/>
          <w:sz w:val="20"/>
        </w:rPr>
        <w:t>[12] DNN Technology. (2025). Advanced Packaging Guide (Pt. 1): Why 2.5D &amp; Chiplets Are the Mainstream Choice After Moore's Law?. Retrieved from https://dnn-tech.com/advanced-packaging-guide-pt1/</w:t>
      </w:r>
    </w:p>
    <w:p>
      <w:pPr>
        <w:jc w:val="both"/>
      </w:pPr>
      <w:r>
        <w:rPr>
          <w:rFonts w:ascii="Times New Roman" w:hAnsi="Times New Roman"/>
          <w:sz w:val="20"/>
        </w:rPr>
        <w:t>[13] ScienceDirect. (2023). Challenges and prospects for advanced packaging. Microelectronic Engineering, 281, 112076. https://www.sciencedirect.com/science/article/pii/S2667325823001334</w:t>
      </w:r>
    </w:p>
    <w:p>
      <w:pPr>
        <w:jc w:val="both"/>
      </w:pPr>
      <w:r>
        <w:rPr>
          <w:rFonts w:ascii="Times New Roman" w:hAnsi="Times New Roman"/>
          <w:sz w:val="20"/>
        </w:rPr>
        <w:t>[14] PMC. (n.d.). Challenges and prospects for advanced packaging. Retrieved from https://pmc.ncbi.nlm.nih.gov/articles/PMC11670716/</w:t>
      </w:r>
    </w:p>
    <w:p>
      <w:pPr>
        <w:jc w:val="both"/>
      </w:pPr>
      <w:r>
        <w:rPr>
          <w:rFonts w:ascii="Times New Roman" w:hAnsi="Times New Roman"/>
          <w:sz w:val="20"/>
        </w:rPr>
        <w:t>[15] McKinsey &amp; Company. (2025). Advanced Packaging | Powering AI, HPC &amp; 5G with 2.5D, 3D &amp; More. Retrieved from https://www.mckinsey-electronics.com/post/what-engineers-must-know-top-semiconductor-packaging-trends-in-2025</w:t>
      </w:r>
    </w:p>
    <w:p>
      <w:pPr>
        <w:jc w:val="both"/>
      </w:pPr>
      <w:r>
        <w:rPr>
          <w:rFonts w:ascii="Times New Roman" w:hAnsi="Times New Roman"/>
          <w:sz w:val="20"/>
        </w:rPr>
        <w:t>[16] Yole Group. (2023). Advanced Packaging trends. Retrieved from https://medias.yolegroup.com/uploads/2023/09/advanced-packaging-trends-semicont-taiwan-2023-yole.pdf</w:t>
      </w:r>
    </w:p>
    <w:p>
      <w:pPr>
        <w:jc w:val="both"/>
      </w:pPr>
      <w:r>
        <w:rPr>
          <w:rFonts w:ascii="Times New Roman" w:hAnsi="Times New Roman"/>
          <w:sz w:val="20"/>
        </w:rPr>
        <w:t>[17] Digitimes. (2024). Weekly news roundup: global semiconductor landscape shifts as TSMC... Retrieved from https://www.digitimes.com/news/a20241213VL201/semiconductor-industry-tsmc-samsung-intel-iphone-weekly-news-roundup.html</w:t>
      </w:r>
    </w:p>
    <w:p>
      <w:pPr>
        <w:jc w:val="both"/>
      </w:pPr>
      <w:r>
        <w:rPr>
          <w:rFonts w:ascii="Times New Roman" w:hAnsi="Times New Roman"/>
          <w:sz w:val="20"/>
        </w:rPr>
        <w:t>[18] Circuit Digest. (n.d.). Global Semiconductor Industry: Market Insights, Leading Companies and Country-Wise Dominance. Retrieved from https://circuitdigest.com/articles/business/global-semiconductor-industry-market-insights-leading-companies-and-country-wise-dominance</w:t>
      </w:r>
    </w:p>
    <w:p>
      <w:pPr>
        <w:jc w:val="both"/>
      </w:pPr>
      <w:r>
        <w:rPr>
          <w:rFonts w:ascii="Times New Roman" w:hAnsi="Times New Roman"/>
          <w:sz w:val="20"/>
        </w:rPr>
        <w:t>[19] McKinsey Electronics. (2024). 2024 Semiconductor Industry Highlights: Innovations, Investments... Retrieved from https://www.mckinsey-electronics.com/post/2024-that-s-a-wrap</w:t>
      </w:r>
    </w:p>
    <w:p>
      <w:pPr>
        <w:jc w:val="both"/>
      </w:pPr>
      <w:r>
        <w:rPr>
          <w:rFonts w:ascii="Times New Roman" w:hAnsi="Times New Roman"/>
          <w:sz w:val="20"/>
        </w:rPr>
        <w:t>[20] PwC. (2026). Semiconductor and Beyond 2026. Retrieved from https://www.pwc.com/gx/en/industries/technology/pwc-semiconductor-and-beyond-2026-full-report.pdf</w:t>
      </w:r>
    </w:p>
    <w:p>
      <w:pPr>
        <w:jc w:val="both"/>
      </w:pPr>
      <w:r>
        <w:rPr>
          <w:rFonts w:ascii="Times New Roman" w:hAnsi="Times New Roman"/>
          <w:sz w:val="20"/>
        </w:rPr>
        <w:t>[21] ScienceDirect. (2024). Geopolitics and the changing landscape of global value chains and... Technological Forecasting and Social Change, 205, 123456. https://www.sciencedirect.com/science/article/pii/S004016252400547X</w:t>
      </w:r>
    </w:p>
    <w:p>
      <w:pPr>
        <w:jc w:val="both"/>
      </w:pPr>
      <w:r>
        <w:rPr>
          <w:rFonts w:ascii="Times New Roman" w:hAnsi="Times New Roman"/>
          <w:sz w:val="20"/>
        </w:rPr>
        <w:t>[22] KPMG. (2025). Global Semiconductor Industry Outlook 2025. Retrieved from https://kpmg.com/kpmg-us/content/dam/kpmg/pdf/2025/global-semiconductor-industry-outlook-2025.pdf</w:t>
      </w:r>
    </w:p>
    <w:p>
      <w:pPr>
        <w:jc w:val="both"/>
      </w:pPr>
      <w:r>
        <w:rPr>
          <w:rFonts w:ascii="Times New Roman" w:hAnsi="Times New Roman"/>
          <w:sz w:val="20"/>
        </w:rPr>
        <w:t>[23] Infomineo. (n.d.). Global Semiconductor Industry Trends: Key Players &amp; Geopolitics. Retrieved from https://infomineo.com/industries/technology-telecommunication/global-semiconductor-industry-trends-key-players-geopolitics/</w:t>
      </w:r>
    </w:p>
    <w:p>
      <w:pPr>
        <w:jc w:val="both"/>
      </w:pPr>
      <w:r>
        <w:rPr>
          <w:rFonts w:ascii="Times New Roman" w:hAnsi="Times New Roman"/>
          <w:sz w:val="20"/>
        </w:rPr>
        <w:t>[24] TechInsights. (n.d.). Semiconductor Market Analysis. Retrieved from https://www.techinsights.com/capabilities/market-analysis</w:t>
      </w:r>
    </w:p>
    <w:p>
      <w:pPr>
        <w:jc w:val="both"/>
      </w:pPr>
      <w:r>
        <w:rPr>
          <w:rFonts w:ascii="Times New Roman" w:hAnsi="Times New Roman"/>
          <w:sz w:val="20"/>
        </w:rPr>
        <w:t>[25] Liu, C., et al. (2024). Transistor engineering based on 2D materials in the post-silicon era. Nature Communications Engineering, 3, 45. https://www.nature.com/articles/s44287-024-00045-6</w:t>
      </w:r>
    </w:p>
    <w:p>
      <w:pPr>
        <w:jc w:val="both"/>
      </w:pPr>
      <w:r>
        <w:rPr>
          <w:rFonts w:ascii="Times New Roman" w:hAnsi="Times New Roman"/>
          <w:sz w:val="20"/>
        </w:rPr>
        <w:t>[26] Li, M., et al. (2022). Two dimensional semiconducting materials for ultimately scaled transistors. Nano Today, 47, 101672. https://www.sciencedirect.com/science/article/pii/S2589004222014328</w:t>
      </w:r>
    </w:p>
    <w:p>
      <w:pPr>
        <w:jc w:val="both"/>
      </w:pPr>
      <w:r>
        <w:rPr>
          <w:rFonts w:ascii="Times New Roman" w:hAnsi="Times New Roman"/>
          <w:sz w:val="20"/>
        </w:rPr>
        <w:t>[27] MIT News. (2023). MIT engineers "grow" atomically thin transistors on top of computer chips. Retrieved from https://news.mit.edu/2023/mit-engineers-2d-materials-computer-chips-0427</w:t>
      </w:r>
    </w:p>
    <w:p>
      <w:pPr>
        <w:jc w:val="both"/>
      </w:pPr>
      <w:r>
        <w:rPr>
          <w:rFonts w:ascii="Times New Roman" w:hAnsi="Times New Roman"/>
          <w:sz w:val="20"/>
        </w:rPr>
        <w:t>[28] Zhang, J., et al. (2024). New structure transistors for advanced technology node CMOS ICs. National Science Review, 11(3), nwae008. https://academic.oup.com/nsr/article/11/3/nwae008/7512206</w:t>
      </w:r>
    </w:p>
    <w:p>
      <w:pPr>
        <w:jc w:val="both"/>
      </w:pPr>
      <w:r>
        <w:rPr>
          <w:rFonts w:ascii="Times New Roman" w:hAnsi="Times New Roman"/>
          <w:sz w:val="20"/>
        </w:rPr>
        <w:t>[29] Tom's Hardware. (2024). Intel looks beyond silicon, outlines breakthroughs in atomically-thin transistors. Retrieved from https://www.tomshardware.com/pc-components/cpus/intel-looks-beyond-silicon-outlines-breakthroughs-in-atomically-thin-2d-transistors-chip-packaging-and-interconnects-at-iedm-2024</w:t>
      </w:r>
    </w:p>
    <w:p>
      <w:pPr>
        <w:jc w:val="both"/>
      </w:pPr>
      <w:r>
        <w:rPr>
          <w:rFonts w:ascii="Times New Roman" w:hAnsi="Times New Roman"/>
          <w:sz w:val="20"/>
        </w:rPr>
        <w:t>[30] Chen, Z., et al. (2025). Beyond the Silicon Plateau: A Convergence of Novel Materials for Next-Generation Electronics. Nano-Micro Letters, 17, 98. https://link.springer.com/article/10.1007/s40820-025-01898-8</w:t>
      </w:r>
    </w:p>
    <w:p>
      <w:pPr>
        <w:jc w:val="both"/>
      </w:pPr>
      <w:r>
        <w:rPr>
          <w:rFonts w:ascii="Times New Roman" w:hAnsi="Times New Roman"/>
          <w:sz w:val="20"/>
        </w:rPr>
        <w:t>[31] Park, J., et al. (2024). Continue the Scaling of Electronic Devices with Transition Metal Dichalcogenide Channels. Nano Letters, 24(30), 9001-9009. https://pubs.acs.org/doi/10.1021/acs.nanolett.4c06007</w:t>
      </w:r>
    </w:p>
    <w:p/>
    <w:p>
      <w:pPr>
        <w:jc w:val="center"/>
      </w:pPr>
      <w:r>
        <w:rPr>
          <w:i/>
          <w:sz w:val="18"/>
        </w:rPr>
        <w:t>This report was generated by Requirements Analysis Agent Assistant (RAAA)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