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Modeling Groups and their T</w:t>
      </w:r>
      <w:bookmarkStart w:id="1" w:name="table"/>
      <w:bookmarkEnd w:id="1"/>
      <w:r>
        <w:rPr>
          <w:sz w:val="28"/>
          <w:szCs w:val="28"/>
        </w:rPr>
        <w:t>erms of Use</w:t>
      </w:r>
    </w:p>
    <w:p>
      <w:pPr>
        <w:pStyle w:val="Normal"/>
        <w:keepNext/>
        <w:spacing w:before="120" w:after="0"/>
        <w:rPr>
          <w:rFonts w:cs="Arial"/>
          <w:color w:val="FF0000"/>
          <w:sz w:val="22"/>
          <w:szCs w:val="22"/>
        </w:rPr>
      </w:pPr>
      <w:r>
        <w:rPr/>
      </w:r>
    </w:p>
    <w:p>
      <w:pPr>
        <w:pStyle w:val="Normal"/>
        <w:keepNext/>
        <w:spacing w:before="12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Output from</w:t>
      </w:r>
      <w:r>
        <w:rPr>
          <w:rFonts w:cs="Arial"/>
          <w:color w:val="FF000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yellow</w:t>
      </w:r>
      <w:r>
        <w:rPr>
          <w:rFonts w:cs="Arial"/>
          <w:color w:val="FF0000"/>
          <w:sz w:val="22"/>
          <w:szCs w:val="22"/>
        </w:rPr>
        <w:t xml:space="preserve"> </w:t>
      </w:r>
      <w:r>
        <w:rPr>
          <w:rFonts w:cs="Arial"/>
          <w:sz w:val="22"/>
          <w:szCs w:val="22"/>
          <w:highlight w:val="yellow"/>
        </w:rPr>
        <w:t>highlighted models</w:t>
      </w:r>
      <w:r>
        <w:rPr>
          <w:rFonts w:cs="Arial"/>
          <w:sz w:val="22"/>
          <w:szCs w:val="22"/>
        </w:rPr>
        <w:t xml:space="preserve"> is available for unrestricted use.  Output from the others may only be used for non-commercial research and educational purposes. [See complete “Terms of Use”: </w:t>
      </w:r>
      <w:r>
        <w:rPr>
          <w:rFonts w:ascii="Times New Roman" w:hAnsi="Times New Roman"/>
          <w:sz w:val="22"/>
          <w:szCs w:val="22"/>
        </w:rPr>
        <w:t>http://cmip-pcmdi.llnl.gov/cmip5/terms.html</w:t>
      </w:r>
      <w:r>
        <w:rPr>
          <w:rFonts w:cs="Arial"/>
          <w:sz w:val="22"/>
          <w:szCs w:val="22"/>
        </w:rPr>
        <w:t>]</w:t>
      </w:r>
    </w:p>
    <w:p>
      <w:pPr>
        <w:pStyle w:val="Normal"/>
        <w:rPr/>
      </w:pPr>
      <w:r>
        <w:rPr/>
      </w:r>
    </w:p>
    <w:tbl>
      <w:tblPr>
        <w:tblW w:w="8880" w:type="dxa"/>
        <w:jc w:val="left"/>
        <w:tblInd w:w="9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10" w:type="dxa"/>
          <w:bottom w:w="0" w:type="dxa"/>
          <w:right w:w="10" w:type="dxa"/>
        </w:tblCellMar>
        <w:tblLook w:val="04a0" w:noVBand="1" w:noHBand="0" w:lastColumn="0" w:firstColumn="1" w:lastRow="0" w:firstRow="1"/>
      </w:tblPr>
      <w:tblGrid>
        <w:gridCol w:w="4868"/>
        <w:gridCol w:w="1759"/>
        <w:gridCol w:w="2253"/>
      </w:tblGrid>
      <w:tr>
        <w:trPr>
          <w:trHeight w:val="540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 xml:space="preserve">Modeling Center (or Group) 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Institute ID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Model Name</w:t>
            </w:r>
          </w:p>
        </w:tc>
      </w:tr>
      <w:tr>
        <w:trPr>
          <w:trHeight w:val="544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Beijing Climate Center, China Meteorological Administration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BCC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BCC-CSM1.1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BCC-CSM1.1(m)</w:t>
            </w:r>
          </w:p>
        </w:tc>
      </w:tr>
      <w:tr>
        <w:trPr>
          <w:trHeight w:val="301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University of Miami - RSMAS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RSMAS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CCSM4(RSMAS)*</w:t>
            </w:r>
          </w:p>
        </w:tc>
      </w:tr>
      <w:tr>
        <w:trPr>
          <w:trHeight w:val="14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National Center for Atmospheric Research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NCAR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CCSM4</w:t>
            </w:r>
          </w:p>
        </w:tc>
      </w:tr>
      <w:tr>
        <w:trPr>
          <w:trHeight w:val="994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Community Earth System Model Contributors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NSF-DOE-NCAR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CESM1(CAM5)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Commonwealth Scientific and Industrial Research Organization in collaboration with Queensland Climate Change Centre of Excellence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CSIRO-QCCCE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CSIRO-Mk3.6.0</w:t>
            </w:r>
          </w:p>
        </w:tc>
      </w:tr>
      <w:tr>
        <w:trPr>
          <w:trHeight w:val="240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The First Institute of Oceanography, SOA, China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FIO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FIO-ESM</w:t>
            </w:r>
          </w:p>
        </w:tc>
      </w:tr>
      <w:tr>
        <w:trPr>
          <w:trHeight w:val="1408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NOAA Geophysical Fluid Dynamics Laboratory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NOAA GFDL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GFDL-CM3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GFDL-ESM2G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GFDL-ESM2M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021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NASA Goddard Institute for Space Studies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NASA GISS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GISS-E2-R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National Institute of Meteorological Research/Korea Meteorological Administration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NIMR/KMA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HadGEM2-AO</w:t>
            </w:r>
          </w:p>
        </w:tc>
      </w:tr>
      <w:tr>
        <w:trPr>
          <w:trHeight w:val="1075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Met Office Hadley Centre (additional HadGEM2-ES realizations contributed by Instituto Nacional de Pesquisas Espaciais)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MOHC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(additional realizations by INPE)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HadGEM2-ES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Institut Pierre-Simon Laplace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IPSL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IPSL-CM5A-LR 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IPSL-CM5A-MR </w:t>
            </w:r>
          </w:p>
        </w:tc>
      </w:tr>
      <w:tr>
        <w:trPr>
          <w:trHeight w:val="930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Japan Agency for Marine-Earth Science and Technology, Atmosphere and Ocean Research Institute (The University of Tokyo), and National Institute for Environmental Studies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MIROC-ESM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MIROC-ESM-CHEM</w:t>
            </w:r>
          </w:p>
        </w:tc>
      </w:tr>
      <w:tr>
        <w:trPr>
          <w:trHeight w:val="930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Atmosphere and Ocean Research Institute (The University of Tokyo), National Institute for Environmental Studies, and Japan Agency for Marine-Earth Science and Technology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lineRule="exact" w:line="26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MIROC5</w:t>
            </w:r>
          </w:p>
        </w:tc>
      </w:tr>
      <w:tr>
        <w:trPr>
          <w:trHeight w:val="545" w:hRule="atLeast"/>
        </w:trPr>
        <w:tc>
          <w:tcPr>
            <w:tcW w:w="48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Norwegian Climate Centre</w:t>
            </w:r>
          </w:p>
        </w:tc>
        <w:tc>
          <w:tcPr>
            <w:tcW w:w="17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NCC</w:t>
            </w:r>
          </w:p>
        </w:tc>
        <w:tc>
          <w:tcPr>
            <w:tcW w:w="225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99" w:val="clear"/>
            <w:tcMar>
              <w:top w:w="29" w:type="dxa"/>
              <w:left w:w="100" w:type="dxa"/>
              <w:bottom w:w="29" w:type="dxa"/>
              <w:right w:w="115" w:type="dxa"/>
            </w:tcMar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NorESM1-M</w:t>
            </w:r>
          </w:p>
          <w:p>
            <w:pPr>
              <w:pStyle w:val="Normal"/>
              <w:widowControl w:val="false"/>
              <w:spacing w:before="40" w:after="4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NorESM1-ME</w:t>
            </w:r>
          </w:p>
        </w:tc>
      </w:tr>
    </w:tbl>
    <w:p>
      <w:pPr>
        <w:pStyle w:val="Normal"/>
        <w:widowControl w:val="false"/>
        <w:tabs>
          <w:tab w:val="left" w:pos="2160" w:leader="none"/>
        </w:tabs>
        <w:spacing w:lineRule="auto" w:line="21"/>
        <w:rPr/>
      </w:pPr>
      <w:r>
        <w:rPr/>
      </w:r>
    </w:p>
    <w:sectPr>
      <w:type w:val="nextPage"/>
      <w:pgSz w:w="12240" w:h="15840"/>
      <w:pgMar w:left="1800" w:right="1800" w:header="0" w:top="1152" w:footer="0" w:bottom="115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2</Pages>
  <Words>210</Words>
  <Characters>1505</Characters>
  <CharactersWithSpaces>1665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2014-04-03T16:48:00Z</dcterms:created>
  <dc:creator/>
  <dc:description/>
  <dc:language>en-US</dc:language>
  <cp:lastModifiedBy>Shawn Taylor</cp:lastModifiedBy>
  <dcterms:modified xsi:type="dcterms:W3CDTF">2017-07-13T15:53:53Z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