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319366" w14:textId="77777777" w:rsidR="00954373" w:rsidRPr="00954373" w:rsidRDefault="00954373" w:rsidP="00954373">
      <w:pPr>
        <w:pStyle w:val="Heading2"/>
      </w:pPr>
      <w:r w:rsidRPr="00954373">
        <w:t xml:space="preserve"> Timber Ridge</w:t>
      </w:r>
      <w:r>
        <w:t xml:space="preserve"> Proposed</w:t>
      </w:r>
      <w:r w:rsidRPr="00954373">
        <w:t xml:space="preserve"> C&amp;R Changes</w:t>
      </w:r>
    </w:p>
    <w:tbl>
      <w:tblPr>
        <w:tblStyle w:val="TableGrid"/>
        <w:tblW w:w="0" w:type="auto"/>
        <w:tblLook w:val="04A0" w:firstRow="1" w:lastRow="0" w:firstColumn="1" w:lastColumn="0" w:noHBand="0" w:noVBand="1"/>
      </w:tblPr>
      <w:tblGrid>
        <w:gridCol w:w="1797"/>
        <w:gridCol w:w="3595"/>
        <w:gridCol w:w="3958"/>
      </w:tblGrid>
      <w:tr w:rsidR="00C12A08" w:rsidRPr="00C12A08" w14:paraId="6B71E7BD" w14:textId="77777777" w:rsidTr="00954373">
        <w:trPr>
          <w:trHeight w:val="710"/>
        </w:trPr>
        <w:tc>
          <w:tcPr>
            <w:tcW w:w="1797" w:type="dxa"/>
            <w:vAlign w:val="center"/>
          </w:tcPr>
          <w:p w14:paraId="09F0B08F" w14:textId="77777777" w:rsidR="00C12A08" w:rsidRPr="00C12A08" w:rsidRDefault="00C12A08" w:rsidP="00C12A08">
            <w:pPr>
              <w:spacing w:after="160" w:line="278" w:lineRule="auto"/>
              <w:rPr>
                <w:b/>
                <w:bCs/>
              </w:rPr>
            </w:pPr>
            <w:r w:rsidRPr="00C12A08">
              <w:rPr>
                <w:b/>
                <w:bCs/>
              </w:rPr>
              <w:t>Aspect</w:t>
            </w:r>
          </w:p>
        </w:tc>
        <w:tc>
          <w:tcPr>
            <w:tcW w:w="3595" w:type="dxa"/>
            <w:vAlign w:val="center"/>
          </w:tcPr>
          <w:p w14:paraId="71B22534" w14:textId="77777777" w:rsidR="00C12A08" w:rsidRPr="00C12A08" w:rsidRDefault="00C12A08" w:rsidP="00C12A08">
            <w:pPr>
              <w:spacing w:after="160" w:line="278" w:lineRule="auto"/>
              <w:rPr>
                <w:b/>
                <w:bCs/>
              </w:rPr>
            </w:pPr>
            <w:r w:rsidRPr="00C12A08">
              <w:rPr>
                <w:b/>
                <w:bCs/>
              </w:rPr>
              <w:t>Original Requirements</w:t>
            </w:r>
          </w:p>
        </w:tc>
        <w:tc>
          <w:tcPr>
            <w:tcW w:w="3958" w:type="dxa"/>
            <w:vAlign w:val="center"/>
          </w:tcPr>
          <w:p w14:paraId="5A4A3220" w14:textId="77777777" w:rsidR="00C12A08" w:rsidRPr="00C12A08" w:rsidRDefault="00C12A08" w:rsidP="00C12A08">
            <w:pPr>
              <w:spacing w:after="160" w:line="278" w:lineRule="auto"/>
              <w:rPr>
                <w:b/>
                <w:bCs/>
              </w:rPr>
            </w:pPr>
            <w:r w:rsidRPr="00C12A08">
              <w:rPr>
                <w:b/>
                <w:bCs/>
              </w:rPr>
              <w:t>Proposed Changes</w:t>
            </w:r>
          </w:p>
        </w:tc>
      </w:tr>
      <w:tr w:rsidR="00233CBE" w:rsidRPr="00C12A08" w14:paraId="3534F730" w14:textId="77777777" w:rsidTr="00233CBE">
        <w:tc>
          <w:tcPr>
            <w:tcW w:w="0" w:type="auto"/>
            <w:hideMark/>
          </w:tcPr>
          <w:p w14:paraId="0BD43001" w14:textId="77777777" w:rsidR="00233CBE" w:rsidRPr="00C12A08" w:rsidRDefault="00233CBE" w:rsidP="008129C0">
            <w:pPr>
              <w:spacing w:after="160" w:line="278" w:lineRule="auto"/>
            </w:pPr>
            <w:r w:rsidRPr="00C12A08">
              <w:rPr>
                <w:b/>
                <w:bCs/>
              </w:rPr>
              <w:t>Duration, Enforcement &amp; Amendment</w:t>
            </w:r>
          </w:p>
        </w:tc>
        <w:tc>
          <w:tcPr>
            <w:tcW w:w="0" w:type="auto"/>
            <w:hideMark/>
          </w:tcPr>
          <w:p w14:paraId="66425108" w14:textId="77777777" w:rsidR="00233CBE" w:rsidRPr="00C12A08" w:rsidRDefault="00233CBE" w:rsidP="008129C0">
            <w:pPr>
              <w:spacing w:after="160" w:line="278" w:lineRule="auto"/>
            </w:pPr>
            <w:r w:rsidRPr="00C12A08">
              <w:t>• Run until April 10, 2022, with automatic 10</w:t>
            </w:r>
            <w:r w:rsidRPr="00C12A08">
              <w:noBreakHyphen/>
              <w:t>year extensions.</w:t>
            </w:r>
            <w:r w:rsidRPr="00C12A08">
              <w:br/>
              <w:t>• Amendments/terminations allowed with a 51% vote (or 67% after all lots transfer).</w:t>
            </w:r>
          </w:p>
        </w:tc>
        <w:tc>
          <w:tcPr>
            <w:tcW w:w="0" w:type="auto"/>
            <w:hideMark/>
          </w:tcPr>
          <w:p w14:paraId="192B825D" w14:textId="77777777" w:rsidR="00233CBE" w:rsidRPr="00C12A08" w:rsidRDefault="00233CBE" w:rsidP="008129C0">
            <w:pPr>
              <w:spacing w:after="160" w:line="278" w:lineRule="auto"/>
            </w:pPr>
            <w:r w:rsidRPr="00C12A08">
              <w:t>• Run until December 31, 2044, with automatic successive 10</w:t>
            </w:r>
            <w:r w:rsidRPr="00C12A08">
              <w:noBreakHyphen/>
              <w:t>year extensions.</w:t>
            </w:r>
            <w:r w:rsidRPr="00C12A08">
              <w:br/>
              <w:t>• Amendments/terminations require a 75% vote of owners, increasing the threshold for change.</w:t>
            </w:r>
          </w:p>
        </w:tc>
      </w:tr>
      <w:tr w:rsidR="00233CBE" w:rsidRPr="00C12A08" w14:paraId="5CC5FD11" w14:textId="77777777" w:rsidTr="00233CBE">
        <w:tc>
          <w:tcPr>
            <w:tcW w:w="0" w:type="auto"/>
            <w:hideMark/>
          </w:tcPr>
          <w:p w14:paraId="4BFBB844" w14:textId="77777777" w:rsidR="00233CBE" w:rsidRPr="00C12A08" w:rsidRDefault="00233CBE" w:rsidP="008129C0">
            <w:pPr>
              <w:spacing w:after="160" w:line="278" w:lineRule="auto"/>
            </w:pPr>
            <w:r w:rsidRPr="00C12A08">
              <w:rPr>
                <w:b/>
                <w:bCs/>
              </w:rPr>
              <w:t>Land Use &amp; Building Standards</w:t>
            </w:r>
          </w:p>
        </w:tc>
        <w:tc>
          <w:tcPr>
            <w:tcW w:w="0" w:type="auto"/>
            <w:hideMark/>
          </w:tcPr>
          <w:p w14:paraId="12D8DBA7" w14:textId="77777777" w:rsidR="00233CBE" w:rsidRPr="00C12A08" w:rsidRDefault="00233CBE" w:rsidP="008129C0">
            <w:pPr>
              <w:spacing w:after="160" w:line="278" w:lineRule="auto"/>
            </w:pPr>
            <w:r w:rsidRPr="00C12A08">
              <w:t>• Permits single</w:t>
            </w:r>
            <w:r w:rsidRPr="00C12A08">
              <w:noBreakHyphen/>
              <w:t>family residences (two stories maximum) with basic material and setback guidelines.</w:t>
            </w:r>
            <w:r w:rsidRPr="00C12A08">
              <w:br/>
              <w:t>• Sets minimum square footage requirements.</w:t>
            </w:r>
          </w:p>
        </w:tc>
        <w:tc>
          <w:tcPr>
            <w:tcW w:w="0" w:type="auto"/>
            <w:hideMark/>
          </w:tcPr>
          <w:p w14:paraId="246F4C11" w14:textId="77777777" w:rsidR="00233CBE" w:rsidRPr="00C12A08" w:rsidRDefault="00233CBE" w:rsidP="008129C0">
            <w:pPr>
              <w:spacing w:after="160" w:line="278" w:lineRule="auto"/>
            </w:pPr>
            <w:r w:rsidRPr="00C12A08">
              <w:t>• Restricts to detached single</w:t>
            </w:r>
            <w:r w:rsidRPr="00C12A08">
              <w:noBreakHyphen/>
              <w:t>family dwellings with an attached two</w:t>
            </w:r>
            <w:r w:rsidRPr="00C12A08">
              <w:noBreakHyphen/>
              <w:t>car garage.</w:t>
            </w:r>
            <w:r w:rsidRPr="00C12A08">
              <w:br/>
              <w:t>• Prohibits building types such as A</w:t>
            </w:r>
            <w:r w:rsidRPr="00C12A08">
              <w:noBreakHyphen/>
              <w:t>Frame, modular, mobile, log, or underground homes.</w:t>
            </w:r>
            <w:r w:rsidRPr="00C12A08">
              <w:br/>
              <w:t>• Requires specific exterior materials (e.g., front walls must be 100% brick, brick veneer, or approved stone and at least 50% brick overall).</w:t>
            </w:r>
          </w:p>
        </w:tc>
      </w:tr>
      <w:tr w:rsidR="00C12A08" w14:paraId="75D4099B" w14:textId="77777777" w:rsidTr="00233CBE">
        <w:tc>
          <w:tcPr>
            <w:tcW w:w="1797" w:type="dxa"/>
          </w:tcPr>
          <w:p w14:paraId="328A6DA9" w14:textId="77777777" w:rsidR="00C12A08" w:rsidRPr="00C12A08" w:rsidRDefault="00C12A08" w:rsidP="00C12A08">
            <w:pPr>
              <w:rPr>
                <w:b/>
                <w:bCs/>
              </w:rPr>
            </w:pPr>
            <w:r w:rsidRPr="00C12A08">
              <w:rPr>
                <w:b/>
                <w:bCs/>
              </w:rPr>
              <w:t>Architectural Control &amp; Approval</w:t>
            </w:r>
          </w:p>
        </w:tc>
        <w:tc>
          <w:tcPr>
            <w:tcW w:w="3595" w:type="dxa"/>
          </w:tcPr>
          <w:p w14:paraId="039DC93C" w14:textId="77777777" w:rsidR="00C12A08" w:rsidRPr="00DC08A7" w:rsidRDefault="00C12A08" w:rsidP="00C12A08">
            <w:r w:rsidRPr="00DC08A7">
              <w:t>• Requires Architectural Control Committee approval for construction and alterations; no strict decision timeframe is specified.</w:t>
            </w:r>
          </w:p>
        </w:tc>
        <w:tc>
          <w:tcPr>
            <w:tcW w:w="3958" w:type="dxa"/>
          </w:tcPr>
          <w:p w14:paraId="573DB84B" w14:textId="77777777" w:rsidR="00C12A08" w:rsidRDefault="00C12A08" w:rsidP="00C12A08">
            <w:r w:rsidRPr="00DC08A7">
              <w:t>• Requires all construction and exterior alterations to be approved by the Architectural Control Committee, with a mandated decision within 7 days of receiving complete documentation.</w:t>
            </w:r>
          </w:p>
        </w:tc>
      </w:tr>
      <w:tr w:rsidR="00C12A08" w14:paraId="3FB62A49" w14:textId="77777777" w:rsidTr="00233CBE">
        <w:tc>
          <w:tcPr>
            <w:tcW w:w="1797" w:type="dxa"/>
          </w:tcPr>
          <w:p w14:paraId="628182E2" w14:textId="77777777" w:rsidR="00C12A08" w:rsidRPr="00C12A08" w:rsidRDefault="00C12A08" w:rsidP="00C12A08">
            <w:pPr>
              <w:rPr>
                <w:b/>
                <w:bCs/>
              </w:rPr>
            </w:pPr>
            <w:r w:rsidRPr="00C12A08">
              <w:rPr>
                <w:b/>
                <w:bCs/>
              </w:rPr>
              <w:t>Assessments &amp; Fee Structures</w:t>
            </w:r>
          </w:p>
        </w:tc>
        <w:tc>
          <w:tcPr>
            <w:tcW w:w="3595" w:type="dxa"/>
          </w:tcPr>
          <w:p w14:paraId="1D86F072" w14:textId="77777777" w:rsidR="00C12A08" w:rsidRPr="00244C4F" w:rsidRDefault="00C12A08" w:rsidP="00C12A08">
            <w:r w:rsidRPr="00244C4F">
              <w:t>• Provides for annual and special assessments approved by a majority vote of the owners, with less detailed fee increase procedures.</w:t>
            </w:r>
          </w:p>
        </w:tc>
        <w:tc>
          <w:tcPr>
            <w:tcW w:w="3958" w:type="dxa"/>
          </w:tcPr>
          <w:p w14:paraId="5CC2FECF" w14:textId="77777777" w:rsidR="00C12A08" w:rsidRDefault="00C12A08" w:rsidP="00C12A08">
            <w:r w:rsidRPr="00244C4F">
              <w:t>• Provides for annual and special assessments with fee increases requiring a two thirds majority vote and more detailed notification and scheduling processes.</w:t>
            </w:r>
          </w:p>
        </w:tc>
      </w:tr>
      <w:tr w:rsidR="00233CBE" w14:paraId="532A75B1" w14:textId="77777777" w:rsidTr="00233CBE">
        <w:tc>
          <w:tcPr>
            <w:tcW w:w="1797" w:type="dxa"/>
          </w:tcPr>
          <w:p w14:paraId="4A80F940" w14:textId="77777777" w:rsidR="00233CBE" w:rsidRPr="00233CBE" w:rsidRDefault="00233CBE" w:rsidP="00233CBE">
            <w:pPr>
              <w:rPr>
                <w:b/>
                <w:bCs/>
              </w:rPr>
            </w:pPr>
            <w:r w:rsidRPr="00233CBE">
              <w:rPr>
                <w:b/>
                <w:bCs/>
              </w:rPr>
              <w:t>Homeowners Association (HOA) Governance</w:t>
            </w:r>
          </w:p>
        </w:tc>
        <w:tc>
          <w:tcPr>
            <w:tcW w:w="3595" w:type="dxa"/>
          </w:tcPr>
          <w:p w14:paraId="50E6F812" w14:textId="77777777" w:rsidR="00233CBE" w:rsidRPr="00DB2F99" w:rsidRDefault="00233CBE" w:rsidP="00233CBE">
            <w:r w:rsidRPr="00DB2F99">
              <w:t>• HOA is to be established after all lots are sold or after 10 years, leaving initial control largely in the hands of the developer.</w:t>
            </w:r>
          </w:p>
        </w:tc>
        <w:tc>
          <w:tcPr>
            <w:tcW w:w="3958" w:type="dxa"/>
          </w:tcPr>
          <w:p w14:paraId="47C7B2FD" w14:textId="77777777" w:rsidR="00233CBE" w:rsidRDefault="00233CBE" w:rsidP="00233CBE">
            <w:r w:rsidRPr="00DB2F99">
              <w:t>• Establishes an HOA with immediate and broader authority, shifting control from the developer to current homeowners.</w:t>
            </w:r>
          </w:p>
        </w:tc>
      </w:tr>
      <w:tr w:rsidR="00233CBE" w14:paraId="6EB9558F" w14:textId="77777777" w:rsidTr="00233CBE">
        <w:tc>
          <w:tcPr>
            <w:tcW w:w="1797" w:type="dxa"/>
          </w:tcPr>
          <w:p w14:paraId="1EF1E2B7" w14:textId="77777777" w:rsidR="00233CBE" w:rsidRPr="00233CBE" w:rsidRDefault="00233CBE" w:rsidP="00233CBE">
            <w:pPr>
              <w:rPr>
                <w:b/>
                <w:bCs/>
              </w:rPr>
            </w:pPr>
            <w:r w:rsidRPr="00233CBE">
              <w:rPr>
                <w:b/>
                <w:bCs/>
              </w:rPr>
              <w:t>Vehicle Restrictions</w:t>
            </w:r>
          </w:p>
        </w:tc>
        <w:tc>
          <w:tcPr>
            <w:tcW w:w="3595" w:type="dxa"/>
          </w:tcPr>
          <w:p w14:paraId="40935109" w14:textId="77777777" w:rsidR="00233CBE" w:rsidRPr="00484AFE" w:rsidRDefault="00233CBE" w:rsidP="00233CBE">
            <w:r w:rsidRPr="00484AFE">
              <w:t xml:space="preserve">• Prohibits trucks, trailers, or commercial vehicles from standing on a lot, with allowances for service vehicles and light trucks; </w:t>
            </w:r>
            <w:r w:rsidRPr="00484AFE">
              <w:lastRenderedPageBreak/>
              <w:t>storage of campers, boats, etc., is limited to garages.</w:t>
            </w:r>
          </w:p>
        </w:tc>
        <w:tc>
          <w:tcPr>
            <w:tcW w:w="3958" w:type="dxa"/>
          </w:tcPr>
          <w:p w14:paraId="6E9895D7" w14:textId="77777777" w:rsidR="00233CBE" w:rsidRDefault="00233CBE" w:rsidP="00233CBE">
            <w:r w:rsidRPr="00484AFE">
              <w:lastRenderedPageBreak/>
              <w:t xml:space="preserve">• Explicitly prohibits parking of trucks, trailers, recreational vehicles, campers, motor homes, and commercial vehicles (of one ton or </w:t>
            </w:r>
            <w:r w:rsidRPr="00484AFE">
              <w:lastRenderedPageBreak/>
              <w:t>greater) on driveways, yards, or building areas except for temporary loading/unloading (not to exceed 24 consecutive hours). Vehicles must be parked in a fully enclosed garage otherwise.</w:t>
            </w:r>
          </w:p>
        </w:tc>
      </w:tr>
      <w:tr w:rsidR="00233CBE" w14:paraId="781DAAD6" w14:textId="77777777" w:rsidTr="00233CBE">
        <w:tc>
          <w:tcPr>
            <w:tcW w:w="1797" w:type="dxa"/>
          </w:tcPr>
          <w:p w14:paraId="571443E9" w14:textId="77777777" w:rsidR="00233CBE" w:rsidRPr="00233CBE" w:rsidRDefault="00233CBE" w:rsidP="00233CBE">
            <w:pPr>
              <w:rPr>
                <w:b/>
                <w:bCs/>
              </w:rPr>
            </w:pPr>
            <w:r w:rsidRPr="00233CBE">
              <w:rPr>
                <w:b/>
                <w:bCs/>
              </w:rPr>
              <w:lastRenderedPageBreak/>
              <w:t>Automotive Maintenance</w:t>
            </w:r>
          </w:p>
        </w:tc>
        <w:tc>
          <w:tcPr>
            <w:tcW w:w="3595" w:type="dxa"/>
          </w:tcPr>
          <w:p w14:paraId="3F7E3050" w14:textId="77777777" w:rsidR="00233CBE" w:rsidRPr="00D93321" w:rsidRDefault="00233CBE" w:rsidP="00233CBE">
            <w:r w:rsidRPr="00D93321">
              <w:t>• Limits the use of a lot or driveway for automotive repair or maintenance to avoid obstruction, generally allowing repair work only for brief periods.</w:t>
            </w:r>
          </w:p>
        </w:tc>
        <w:tc>
          <w:tcPr>
            <w:tcW w:w="3958" w:type="dxa"/>
          </w:tcPr>
          <w:p w14:paraId="671051C4" w14:textId="77777777" w:rsidR="00233CBE" w:rsidRDefault="00233CBE" w:rsidP="00233CBE">
            <w:r w:rsidRPr="00D93321">
              <w:t>• Prohibits any mechanical work or vehicle maintenance (other than cleaning or painting) on any building area, residence, garage, or driveway, ensuring that no automotive maintenance is performed on the property.</w:t>
            </w:r>
          </w:p>
        </w:tc>
      </w:tr>
      <w:tr w:rsidR="00233CBE" w14:paraId="71F9F613" w14:textId="77777777" w:rsidTr="00233CBE">
        <w:tc>
          <w:tcPr>
            <w:tcW w:w="1797" w:type="dxa"/>
          </w:tcPr>
          <w:p w14:paraId="252FBD65" w14:textId="77777777" w:rsidR="00233CBE" w:rsidRPr="00233CBE" w:rsidRDefault="00233CBE" w:rsidP="00233CBE">
            <w:pPr>
              <w:rPr>
                <w:b/>
                <w:bCs/>
              </w:rPr>
            </w:pPr>
            <w:r w:rsidRPr="00233CBE">
              <w:rPr>
                <w:b/>
                <w:bCs/>
              </w:rPr>
              <w:t>Livestock, Poultry &amp; Pet Restrictions</w:t>
            </w:r>
          </w:p>
        </w:tc>
        <w:tc>
          <w:tcPr>
            <w:tcW w:w="3595" w:type="dxa"/>
          </w:tcPr>
          <w:p w14:paraId="338183AA" w14:textId="77777777" w:rsidR="00233CBE" w:rsidRPr="009E101F" w:rsidRDefault="00233CBE" w:rsidP="00233CBE">
            <w:r w:rsidRPr="009E101F">
              <w:t>• Prohibits keeping, breeding, or maintaining animals for commercial purposes; allows up to three domestic pets (dogs, cats, or similar) inside the dwelling.</w:t>
            </w:r>
          </w:p>
        </w:tc>
        <w:tc>
          <w:tcPr>
            <w:tcW w:w="3958" w:type="dxa"/>
          </w:tcPr>
          <w:p w14:paraId="0AA4DE89" w14:textId="77777777" w:rsidR="00233CBE" w:rsidRPr="009E101F" w:rsidRDefault="00233CBE" w:rsidP="00233CBE">
            <w:r w:rsidRPr="009E101F">
              <w:t>• Prohibits raising, breeding, or keeping any livestock or poultry on any building area.</w:t>
            </w:r>
          </w:p>
        </w:tc>
      </w:tr>
      <w:tr w:rsidR="00233CBE" w14:paraId="18FF6CB7" w14:textId="77777777" w:rsidTr="00233CBE">
        <w:tc>
          <w:tcPr>
            <w:tcW w:w="1797" w:type="dxa"/>
          </w:tcPr>
          <w:p w14:paraId="1D621B9C" w14:textId="77777777" w:rsidR="00233CBE" w:rsidRPr="00233CBE" w:rsidRDefault="00233CBE" w:rsidP="00233CBE">
            <w:pPr>
              <w:rPr>
                <w:b/>
                <w:bCs/>
              </w:rPr>
            </w:pPr>
            <w:r w:rsidRPr="00233CBE">
              <w:rPr>
                <w:b/>
                <w:bCs/>
              </w:rPr>
              <w:t>Clothes Lines</w:t>
            </w:r>
          </w:p>
        </w:tc>
        <w:tc>
          <w:tcPr>
            <w:tcW w:w="3595" w:type="dxa"/>
          </w:tcPr>
          <w:p w14:paraId="57C9E7F1" w14:textId="77777777" w:rsidR="00233CBE" w:rsidRPr="00DB1D53" w:rsidRDefault="00233CBE" w:rsidP="00233CBE">
            <w:r w:rsidRPr="00DB1D53">
              <w:t>• No explicit prohibition on clothes lines is stated.</w:t>
            </w:r>
          </w:p>
        </w:tc>
        <w:tc>
          <w:tcPr>
            <w:tcW w:w="3958" w:type="dxa"/>
          </w:tcPr>
          <w:p w14:paraId="77D3F232" w14:textId="77777777" w:rsidR="00233CBE" w:rsidRDefault="00233CBE" w:rsidP="00233CBE">
            <w:r w:rsidRPr="00DB1D53">
              <w:t>• Explicitly prohibits the installation of any temporary or permanent clothes lines on any building area.</w:t>
            </w:r>
          </w:p>
        </w:tc>
      </w:tr>
      <w:tr w:rsidR="00233CBE" w14:paraId="5A53710B" w14:textId="77777777" w:rsidTr="00233CBE">
        <w:tc>
          <w:tcPr>
            <w:tcW w:w="1797" w:type="dxa"/>
          </w:tcPr>
          <w:p w14:paraId="19FA6866" w14:textId="77777777" w:rsidR="00233CBE" w:rsidRPr="00233CBE" w:rsidRDefault="00233CBE" w:rsidP="00233CBE">
            <w:pPr>
              <w:rPr>
                <w:b/>
                <w:bCs/>
              </w:rPr>
            </w:pPr>
            <w:r w:rsidRPr="00233CBE">
              <w:rPr>
                <w:b/>
                <w:bCs/>
              </w:rPr>
              <w:t>Site Drainage &amp; Grading</w:t>
            </w:r>
          </w:p>
        </w:tc>
        <w:tc>
          <w:tcPr>
            <w:tcW w:w="3595" w:type="dxa"/>
          </w:tcPr>
          <w:p w14:paraId="3683C235" w14:textId="77777777" w:rsidR="00233CBE" w:rsidRPr="00526871" w:rsidRDefault="00233CBE" w:rsidP="00233CBE">
            <w:r w:rsidRPr="00526871">
              <w:t>• Contains general language regarding landscaping and maintenance without detailed drainage requirements.</w:t>
            </w:r>
          </w:p>
        </w:tc>
        <w:tc>
          <w:tcPr>
            <w:tcW w:w="3958" w:type="dxa"/>
          </w:tcPr>
          <w:p w14:paraId="77BE4B16" w14:textId="77777777" w:rsidR="00233CBE" w:rsidRDefault="00233CBE" w:rsidP="00233CBE">
            <w:r w:rsidRPr="00526871">
              <w:t>• Specifies that each site must have a finish grade that permits the natural flow of surface drainage without causing erosion or directing excess water onto adjacent lots or public roadways.</w:t>
            </w:r>
          </w:p>
        </w:tc>
      </w:tr>
      <w:tr w:rsidR="00233CBE" w14:paraId="281D1539" w14:textId="77777777" w:rsidTr="00233CBE">
        <w:tc>
          <w:tcPr>
            <w:tcW w:w="1797" w:type="dxa"/>
          </w:tcPr>
          <w:p w14:paraId="4E249C1F" w14:textId="77777777" w:rsidR="00233CBE" w:rsidRPr="00233CBE" w:rsidRDefault="00233CBE" w:rsidP="00233CBE">
            <w:pPr>
              <w:rPr>
                <w:b/>
                <w:bCs/>
              </w:rPr>
            </w:pPr>
            <w:r w:rsidRPr="00233CBE">
              <w:rPr>
                <w:b/>
                <w:bCs/>
              </w:rPr>
              <w:t>Setback &amp; Building Location</w:t>
            </w:r>
          </w:p>
        </w:tc>
        <w:tc>
          <w:tcPr>
            <w:tcW w:w="3595" w:type="dxa"/>
          </w:tcPr>
          <w:p w14:paraId="6D862507" w14:textId="77777777" w:rsidR="00233CBE" w:rsidRPr="00913E24" w:rsidRDefault="00233CBE" w:rsidP="00233CBE">
            <w:r w:rsidRPr="00913E24">
              <w:t>• Contains detailed setback requirements, such as no building being located nearer than 50 feet to the front property line, 50 feet to the rear, or 20 feet to an interior or side lot line.</w:t>
            </w:r>
          </w:p>
        </w:tc>
        <w:tc>
          <w:tcPr>
            <w:tcW w:w="3958" w:type="dxa"/>
          </w:tcPr>
          <w:p w14:paraId="4E478098" w14:textId="77777777" w:rsidR="00233CBE" w:rsidRDefault="00233CBE" w:rsidP="00233CBE">
            <w:r w:rsidRPr="00913E24">
              <w:t>• The proposed document focuses more on construction quality and material standards and is less detailed about specific setback measurements compared to the original.</w:t>
            </w:r>
          </w:p>
        </w:tc>
      </w:tr>
      <w:tr w:rsidR="00233CBE" w14:paraId="12874884" w14:textId="77777777" w:rsidTr="00233CBE">
        <w:tc>
          <w:tcPr>
            <w:tcW w:w="1797" w:type="dxa"/>
          </w:tcPr>
          <w:p w14:paraId="7EC3E28D" w14:textId="77777777" w:rsidR="00233CBE" w:rsidRPr="00233CBE" w:rsidRDefault="00233CBE" w:rsidP="00233CBE">
            <w:pPr>
              <w:rPr>
                <w:b/>
                <w:bCs/>
              </w:rPr>
            </w:pPr>
            <w:r w:rsidRPr="00233CBE">
              <w:rPr>
                <w:b/>
                <w:bCs/>
              </w:rPr>
              <w:t>Signage</w:t>
            </w:r>
          </w:p>
        </w:tc>
        <w:tc>
          <w:tcPr>
            <w:tcW w:w="3595" w:type="dxa"/>
          </w:tcPr>
          <w:p w14:paraId="3BD739ED" w14:textId="77777777" w:rsidR="00233CBE" w:rsidRPr="00D7333D" w:rsidRDefault="00233CBE" w:rsidP="00233CBE">
            <w:r w:rsidRPr="00D7333D">
              <w:t>• Permits a sign of up to six square feet for advertising property for sale or rent (with additional allowances during construction).</w:t>
            </w:r>
          </w:p>
        </w:tc>
        <w:tc>
          <w:tcPr>
            <w:tcW w:w="3958" w:type="dxa"/>
          </w:tcPr>
          <w:p w14:paraId="4AD618EE" w14:textId="77777777" w:rsidR="00233CBE" w:rsidRDefault="00233CBE" w:rsidP="00233CBE">
            <w:r w:rsidRPr="00D7333D">
              <w:t>• Restricts signage more tightly by permitting only a sign of up to five square feet for advertising, further limiting visual clutter.</w:t>
            </w:r>
          </w:p>
        </w:tc>
      </w:tr>
      <w:tr w:rsidR="00233CBE" w14:paraId="4A88A5C8" w14:textId="77777777" w:rsidTr="00233CBE">
        <w:tc>
          <w:tcPr>
            <w:tcW w:w="1797" w:type="dxa"/>
          </w:tcPr>
          <w:p w14:paraId="6AF5B290" w14:textId="77777777" w:rsidR="00233CBE" w:rsidRPr="00233CBE" w:rsidRDefault="00233CBE" w:rsidP="00233CBE">
            <w:pPr>
              <w:rPr>
                <w:b/>
                <w:bCs/>
              </w:rPr>
            </w:pPr>
            <w:r w:rsidRPr="00233CBE">
              <w:rPr>
                <w:b/>
                <w:bCs/>
              </w:rPr>
              <w:t>Outdoor Storage and Clutter</w:t>
            </w:r>
          </w:p>
        </w:tc>
        <w:tc>
          <w:tcPr>
            <w:tcW w:w="3595" w:type="dxa"/>
          </w:tcPr>
          <w:p w14:paraId="6ED02A82" w14:textId="77777777" w:rsidR="00233CBE" w:rsidRPr="006270E0" w:rsidRDefault="00233CBE" w:rsidP="00233CBE">
            <w:r w:rsidRPr="006270E0">
              <w:t xml:space="preserve">• The original requirements state that nothing (aside from neatly stacked firewood during construction) should be stored openly outside the dwelling or </w:t>
            </w:r>
            <w:r w:rsidRPr="006270E0">
              <w:lastRenderedPageBreak/>
              <w:t>garage, to prevent clutter and maintain appearance.</w:t>
            </w:r>
          </w:p>
        </w:tc>
        <w:tc>
          <w:tcPr>
            <w:tcW w:w="3958" w:type="dxa"/>
          </w:tcPr>
          <w:p w14:paraId="42FBA228" w14:textId="77777777" w:rsidR="00233CBE" w:rsidRDefault="00233CBE" w:rsidP="00233CBE">
            <w:r w:rsidRPr="006270E0">
              <w:lastRenderedPageBreak/>
              <w:t>• The proposed changes reinforce the prohibition on using any open space for storage of unapproved items, emphasizing that all areas must be kept free of clutter and maintained in a clean and orderly fashion.</w:t>
            </w:r>
          </w:p>
        </w:tc>
      </w:tr>
    </w:tbl>
    <w:p w14:paraId="774CCDE8" w14:textId="77777777" w:rsidR="00C12A08" w:rsidRDefault="00C12A08"/>
    <w:p w14:paraId="58843ED5" w14:textId="77777777" w:rsidR="00233CBE" w:rsidRDefault="00233CBE">
      <w:r>
        <w:t>Note to Neighbors:</w:t>
      </w:r>
    </w:p>
    <w:p w14:paraId="646B4D77" w14:textId="77777777" w:rsidR="00233CBE" w:rsidRDefault="00233CBE"/>
    <w:p w14:paraId="0387B124" w14:textId="77777777" w:rsidR="00233CBE" w:rsidRDefault="00233CBE">
      <w:r>
        <w:t>Hey neighbor,</w:t>
      </w:r>
    </w:p>
    <w:p w14:paraId="07A35C91" w14:textId="77777777" w:rsidR="00233CBE" w:rsidRDefault="00233CBE"/>
    <w:p w14:paraId="2122D9C7" w14:textId="77777777" w:rsidR="00233CBE" w:rsidRDefault="00233CBE">
      <w:r>
        <w:t xml:space="preserve">My name is Wes Edmiston and I am at 8414 Timber Ridge. With the date now set for the HOA meeting to discuss the proposed covenants, I wanted to reach out to the individual households to gather as much feedback as I can going into the meeting. The idea is to collect all feedback and concerns prior to the meeting so that an appropriate agenda can be constructed, ultimately facilitating an </w:t>
      </w:r>
      <w:r w:rsidR="00954373">
        <w:t xml:space="preserve">effective session. </w:t>
      </w:r>
    </w:p>
    <w:p w14:paraId="51097C7C" w14:textId="77777777" w:rsidR="00954373" w:rsidRDefault="00954373"/>
    <w:p w14:paraId="73F98F0A" w14:textId="77777777" w:rsidR="00954373" w:rsidRDefault="00954373">
      <w:r>
        <w:t xml:space="preserve">I have attached copies of the original and proposed C&amp;R’s, plus I’ve provided a list that highlights many of the proposed changes. </w:t>
      </w:r>
    </w:p>
    <w:p w14:paraId="47F16559" w14:textId="77777777" w:rsidR="00954373" w:rsidRDefault="00954373"/>
    <w:p w14:paraId="12C9E4C5" w14:textId="77777777" w:rsidR="00954373" w:rsidRDefault="00954373">
      <w:r>
        <w:t xml:space="preserve">One item that is generating a lot of energy is the topic of chickens. </w:t>
      </w:r>
    </w:p>
    <w:p w14:paraId="665A2072" w14:textId="77777777" w:rsidR="00954373" w:rsidRDefault="00954373"/>
    <w:p w14:paraId="2A9BAF2D" w14:textId="77777777" w:rsidR="00954373" w:rsidRDefault="00954373">
      <w:r>
        <w:t xml:space="preserve">The intent if the HOA is to protect the investments of the homeowners. I’ll take any and all feedback in good faith that </w:t>
      </w:r>
    </w:p>
    <w:p w14:paraId="319C0B32" w14:textId="77777777" w:rsidR="00954373" w:rsidRDefault="00954373"/>
    <w:p w14:paraId="4A663955" w14:textId="77777777" w:rsidR="00954373" w:rsidRDefault="00954373">
      <w:r>
        <w:t>Thanks,</w:t>
      </w:r>
    </w:p>
    <w:p w14:paraId="4EB2463F" w14:textId="77777777" w:rsidR="00954373" w:rsidRDefault="00954373">
      <w:r>
        <w:t>Wes Edmiston</w:t>
      </w:r>
    </w:p>
    <w:p w14:paraId="283DCCF5" w14:textId="77777777" w:rsidR="00954373" w:rsidRDefault="00954373">
      <w:r>
        <w:t>(309) 620-6079</w:t>
      </w:r>
    </w:p>
    <w:sectPr w:rsidR="0095437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2A08"/>
    <w:rsid w:val="00233CBE"/>
    <w:rsid w:val="00954373"/>
    <w:rsid w:val="00C12A08"/>
    <w:rsid w:val="00E3307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702C8A"/>
  <w15:chartTrackingRefBased/>
  <w15:docId w15:val="{89674C35-80F6-4E35-9683-2E8ADE2DD6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33CBE"/>
  </w:style>
  <w:style w:type="paragraph" w:styleId="Heading1">
    <w:name w:val="heading 1"/>
    <w:basedOn w:val="Normal"/>
    <w:next w:val="Normal"/>
    <w:link w:val="Heading1Char"/>
    <w:uiPriority w:val="9"/>
    <w:qFormat/>
    <w:rsid w:val="00C12A0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C12A0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12A0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12A0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12A0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12A0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12A0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12A0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12A0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12A0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C12A0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12A0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12A0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12A0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12A0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12A0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12A0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12A08"/>
    <w:rPr>
      <w:rFonts w:eastAsiaTheme="majorEastAsia" w:cstheme="majorBidi"/>
      <w:color w:val="272727" w:themeColor="text1" w:themeTint="D8"/>
    </w:rPr>
  </w:style>
  <w:style w:type="paragraph" w:styleId="Title">
    <w:name w:val="Title"/>
    <w:basedOn w:val="Normal"/>
    <w:next w:val="Normal"/>
    <w:link w:val="TitleChar"/>
    <w:uiPriority w:val="10"/>
    <w:qFormat/>
    <w:rsid w:val="00C12A0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12A0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12A0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12A0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12A08"/>
    <w:pPr>
      <w:spacing w:before="160"/>
      <w:jc w:val="center"/>
    </w:pPr>
    <w:rPr>
      <w:i/>
      <w:iCs/>
      <w:color w:val="404040" w:themeColor="text1" w:themeTint="BF"/>
    </w:rPr>
  </w:style>
  <w:style w:type="character" w:customStyle="1" w:styleId="QuoteChar">
    <w:name w:val="Quote Char"/>
    <w:basedOn w:val="DefaultParagraphFont"/>
    <w:link w:val="Quote"/>
    <w:uiPriority w:val="29"/>
    <w:rsid w:val="00C12A08"/>
    <w:rPr>
      <w:i/>
      <w:iCs/>
      <w:color w:val="404040" w:themeColor="text1" w:themeTint="BF"/>
    </w:rPr>
  </w:style>
  <w:style w:type="paragraph" w:styleId="ListParagraph">
    <w:name w:val="List Paragraph"/>
    <w:basedOn w:val="Normal"/>
    <w:uiPriority w:val="34"/>
    <w:qFormat/>
    <w:rsid w:val="00C12A08"/>
    <w:pPr>
      <w:ind w:left="720"/>
      <w:contextualSpacing/>
    </w:pPr>
  </w:style>
  <w:style w:type="character" w:styleId="IntenseEmphasis">
    <w:name w:val="Intense Emphasis"/>
    <w:basedOn w:val="DefaultParagraphFont"/>
    <w:uiPriority w:val="21"/>
    <w:qFormat/>
    <w:rsid w:val="00C12A08"/>
    <w:rPr>
      <w:i/>
      <w:iCs/>
      <w:color w:val="2F5496" w:themeColor="accent1" w:themeShade="BF"/>
    </w:rPr>
  </w:style>
  <w:style w:type="paragraph" w:styleId="IntenseQuote">
    <w:name w:val="Intense Quote"/>
    <w:basedOn w:val="Normal"/>
    <w:next w:val="Normal"/>
    <w:link w:val="IntenseQuoteChar"/>
    <w:uiPriority w:val="30"/>
    <w:qFormat/>
    <w:rsid w:val="00C12A0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12A08"/>
    <w:rPr>
      <w:i/>
      <w:iCs/>
      <w:color w:val="2F5496" w:themeColor="accent1" w:themeShade="BF"/>
    </w:rPr>
  </w:style>
  <w:style w:type="character" w:styleId="IntenseReference">
    <w:name w:val="Intense Reference"/>
    <w:basedOn w:val="DefaultParagraphFont"/>
    <w:uiPriority w:val="32"/>
    <w:qFormat/>
    <w:rsid w:val="00C12A08"/>
    <w:rPr>
      <w:b/>
      <w:bCs/>
      <w:smallCaps/>
      <w:color w:val="2F5496" w:themeColor="accent1" w:themeShade="BF"/>
      <w:spacing w:val="5"/>
    </w:rPr>
  </w:style>
  <w:style w:type="table" w:styleId="TableGrid">
    <w:name w:val="Table Grid"/>
    <w:basedOn w:val="TableNormal"/>
    <w:uiPriority w:val="39"/>
    <w:rsid w:val="00C12A0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233CB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7107102">
      <w:bodyDiv w:val="1"/>
      <w:marLeft w:val="0"/>
      <w:marRight w:val="0"/>
      <w:marTop w:val="0"/>
      <w:marBottom w:val="0"/>
      <w:divBdr>
        <w:top w:val="none" w:sz="0" w:space="0" w:color="auto"/>
        <w:left w:val="none" w:sz="0" w:space="0" w:color="auto"/>
        <w:bottom w:val="none" w:sz="0" w:space="0" w:color="auto"/>
        <w:right w:val="none" w:sz="0" w:space="0" w:color="auto"/>
      </w:divBdr>
    </w:div>
    <w:div w:id="260334249">
      <w:bodyDiv w:val="1"/>
      <w:marLeft w:val="0"/>
      <w:marRight w:val="0"/>
      <w:marTop w:val="0"/>
      <w:marBottom w:val="0"/>
      <w:divBdr>
        <w:top w:val="none" w:sz="0" w:space="0" w:color="auto"/>
        <w:left w:val="none" w:sz="0" w:space="0" w:color="auto"/>
        <w:bottom w:val="none" w:sz="0" w:space="0" w:color="auto"/>
        <w:right w:val="none" w:sz="0" w:space="0" w:color="auto"/>
      </w:divBdr>
    </w:div>
    <w:div w:id="682167088">
      <w:bodyDiv w:val="1"/>
      <w:marLeft w:val="0"/>
      <w:marRight w:val="0"/>
      <w:marTop w:val="0"/>
      <w:marBottom w:val="0"/>
      <w:divBdr>
        <w:top w:val="none" w:sz="0" w:space="0" w:color="auto"/>
        <w:left w:val="none" w:sz="0" w:space="0" w:color="auto"/>
        <w:bottom w:val="none" w:sz="0" w:space="0" w:color="auto"/>
        <w:right w:val="none" w:sz="0" w:space="0" w:color="auto"/>
      </w:divBdr>
    </w:div>
    <w:div w:id="1022515770">
      <w:bodyDiv w:val="1"/>
      <w:marLeft w:val="0"/>
      <w:marRight w:val="0"/>
      <w:marTop w:val="0"/>
      <w:marBottom w:val="0"/>
      <w:divBdr>
        <w:top w:val="none" w:sz="0" w:space="0" w:color="auto"/>
        <w:left w:val="none" w:sz="0" w:space="0" w:color="auto"/>
        <w:bottom w:val="none" w:sz="0" w:space="0" w:color="auto"/>
        <w:right w:val="none" w:sz="0" w:space="0" w:color="auto"/>
      </w:divBdr>
    </w:div>
    <w:div w:id="1075854724">
      <w:bodyDiv w:val="1"/>
      <w:marLeft w:val="0"/>
      <w:marRight w:val="0"/>
      <w:marTop w:val="0"/>
      <w:marBottom w:val="0"/>
      <w:divBdr>
        <w:top w:val="none" w:sz="0" w:space="0" w:color="auto"/>
        <w:left w:val="none" w:sz="0" w:space="0" w:color="auto"/>
        <w:bottom w:val="none" w:sz="0" w:space="0" w:color="auto"/>
        <w:right w:val="none" w:sz="0" w:space="0" w:color="auto"/>
      </w:divBdr>
    </w:div>
    <w:div w:id="11299330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253</TotalTime>
  <Pages>3</Pages>
  <Words>821</Words>
  <Characters>4683</Characters>
  <Application>Microsoft Office Word</Application>
  <DocSecurity>0</DocSecurity>
  <Lines>39</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Wes Edmiston</dc:creator>
  <cp:keywords/>
  <dc:description/>
  <cp:lastModifiedBy>Wes Edmiston</cp:lastModifiedBy>
  <cp:revision>1</cp:revision>
  <dcterms:created xsi:type="dcterms:W3CDTF">2025-03-29T14:27:00Z</dcterms:created>
  <dcterms:modified xsi:type="dcterms:W3CDTF">2025-03-29T18:40:00Z</dcterms:modified>
</cp:coreProperties>
</file>