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063E" w14:textId="13D44373" w:rsidR="00B52CDE" w:rsidRPr="00B52CDE" w:rsidRDefault="00B52CDE" w:rsidP="00B52CDE">
      <w:pPr>
        <w:jc w:val="center"/>
        <w:rPr>
          <w:b/>
          <w:color w:val="1F4E79"/>
          <w:sz w:val="48"/>
          <w:lang w:eastAsia="zh-TW"/>
        </w:rPr>
      </w:pPr>
      <w:r>
        <w:rPr>
          <w:rFonts w:hint="eastAsia"/>
          <w:b/>
          <w:color w:val="1F4E79"/>
          <w:sz w:val="48"/>
          <w:lang w:eastAsia="zh-TW"/>
        </w:rPr>
        <w:t>LLM個股分析回覆比較</w:t>
      </w:r>
    </w:p>
    <w:p w14:paraId="00C92827" w14:textId="77777777" w:rsidR="00BA64CB" w:rsidRDefault="00263CBD">
      <w:pPr>
        <w:pStyle w:val="1"/>
        <w:rPr>
          <w:lang w:eastAsia="zh-TW"/>
        </w:rPr>
      </w:pPr>
      <w:r>
        <w:rPr>
          <w:lang w:eastAsia="zh-TW"/>
        </w:rPr>
        <w:t>一、三種模型回覆比較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440"/>
        <w:gridCol w:w="1440"/>
        <w:gridCol w:w="1584"/>
        <w:gridCol w:w="3528"/>
      </w:tblGrid>
      <w:tr w:rsidR="00BA64CB" w14:paraId="5F558C2A" w14:textId="77777777"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4015FE84" w14:textId="77777777" w:rsidR="00BA64CB" w:rsidRDefault="00263CBD">
            <w:proofErr w:type="spellStart"/>
            <w:r>
              <w:rPr>
                <w:b/>
                <w:color w:val="FFFFFF"/>
                <w:sz w:val="16"/>
              </w:rPr>
              <w:t>評估面向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26D1D716" w14:textId="77777777" w:rsidR="00BA64CB" w:rsidRDefault="00263CBD">
            <w:r>
              <w:rPr>
                <w:b/>
                <w:color w:val="FFFFFF"/>
                <w:sz w:val="16"/>
              </w:rPr>
              <w:t>Llama 3.3 70B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B3530B8" w14:textId="77777777" w:rsidR="00BA64CB" w:rsidRDefault="00263CBD">
            <w:r>
              <w:rPr>
                <w:b/>
                <w:color w:val="FFFFFF"/>
                <w:sz w:val="16"/>
              </w:rPr>
              <w:t>Qwen3 Next 80B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229AF8DC" w14:textId="77777777" w:rsidR="00BA64CB" w:rsidRDefault="00263CBD">
            <w:r>
              <w:rPr>
                <w:b/>
                <w:color w:val="FFFFFF"/>
                <w:sz w:val="16"/>
              </w:rPr>
              <w:t>DeepSeek v4 Pro</w:t>
            </w:r>
          </w:p>
        </w:tc>
        <w:tc>
          <w:tcPr>
            <w:tcW w:w="3528" w:type="dxa"/>
            <w:shd w:val="clear" w:color="auto" w:fill="1F4E79"/>
            <w:vAlign w:val="center"/>
          </w:tcPr>
          <w:p w14:paraId="2E49C69F" w14:textId="77777777" w:rsidR="00BA64CB" w:rsidRDefault="00263CBD">
            <w:r>
              <w:rPr>
                <w:b/>
                <w:color w:val="FFFFFF"/>
                <w:sz w:val="16"/>
              </w:rPr>
              <w:t>投資者價值判斷</w:t>
            </w:r>
          </w:p>
        </w:tc>
      </w:tr>
      <w:tr w:rsidR="00BA64CB" w14:paraId="11380AAC" w14:textId="77777777">
        <w:trPr>
          <w:jc w:val="center"/>
        </w:trPr>
        <w:tc>
          <w:tcPr>
            <w:tcW w:w="1800" w:type="dxa"/>
            <w:vAlign w:val="center"/>
          </w:tcPr>
          <w:p w14:paraId="6FEF0F41" w14:textId="77777777" w:rsidR="00BA64CB" w:rsidRDefault="00263CBD">
            <w:r>
              <w:rPr>
                <w:sz w:val="16"/>
              </w:rPr>
              <w:t>整體投資結論清楚度</w:t>
            </w:r>
          </w:p>
        </w:tc>
        <w:tc>
          <w:tcPr>
            <w:tcW w:w="1440" w:type="dxa"/>
            <w:vAlign w:val="center"/>
          </w:tcPr>
          <w:p w14:paraId="41293550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440" w:type="dxa"/>
            <w:vAlign w:val="center"/>
          </w:tcPr>
          <w:p w14:paraId="64EF0BE9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1584" w:type="dxa"/>
            <w:vAlign w:val="center"/>
          </w:tcPr>
          <w:p w14:paraId="41A8DF48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3528" w:type="dxa"/>
            <w:vAlign w:val="center"/>
          </w:tcPr>
          <w:p w14:paraId="068AADBE" w14:textId="77777777" w:rsidR="00BA64CB" w:rsidRDefault="00263CBD">
            <w:r>
              <w:rPr>
                <w:sz w:val="16"/>
              </w:rPr>
              <w:t>DeepSeek 與 Qwen 較佳；Llama 結論偏籠統</w:t>
            </w:r>
          </w:p>
        </w:tc>
      </w:tr>
      <w:tr w:rsidR="00BA64CB" w14:paraId="66DB5C7A" w14:textId="77777777">
        <w:trPr>
          <w:jc w:val="center"/>
        </w:trPr>
        <w:tc>
          <w:tcPr>
            <w:tcW w:w="1800" w:type="dxa"/>
            <w:vAlign w:val="center"/>
          </w:tcPr>
          <w:p w14:paraId="2DFE2840" w14:textId="77777777" w:rsidR="00BA64CB" w:rsidRDefault="00263CBD">
            <w:r>
              <w:rPr>
                <w:sz w:val="16"/>
              </w:rPr>
              <w:t>風險揭露</w:t>
            </w:r>
          </w:p>
        </w:tc>
        <w:tc>
          <w:tcPr>
            <w:tcW w:w="1440" w:type="dxa"/>
            <w:vAlign w:val="center"/>
          </w:tcPr>
          <w:p w14:paraId="0A5AE8D5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440" w:type="dxa"/>
            <w:vAlign w:val="center"/>
          </w:tcPr>
          <w:p w14:paraId="5CA2F517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1584" w:type="dxa"/>
            <w:vAlign w:val="center"/>
          </w:tcPr>
          <w:p w14:paraId="72A158A8" w14:textId="77777777" w:rsidR="00BA64CB" w:rsidRDefault="00263CBD">
            <w:r>
              <w:rPr>
                <w:sz w:val="16"/>
              </w:rPr>
              <w:t>最高</w:t>
            </w:r>
          </w:p>
        </w:tc>
        <w:tc>
          <w:tcPr>
            <w:tcW w:w="3528" w:type="dxa"/>
            <w:vAlign w:val="center"/>
          </w:tcPr>
          <w:p w14:paraId="32D3150D" w14:textId="77777777" w:rsidR="00BA64CB" w:rsidRDefault="00263CBD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DeepSeek 明確指出反彈受限、量能不足與回測風險</w:t>
            </w:r>
          </w:p>
        </w:tc>
      </w:tr>
      <w:tr w:rsidR="00BA64CB" w14:paraId="0D9A983F" w14:textId="77777777">
        <w:trPr>
          <w:jc w:val="center"/>
        </w:trPr>
        <w:tc>
          <w:tcPr>
            <w:tcW w:w="1800" w:type="dxa"/>
            <w:vAlign w:val="center"/>
          </w:tcPr>
          <w:p w14:paraId="08779C79" w14:textId="77777777" w:rsidR="00BA64CB" w:rsidRDefault="00263CBD">
            <w:proofErr w:type="spellStart"/>
            <w:r>
              <w:rPr>
                <w:sz w:val="16"/>
              </w:rPr>
              <w:t>籌碼解讀</w:t>
            </w:r>
            <w:proofErr w:type="spellEnd"/>
          </w:p>
        </w:tc>
        <w:tc>
          <w:tcPr>
            <w:tcW w:w="1440" w:type="dxa"/>
            <w:vAlign w:val="center"/>
          </w:tcPr>
          <w:p w14:paraId="6FBA93DD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440" w:type="dxa"/>
            <w:vAlign w:val="center"/>
          </w:tcPr>
          <w:p w14:paraId="63C7712E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1584" w:type="dxa"/>
            <w:vAlign w:val="center"/>
          </w:tcPr>
          <w:p w14:paraId="754DE120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3528" w:type="dxa"/>
            <w:vAlign w:val="center"/>
          </w:tcPr>
          <w:p w14:paraId="47C28CA6" w14:textId="77777777" w:rsidR="00BA64CB" w:rsidRDefault="00263CBD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DeepSeek 並列短線法人買超與外資近十日賣壓</w:t>
            </w:r>
          </w:p>
        </w:tc>
      </w:tr>
      <w:tr w:rsidR="00BA64CB" w14:paraId="7EFA8046" w14:textId="77777777">
        <w:trPr>
          <w:jc w:val="center"/>
        </w:trPr>
        <w:tc>
          <w:tcPr>
            <w:tcW w:w="1800" w:type="dxa"/>
            <w:vAlign w:val="center"/>
          </w:tcPr>
          <w:p w14:paraId="7ECF577D" w14:textId="77777777" w:rsidR="00BA64CB" w:rsidRDefault="00263CBD">
            <w:proofErr w:type="spellStart"/>
            <w:r>
              <w:rPr>
                <w:sz w:val="16"/>
              </w:rPr>
              <w:t>技術面判讀</w:t>
            </w:r>
            <w:proofErr w:type="spellEnd"/>
          </w:p>
        </w:tc>
        <w:tc>
          <w:tcPr>
            <w:tcW w:w="1440" w:type="dxa"/>
            <w:vAlign w:val="center"/>
          </w:tcPr>
          <w:p w14:paraId="735C55DC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440" w:type="dxa"/>
            <w:vAlign w:val="center"/>
          </w:tcPr>
          <w:p w14:paraId="3856D813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1584" w:type="dxa"/>
            <w:vAlign w:val="center"/>
          </w:tcPr>
          <w:p w14:paraId="76AC342E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3528" w:type="dxa"/>
            <w:vAlign w:val="center"/>
          </w:tcPr>
          <w:p w14:paraId="475ABC66" w14:textId="77777777" w:rsidR="00BA64CB" w:rsidRDefault="00263CBD">
            <w:r>
              <w:rPr>
                <w:sz w:val="16"/>
              </w:rPr>
              <w:t>DeepSeek 使用 RSI、KD、MACD、月線與布林中線交叉判斷</w:t>
            </w:r>
          </w:p>
        </w:tc>
      </w:tr>
      <w:tr w:rsidR="00BA64CB" w14:paraId="40B70F62" w14:textId="77777777">
        <w:trPr>
          <w:jc w:val="center"/>
        </w:trPr>
        <w:tc>
          <w:tcPr>
            <w:tcW w:w="1800" w:type="dxa"/>
            <w:vAlign w:val="center"/>
          </w:tcPr>
          <w:p w14:paraId="6B17FADB" w14:textId="77777777" w:rsidR="00BA64CB" w:rsidRDefault="00263CBD">
            <w:r>
              <w:rPr>
                <w:sz w:val="16"/>
              </w:rPr>
              <w:t>價量關係</w:t>
            </w:r>
          </w:p>
        </w:tc>
        <w:tc>
          <w:tcPr>
            <w:tcW w:w="1440" w:type="dxa"/>
            <w:vAlign w:val="center"/>
          </w:tcPr>
          <w:p w14:paraId="11FFA676" w14:textId="77777777" w:rsidR="00BA64CB" w:rsidRDefault="00263CBD">
            <w:r>
              <w:rPr>
                <w:sz w:val="16"/>
              </w:rPr>
              <w:t>低至中</w:t>
            </w:r>
          </w:p>
        </w:tc>
        <w:tc>
          <w:tcPr>
            <w:tcW w:w="1440" w:type="dxa"/>
            <w:vAlign w:val="center"/>
          </w:tcPr>
          <w:p w14:paraId="17A1BCEF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584" w:type="dxa"/>
            <w:vAlign w:val="center"/>
          </w:tcPr>
          <w:p w14:paraId="32D9DBEA" w14:textId="77777777" w:rsidR="00BA64CB" w:rsidRDefault="00263CBD">
            <w:r>
              <w:rPr>
                <w:sz w:val="16"/>
              </w:rPr>
              <w:t>高</w:t>
            </w:r>
          </w:p>
        </w:tc>
        <w:tc>
          <w:tcPr>
            <w:tcW w:w="3528" w:type="dxa"/>
            <w:vAlign w:val="center"/>
          </w:tcPr>
          <w:p w14:paraId="6AD67799" w14:textId="77777777" w:rsidR="00BA64CB" w:rsidRDefault="00263CBD">
            <w:r>
              <w:rPr>
                <w:sz w:val="16"/>
              </w:rPr>
              <w:t>DeepSeek 明確指出反彈缺乏量能確認</w:t>
            </w:r>
          </w:p>
        </w:tc>
      </w:tr>
      <w:tr w:rsidR="00BA64CB" w14:paraId="2ECBDF84" w14:textId="77777777">
        <w:trPr>
          <w:jc w:val="center"/>
        </w:trPr>
        <w:tc>
          <w:tcPr>
            <w:tcW w:w="1800" w:type="dxa"/>
            <w:vAlign w:val="center"/>
          </w:tcPr>
          <w:p w14:paraId="49D60488" w14:textId="77777777" w:rsidR="00BA64CB" w:rsidRDefault="00263CBD">
            <w:r>
              <w:rPr>
                <w:sz w:val="16"/>
              </w:rPr>
              <w:t>預測路徑合理性</w:t>
            </w:r>
          </w:p>
        </w:tc>
        <w:tc>
          <w:tcPr>
            <w:tcW w:w="1440" w:type="dxa"/>
            <w:vAlign w:val="center"/>
          </w:tcPr>
          <w:p w14:paraId="3278BEC2" w14:textId="77777777" w:rsidR="00BA64CB" w:rsidRDefault="00263CBD">
            <w:r>
              <w:rPr>
                <w:sz w:val="16"/>
              </w:rPr>
              <w:t>低</w:t>
            </w:r>
          </w:p>
        </w:tc>
        <w:tc>
          <w:tcPr>
            <w:tcW w:w="1440" w:type="dxa"/>
            <w:vAlign w:val="center"/>
          </w:tcPr>
          <w:p w14:paraId="5D3ADAC9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584" w:type="dxa"/>
            <w:vAlign w:val="center"/>
          </w:tcPr>
          <w:p w14:paraId="35E847B5" w14:textId="77777777" w:rsidR="00BA64CB" w:rsidRDefault="00263CBD">
            <w:r>
              <w:rPr>
                <w:sz w:val="16"/>
              </w:rPr>
              <w:t>中高</w:t>
            </w:r>
          </w:p>
        </w:tc>
        <w:tc>
          <w:tcPr>
            <w:tcW w:w="3528" w:type="dxa"/>
            <w:vAlign w:val="center"/>
          </w:tcPr>
          <w:p w14:paraId="2B13B9CE" w14:textId="77777777" w:rsidR="00BA64CB" w:rsidRDefault="00263CBD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DeepSeek 由反彈、整理到轉弱，路徑邏輯較連續</w:t>
            </w:r>
          </w:p>
        </w:tc>
      </w:tr>
      <w:tr w:rsidR="00BA64CB" w14:paraId="55AF5AD6" w14:textId="77777777">
        <w:trPr>
          <w:jc w:val="center"/>
        </w:trPr>
        <w:tc>
          <w:tcPr>
            <w:tcW w:w="1800" w:type="dxa"/>
            <w:vAlign w:val="center"/>
          </w:tcPr>
          <w:p w14:paraId="5E4A8FF6" w14:textId="77777777" w:rsidR="00BA64CB" w:rsidRDefault="00263CBD">
            <w:proofErr w:type="spellStart"/>
            <w:r>
              <w:rPr>
                <w:sz w:val="16"/>
              </w:rPr>
              <w:t>數據使用精準度</w:t>
            </w:r>
            <w:proofErr w:type="spellEnd"/>
          </w:p>
        </w:tc>
        <w:tc>
          <w:tcPr>
            <w:tcW w:w="1440" w:type="dxa"/>
            <w:vAlign w:val="center"/>
          </w:tcPr>
          <w:p w14:paraId="6D81B55E" w14:textId="77777777" w:rsidR="00BA64CB" w:rsidRDefault="00263CBD">
            <w:r>
              <w:rPr>
                <w:sz w:val="16"/>
              </w:rPr>
              <w:t>中</w:t>
            </w:r>
          </w:p>
        </w:tc>
        <w:tc>
          <w:tcPr>
            <w:tcW w:w="1440" w:type="dxa"/>
            <w:vAlign w:val="center"/>
          </w:tcPr>
          <w:p w14:paraId="2417D1A9" w14:textId="77777777" w:rsidR="00BA64CB" w:rsidRDefault="00263CBD">
            <w:r>
              <w:rPr>
                <w:sz w:val="16"/>
              </w:rPr>
              <w:t>有疑慮</w:t>
            </w:r>
          </w:p>
        </w:tc>
        <w:tc>
          <w:tcPr>
            <w:tcW w:w="1584" w:type="dxa"/>
            <w:vAlign w:val="center"/>
          </w:tcPr>
          <w:p w14:paraId="40D2F345" w14:textId="77777777" w:rsidR="00BA64CB" w:rsidRDefault="00263CBD">
            <w:r>
              <w:rPr>
                <w:sz w:val="16"/>
              </w:rPr>
              <w:t>較佳</w:t>
            </w:r>
          </w:p>
        </w:tc>
        <w:tc>
          <w:tcPr>
            <w:tcW w:w="3528" w:type="dxa"/>
            <w:vAlign w:val="center"/>
          </w:tcPr>
          <w:p w14:paraId="77CB84B7" w14:textId="77777777" w:rsidR="00BA64CB" w:rsidRDefault="00263CBD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Qwen 成交量數值尺度出現明顯異常，降低可信度</w:t>
            </w:r>
          </w:p>
        </w:tc>
      </w:tr>
      <w:tr w:rsidR="00BA64CB" w14:paraId="7F806044" w14:textId="77777777">
        <w:trPr>
          <w:jc w:val="center"/>
        </w:trPr>
        <w:tc>
          <w:tcPr>
            <w:tcW w:w="1800" w:type="dxa"/>
            <w:vAlign w:val="center"/>
          </w:tcPr>
          <w:p w14:paraId="433CB569" w14:textId="77777777" w:rsidR="00BA64CB" w:rsidRDefault="00263CBD">
            <w:proofErr w:type="spellStart"/>
            <w:r>
              <w:rPr>
                <w:sz w:val="16"/>
              </w:rPr>
              <w:t>是否能輔助買賣決策</w:t>
            </w:r>
            <w:proofErr w:type="spellEnd"/>
          </w:p>
        </w:tc>
        <w:tc>
          <w:tcPr>
            <w:tcW w:w="1440" w:type="dxa"/>
            <w:vAlign w:val="center"/>
          </w:tcPr>
          <w:p w14:paraId="0B0845AE" w14:textId="77777777" w:rsidR="00BA64CB" w:rsidRDefault="00263CBD">
            <w:r>
              <w:rPr>
                <w:sz w:val="16"/>
              </w:rPr>
              <w:t>低至中</w:t>
            </w:r>
          </w:p>
        </w:tc>
        <w:tc>
          <w:tcPr>
            <w:tcW w:w="1440" w:type="dxa"/>
            <w:vAlign w:val="center"/>
          </w:tcPr>
          <w:p w14:paraId="5765D118" w14:textId="77777777" w:rsidR="00BA64CB" w:rsidRDefault="00263CBD">
            <w:r>
              <w:rPr>
                <w:sz w:val="16"/>
              </w:rPr>
              <w:t>中高</w:t>
            </w:r>
          </w:p>
        </w:tc>
        <w:tc>
          <w:tcPr>
            <w:tcW w:w="1584" w:type="dxa"/>
            <w:vAlign w:val="center"/>
          </w:tcPr>
          <w:p w14:paraId="781357FD" w14:textId="77777777" w:rsidR="00BA64CB" w:rsidRDefault="00263CBD">
            <w:r>
              <w:rPr>
                <w:sz w:val="16"/>
              </w:rPr>
              <w:t>最高</w:t>
            </w:r>
          </w:p>
        </w:tc>
        <w:tc>
          <w:tcPr>
            <w:tcW w:w="3528" w:type="dxa"/>
            <w:vAlign w:val="center"/>
          </w:tcPr>
          <w:p w14:paraId="19236FB0" w14:textId="77777777" w:rsidR="00BA64CB" w:rsidRDefault="00263CBD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DeepSeek 最能輔助追價風險與支撐回測判斷</w:t>
            </w:r>
          </w:p>
        </w:tc>
      </w:tr>
      <w:tr w:rsidR="00BA64CB" w14:paraId="3651ABE0" w14:textId="77777777">
        <w:trPr>
          <w:jc w:val="center"/>
        </w:trPr>
        <w:tc>
          <w:tcPr>
            <w:tcW w:w="1800" w:type="dxa"/>
            <w:vAlign w:val="center"/>
          </w:tcPr>
          <w:p w14:paraId="7AFA0CC8" w14:textId="77777777" w:rsidR="00BA64CB" w:rsidRDefault="00263CBD">
            <w:proofErr w:type="spellStart"/>
            <w:r>
              <w:rPr>
                <w:sz w:val="16"/>
              </w:rPr>
              <w:t>語氣與投資實用性</w:t>
            </w:r>
            <w:proofErr w:type="spellEnd"/>
          </w:p>
        </w:tc>
        <w:tc>
          <w:tcPr>
            <w:tcW w:w="1440" w:type="dxa"/>
            <w:vAlign w:val="center"/>
          </w:tcPr>
          <w:p w14:paraId="65C94D10" w14:textId="77777777" w:rsidR="00BA64CB" w:rsidRDefault="00263CBD">
            <w:r>
              <w:rPr>
                <w:sz w:val="16"/>
              </w:rPr>
              <w:t>偏概括</w:t>
            </w:r>
          </w:p>
        </w:tc>
        <w:tc>
          <w:tcPr>
            <w:tcW w:w="1440" w:type="dxa"/>
            <w:vAlign w:val="center"/>
          </w:tcPr>
          <w:p w14:paraId="769E5B1E" w14:textId="77777777" w:rsidR="00BA64CB" w:rsidRDefault="00263CBD">
            <w:r>
              <w:rPr>
                <w:sz w:val="16"/>
              </w:rPr>
              <w:t>偏分析型</w:t>
            </w:r>
          </w:p>
        </w:tc>
        <w:tc>
          <w:tcPr>
            <w:tcW w:w="1584" w:type="dxa"/>
            <w:vAlign w:val="center"/>
          </w:tcPr>
          <w:p w14:paraId="341A74DA" w14:textId="77777777" w:rsidR="00BA64CB" w:rsidRDefault="00263CBD">
            <w:r>
              <w:rPr>
                <w:sz w:val="16"/>
              </w:rPr>
              <w:t>偏交易判斷型</w:t>
            </w:r>
          </w:p>
        </w:tc>
        <w:tc>
          <w:tcPr>
            <w:tcW w:w="3528" w:type="dxa"/>
            <w:vAlign w:val="center"/>
          </w:tcPr>
          <w:p w14:paraId="760198D9" w14:textId="77777777" w:rsidR="00BA64CB" w:rsidRDefault="00263CBD">
            <w:r>
              <w:rPr>
                <w:sz w:val="16"/>
              </w:rPr>
              <w:t>DeepSeek 最接近投資人需要的情境分析</w:t>
            </w:r>
          </w:p>
        </w:tc>
      </w:tr>
    </w:tbl>
    <w:p w14:paraId="763B91B4" w14:textId="77777777" w:rsidR="00BA64CB" w:rsidRPr="00F73997" w:rsidRDefault="00263CBD">
      <w:pPr>
        <w:rPr>
          <w:rFonts w:hint="eastAsia"/>
          <w:lang w:eastAsia="zh-TW"/>
        </w:rPr>
      </w:pPr>
      <w:r w:rsidRPr="00F73997">
        <w:rPr>
          <w:rFonts w:hint="eastAsia"/>
          <w:color w:val="595959"/>
          <w:sz w:val="18"/>
          <w:lang w:eastAsia="zh-TW"/>
        </w:rPr>
        <w:t>註：本比較聚焦「投資者決策價值」，不是比較模型一般能力。評估重點為風險揭露、數據一致性、推論連貫性與可操作性。</w:t>
      </w:r>
    </w:p>
    <w:p w14:paraId="6651A4B8" w14:textId="77777777" w:rsidR="00BA64CB" w:rsidRDefault="00263CBD">
      <w:pPr>
        <w:pStyle w:val="1"/>
      </w:pPr>
      <w:proofErr w:type="spellStart"/>
      <w:r>
        <w:t>二、排名與主要原因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2191"/>
        <w:gridCol w:w="1757"/>
        <w:gridCol w:w="5645"/>
      </w:tblGrid>
      <w:tr w:rsidR="00BA64CB" w14:paraId="5BE2D5AB" w14:textId="77777777"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 w14:paraId="65290A46" w14:textId="77777777" w:rsidR="00BA64CB" w:rsidRDefault="00263CBD"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727BFAB1" w14:textId="77777777" w:rsidR="00BA64CB" w:rsidRDefault="00263CBD"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194D3B49" w14:textId="77777777" w:rsidR="00BA64CB" w:rsidRDefault="00263CBD">
            <w:r>
              <w:rPr>
                <w:b/>
                <w:color w:val="FFFFFF"/>
                <w:sz w:val="18"/>
              </w:rPr>
              <w:t>投資者價值</w:t>
            </w:r>
          </w:p>
        </w:tc>
        <w:tc>
          <w:tcPr>
            <w:tcW w:w="5832" w:type="dxa"/>
            <w:shd w:val="clear" w:color="auto" w:fill="1F4E79"/>
            <w:vAlign w:val="center"/>
          </w:tcPr>
          <w:p w14:paraId="42E8110C" w14:textId="77777777" w:rsidR="00BA64CB" w:rsidRDefault="00263CBD">
            <w:r>
              <w:rPr>
                <w:b/>
                <w:color w:val="FFFFFF"/>
                <w:sz w:val="18"/>
              </w:rPr>
              <w:t>主要原因</w:t>
            </w:r>
          </w:p>
        </w:tc>
      </w:tr>
      <w:tr w:rsidR="00BA64CB" w14:paraId="564B8F22" w14:textId="77777777">
        <w:trPr>
          <w:jc w:val="center"/>
        </w:trPr>
        <w:tc>
          <w:tcPr>
            <w:tcW w:w="864" w:type="dxa"/>
            <w:vAlign w:val="center"/>
          </w:tcPr>
          <w:p w14:paraId="282BF8EF" w14:textId="77777777" w:rsidR="00BA64CB" w:rsidRDefault="00263CBD">
            <w:r>
              <w:rPr>
                <w:sz w:val="18"/>
              </w:rPr>
              <w:t>1</w:t>
            </w:r>
          </w:p>
        </w:tc>
        <w:tc>
          <w:tcPr>
            <w:tcW w:w="2232" w:type="dxa"/>
            <w:vAlign w:val="center"/>
          </w:tcPr>
          <w:p w14:paraId="39F9AD4F" w14:textId="77777777" w:rsidR="00BA64CB" w:rsidRDefault="00263CBD">
            <w:r>
              <w:rPr>
                <w:sz w:val="18"/>
              </w:rPr>
              <w:t>DeepSeek v4 Pro</w:t>
            </w:r>
          </w:p>
        </w:tc>
        <w:tc>
          <w:tcPr>
            <w:tcW w:w="1800" w:type="dxa"/>
            <w:vAlign w:val="center"/>
          </w:tcPr>
          <w:p w14:paraId="3A7A8A4A" w14:textId="77777777" w:rsidR="00BA64CB" w:rsidRDefault="00263CBD">
            <w:r>
              <w:rPr>
                <w:sz w:val="18"/>
              </w:rPr>
              <w:t>最高</w:t>
            </w:r>
          </w:p>
        </w:tc>
        <w:tc>
          <w:tcPr>
            <w:tcW w:w="5832" w:type="dxa"/>
            <w:vAlign w:val="center"/>
          </w:tcPr>
          <w:p w14:paraId="0A180384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同時整合短線法人買超、外資十日賣壓、量能不足、技術動能轉弱與支撐回測風險，最適合投資者做風險控管。</w:t>
            </w:r>
          </w:p>
        </w:tc>
      </w:tr>
      <w:tr w:rsidR="00BA64CB" w14:paraId="440BCCF5" w14:textId="77777777">
        <w:trPr>
          <w:jc w:val="center"/>
        </w:trPr>
        <w:tc>
          <w:tcPr>
            <w:tcW w:w="864" w:type="dxa"/>
            <w:vAlign w:val="center"/>
          </w:tcPr>
          <w:p w14:paraId="2BBEDD53" w14:textId="77777777" w:rsidR="00BA64CB" w:rsidRDefault="00263CBD">
            <w:r>
              <w:rPr>
                <w:sz w:val="18"/>
              </w:rPr>
              <w:t>2</w:t>
            </w:r>
          </w:p>
        </w:tc>
        <w:tc>
          <w:tcPr>
            <w:tcW w:w="2232" w:type="dxa"/>
            <w:vAlign w:val="center"/>
          </w:tcPr>
          <w:p w14:paraId="543D880D" w14:textId="77777777" w:rsidR="00BA64CB" w:rsidRDefault="00263CBD">
            <w:r>
              <w:rPr>
                <w:sz w:val="18"/>
              </w:rPr>
              <w:t>Qwen3 Next 80B</w:t>
            </w:r>
          </w:p>
        </w:tc>
        <w:tc>
          <w:tcPr>
            <w:tcW w:w="1800" w:type="dxa"/>
            <w:vAlign w:val="center"/>
          </w:tcPr>
          <w:p w14:paraId="57993ED3" w14:textId="77777777" w:rsidR="00BA64CB" w:rsidRDefault="00263CBD">
            <w:r>
              <w:rPr>
                <w:sz w:val="18"/>
              </w:rPr>
              <w:t>高，但需人工校正</w:t>
            </w:r>
          </w:p>
        </w:tc>
        <w:tc>
          <w:tcPr>
            <w:tcW w:w="5832" w:type="dxa"/>
            <w:vAlign w:val="center"/>
          </w:tcPr>
          <w:p w14:paraId="2D0C1845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分析架構完整，能指出短線反彈受限與中期承壓，但部分預測成交量數字尺度異常，降低可直接採用性。</w:t>
            </w:r>
          </w:p>
        </w:tc>
      </w:tr>
      <w:tr w:rsidR="00BA64CB" w14:paraId="541D77AF" w14:textId="77777777">
        <w:trPr>
          <w:jc w:val="center"/>
        </w:trPr>
        <w:tc>
          <w:tcPr>
            <w:tcW w:w="864" w:type="dxa"/>
            <w:vAlign w:val="center"/>
          </w:tcPr>
          <w:p w14:paraId="13C2AE32" w14:textId="77777777" w:rsidR="00BA64CB" w:rsidRDefault="00263CBD">
            <w:r>
              <w:rPr>
                <w:sz w:val="18"/>
              </w:rPr>
              <w:t>3</w:t>
            </w:r>
          </w:p>
        </w:tc>
        <w:tc>
          <w:tcPr>
            <w:tcW w:w="2232" w:type="dxa"/>
            <w:vAlign w:val="center"/>
          </w:tcPr>
          <w:p w14:paraId="2EA169D0" w14:textId="77777777" w:rsidR="00BA64CB" w:rsidRDefault="00263CBD">
            <w:r>
              <w:rPr>
                <w:sz w:val="18"/>
              </w:rPr>
              <w:t>Llama 3.3 70B</w:t>
            </w:r>
          </w:p>
        </w:tc>
        <w:tc>
          <w:tcPr>
            <w:tcW w:w="1800" w:type="dxa"/>
            <w:vAlign w:val="center"/>
          </w:tcPr>
          <w:p w14:paraId="01652C81" w14:textId="77777777" w:rsidR="00BA64CB" w:rsidRDefault="00263CBD">
            <w:r>
              <w:rPr>
                <w:sz w:val="18"/>
              </w:rPr>
              <w:t>中低</w:t>
            </w:r>
          </w:p>
        </w:tc>
        <w:tc>
          <w:tcPr>
            <w:tcW w:w="5832" w:type="dxa"/>
            <w:vAlign w:val="center"/>
          </w:tcPr>
          <w:p w14:paraId="2168FF79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有列出價格、籌碼與技術資料，但推論較模板化，缺少明確操作含義。</w:t>
            </w:r>
          </w:p>
        </w:tc>
      </w:tr>
    </w:tbl>
    <w:p w14:paraId="098558CB" w14:textId="77777777" w:rsidR="00BA64CB" w:rsidRDefault="00263CBD">
      <w:pPr>
        <w:pStyle w:val="1"/>
        <w:rPr>
          <w:lang w:eastAsia="zh-TW"/>
        </w:rPr>
      </w:pPr>
      <w:r>
        <w:rPr>
          <w:lang w:eastAsia="zh-TW"/>
        </w:rPr>
        <w:t>三、關鍵判斷原因</w:t>
      </w:r>
    </w:p>
    <w:p w14:paraId="5BAC283B" w14:textId="77777777" w:rsidR="00BA64CB" w:rsidRDefault="00263CBD">
      <w:pPr>
        <w:rPr>
          <w:lang w:eastAsia="zh-TW"/>
        </w:rPr>
      </w:pPr>
      <w:r>
        <w:rPr>
          <w:b/>
          <w:color w:val="1F4E79"/>
          <w:sz w:val="22"/>
          <w:lang w:eastAsia="zh-TW"/>
        </w:rPr>
        <w:t>1. DeepSeek 最有風險控制價值</w:t>
      </w:r>
    </w:p>
    <w:p w14:paraId="76903A05" w14:textId="77777777" w:rsidR="00BA64CB" w:rsidRDefault="00263CBD">
      <w:pPr>
        <w:spacing w:after="120"/>
        <w:rPr>
          <w:lang w:eastAsia="zh-TW"/>
        </w:rPr>
      </w:pPr>
      <w:r>
        <w:rPr>
          <w:sz w:val="20"/>
          <w:lang w:eastAsia="zh-TW"/>
        </w:rPr>
        <w:t>投資者最需要的不是單純預測價格，而是判斷反彈是否有量能確認、法人買超是否足以抵消外資賣壓、技術面是否真正轉強，以及追價可能承擔的回測風險。DeepSeek 的回覆能同時呈現短線支撐與中期壓力。</w:t>
      </w:r>
    </w:p>
    <w:p w14:paraId="160EC2D0" w14:textId="77777777" w:rsidR="00BA64CB" w:rsidRDefault="00263CBD">
      <w:pPr>
        <w:rPr>
          <w:lang w:eastAsia="zh-TW"/>
        </w:rPr>
      </w:pPr>
      <w:r>
        <w:rPr>
          <w:b/>
          <w:color w:val="1F4E79"/>
          <w:sz w:val="22"/>
          <w:lang w:eastAsia="zh-TW"/>
        </w:rPr>
        <w:t>2. Qwen 分析完整，但數據可信度扣分</w:t>
      </w:r>
    </w:p>
    <w:p w14:paraId="4F5455BE" w14:textId="77777777" w:rsidR="00BA64CB" w:rsidRDefault="00263CBD">
      <w:pPr>
        <w:spacing w:after="120"/>
        <w:rPr>
          <w:lang w:eastAsia="zh-TW"/>
        </w:rPr>
      </w:pPr>
      <w:r>
        <w:rPr>
          <w:sz w:val="20"/>
          <w:lang w:eastAsia="zh-TW"/>
        </w:rPr>
        <w:lastRenderedPageBreak/>
        <w:t>Qwen 能形成「短線反彈受限、中期承壓」的清楚主軸。不過其預測成交量出現 36,063、29,506 等數值，與原始成交量 28,250,944 股及五日均量 32,784,456.8 股相比，尺度明顯不一致，容易誤導量價判斷。</w:t>
      </w:r>
    </w:p>
    <w:p w14:paraId="716A2BFE" w14:textId="77777777" w:rsidR="00BA64CB" w:rsidRDefault="00263CBD">
      <w:pPr>
        <w:rPr>
          <w:lang w:eastAsia="zh-TW"/>
        </w:rPr>
      </w:pPr>
      <w:r>
        <w:rPr>
          <w:b/>
          <w:color w:val="1F4E79"/>
          <w:sz w:val="22"/>
          <w:lang w:eastAsia="zh-TW"/>
        </w:rPr>
        <w:t>3. Llama 資訊完整但決策價值較弱</w:t>
      </w:r>
    </w:p>
    <w:p w14:paraId="1126A48A" w14:textId="77777777" w:rsidR="00BA64CB" w:rsidRDefault="00263CBD">
      <w:pPr>
        <w:spacing w:after="120"/>
        <w:rPr>
          <w:lang w:eastAsia="zh-TW"/>
        </w:rPr>
      </w:pPr>
      <w:r>
        <w:rPr>
          <w:sz w:val="20"/>
          <w:lang w:eastAsia="zh-TW"/>
        </w:rPr>
        <w:t>Llama 引用相同的價量、籌碼與技術資料，但推論較常停留在「籌碼態度分歧、技術指標顯示壓力、震盪整理」等概括語句，未充分轉化為可操作的投資判斷。</w:t>
      </w:r>
    </w:p>
    <w:p w14:paraId="1282FFF4" w14:textId="77777777" w:rsidR="00BA64CB" w:rsidRDefault="00263CBD">
      <w:pPr>
        <w:pStyle w:val="1"/>
      </w:pPr>
      <w:proofErr w:type="spellStart"/>
      <w:r>
        <w:t>四、依使用目的的建議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18"/>
        <w:gridCol w:w="2413"/>
        <w:gridCol w:w="5209"/>
      </w:tblGrid>
      <w:tr w:rsidR="00BA64CB" w14:paraId="2244AFFB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6A1E17F" w14:textId="77777777" w:rsidR="00BA64CB" w:rsidRDefault="00263CBD">
            <w:r>
              <w:rPr>
                <w:b/>
                <w:color w:val="FFFFFF"/>
                <w:sz w:val="18"/>
              </w:rPr>
              <w:t>使用目的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4B54A545" w14:textId="77777777" w:rsidR="00BA64CB" w:rsidRDefault="00263CBD">
            <w:r>
              <w:rPr>
                <w:b/>
                <w:color w:val="FFFFFF"/>
                <w:sz w:val="18"/>
              </w:rPr>
              <w:t>最適合模型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095523A2" w14:textId="77777777" w:rsidR="00BA64CB" w:rsidRDefault="00263CBD">
            <w:r>
              <w:rPr>
                <w:b/>
                <w:color w:val="FFFFFF"/>
                <w:sz w:val="18"/>
              </w:rPr>
              <w:t>理由</w:t>
            </w:r>
          </w:p>
        </w:tc>
      </w:tr>
      <w:tr w:rsidR="00BA64CB" w14:paraId="7AF2BBA1" w14:textId="77777777">
        <w:trPr>
          <w:jc w:val="center"/>
        </w:trPr>
        <w:tc>
          <w:tcPr>
            <w:tcW w:w="2880" w:type="dxa"/>
            <w:vAlign w:val="center"/>
          </w:tcPr>
          <w:p w14:paraId="401FF784" w14:textId="77777777" w:rsidR="00BA64CB" w:rsidRDefault="00263CBD">
            <w:r>
              <w:rPr>
                <w:sz w:val="18"/>
              </w:rPr>
              <w:t>做投資決策參考</w:t>
            </w:r>
          </w:p>
        </w:tc>
        <w:tc>
          <w:tcPr>
            <w:tcW w:w="2448" w:type="dxa"/>
            <w:vAlign w:val="center"/>
          </w:tcPr>
          <w:p w14:paraId="256759CC" w14:textId="77777777" w:rsidR="00BA64CB" w:rsidRDefault="00263CBD">
            <w:r>
              <w:rPr>
                <w:sz w:val="18"/>
              </w:rPr>
              <w:t>DeepSeek v4 Pro</w:t>
            </w:r>
          </w:p>
        </w:tc>
        <w:tc>
          <w:tcPr>
            <w:tcW w:w="5328" w:type="dxa"/>
            <w:vAlign w:val="center"/>
          </w:tcPr>
          <w:p w14:paraId="08ECAE98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風險揭露較完整，能同時處理短線反彈與中期賣壓。</w:t>
            </w:r>
          </w:p>
        </w:tc>
      </w:tr>
      <w:tr w:rsidR="00BA64CB" w14:paraId="0C8901E5" w14:textId="77777777">
        <w:trPr>
          <w:jc w:val="center"/>
        </w:trPr>
        <w:tc>
          <w:tcPr>
            <w:tcW w:w="2880" w:type="dxa"/>
            <w:vAlign w:val="center"/>
          </w:tcPr>
          <w:p w14:paraId="4D151B74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做分析摘要或報告初稿</w:t>
            </w:r>
          </w:p>
        </w:tc>
        <w:tc>
          <w:tcPr>
            <w:tcW w:w="2448" w:type="dxa"/>
            <w:vAlign w:val="center"/>
          </w:tcPr>
          <w:p w14:paraId="3DCB16AB" w14:textId="77777777" w:rsidR="00BA64CB" w:rsidRDefault="00263CBD">
            <w:r>
              <w:rPr>
                <w:sz w:val="18"/>
              </w:rPr>
              <w:t>Qwen3 Next 80B</w:t>
            </w:r>
          </w:p>
        </w:tc>
        <w:tc>
          <w:tcPr>
            <w:tcW w:w="5328" w:type="dxa"/>
            <w:vAlign w:val="center"/>
          </w:tcPr>
          <w:p w14:paraId="33317CAF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結構清楚，但使用前需檢查數據尺度與量價推論。</w:t>
            </w:r>
          </w:p>
        </w:tc>
      </w:tr>
      <w:tr w:rsidR="00BA64CB" w14:paraId="66A202B9" w14:textId="77777777">
        <w:trPr>
          <w:jc w:val="center"/>
        </w:trPr>
        <w:tc>
          <w:tcPr>
            <w:tcW w:w="2880" w:type="dxa"/>
            <w:vAlign w:val="center"/>
          </w:tcPr>
          <w:p w14:paraId="7F1A6A21" w14:textId="77777777" w:rsidR="00BA64CB" w:rsidRDefault="00263CBD">
            <w:proofErr w:type="spellStart"/>
            <w:r>
              <w:rPr>
                <w:sz w:val="18"/>
              </w:rPr>
              <w:t>快速了解資料概況</w:t>
            </w:r>
            <w:proofErr w:type="spellEnd"/>
          </w:p>
        </w:tc>
        <w:tc>
          <w:tcPr>
            <w:tcW w:w="2448" w:type="dxa"/>
            <w:vAlign w:val="center"/>
          </w:tcPr>
          <w:p w14:paraId="3366802E" w14:textId="77777777" w:rsidR="00BA64CB" w:rsidRDefault="00263CBD">
            <w:r>
              <w:rPr>
                <w:sz w:val="18"/>
              </w:rPr>
              <w:t>Llama 3.3 70B</w:t>
            </w:r>
          </w:p>
        </w:tc>
        <w:tc>
          <w:tcPr>
            <w:tcW w:w="5328" w:type="dxa"/>
            <w:vAlign w:val="center"/>
          </w:tcPr>
          <w:p w14:paraId="7E5038DA" w14:textId="77777777" w:rsidR="00BA64CB" w:rsidRDefault="00263CBD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能整理基礎資訊，但不宜直接作為交易判斷依據。</w:t>
            </w:r>
          </w:p>
        </w:tc>
      </w:tr>
    </w:tbl>
    <w:p w14:paraId="704F530A" w14:textId="77777777" w:rsidR="00BA64CB" w:rsidRDefault="00263CBD">
      <w:pPr>
        <w:pStyle w:val="1"/>
        <w:rPr>
          <w:lang w:eastAsia="zh-TW"/>
        </w:rPr>
      </w:pPr>
      <w:r>
        <w:rPr>
          <w:lang w:eastAsia="zh-TW"/>
        </w:rPr>
        <w:t>五、最終建議</w:t>
      </w:r>
    </w:p>
    <w:p w14:paraId="2E318CB0" w14:textId="77777777" w:rsidR="00BA64CB" w:rsidRDefault="00263CBD">
      <w:pPr>
        <w:rPr>
          <w:lang w:eastAsia="zh-TW"/>
        </w:rPr>
      </w:pPr>
      <w:r>
        <w:rPr>
          <w:b/>
          <w:color w:val="C00000"/>
          <w:sz w:val="24"/>
          <w:lang w:eastAsia="zh-TW"/>
        </w:rPr>
        <w:t>最終選擇：DeepSeek v4 Pro。</w:t>
      </w:r>
    </w:p>
    <w:p w14:paraId="2D250983" w14:textId="1D08E811" w:rsidR="00BA64CB" w:rsidRDefault="00263CBD" w:rsidP="00B52CDE">
      <w:pPr>
        <w:rPr>
          <w:lang w:eastAsia="zh-TW"/>
        </w:rPr>
      </w:pPr>
      <w:r>
        <w:rPr>
          <w:lang w:eastAsia="zh-TW"/>
        </w:rPr>
        <w:t>DeepSeek v4 Pro 並非因為最樂觀或最悲觀而勝出，而是因為它最能幫投資者辨識「反彈是否可靠」與「下檔風險在哪裡」。對投資者而言，這比單純預測 40 天價格更有價值。</w:t>
      </w:r>
    </w:p>
    <w:sectPr w:rsidR="00BA64CB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E7768" w14:textId="77777777" w:rsidR="00644BA8" w:rsidRDefault="00644BA8">
      <w:pPr>
        <w:spacing w:after="0" w:line="240" w:lineRule="auto"/>
      </w:pPr>
      <w:r>
        <w:separator/>
      </w:r>
    </w:p>
  </w:endnote>
  <w:endnote w:type="continuationSeparator" w:id="0">
    <w:p w14:paraId="4B991AD1" w14:textId="77777777" w:rsidR="00644BA8" w:rsidRDefault="00644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517D" w14:textId="14D94C40" w:rsidR="00BA64CB" w:rsidRDefault="00BA64CB">
    <w:pPr>
      <w:pStyle w:val="a7"/>
      <w:jc w:val="center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E7EB1" w14:textId="77777777" w:rsidR="00644BA8" w:rsidRDefault="00644BA8">
      <w:pPr>
        <w:spacing w:after="0" w:line="240" w:lineRule="auto"/>
      </w:pPr>
      <w:r>
        <w:separator/>
      </w:r>
    </w:p>
  </w:footnote>
  <w:footnote w:type="continuationSeparator" w:id="0">
    <w:p w14:paraId="49658536" w14:textId="77777777" w:rsidR="00644BA8" w:rsidRDefault="00644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839545">
    <w:abstractNumId w:val="8"/>
  </w:num>
  <w:num w:numId="2" w16cid:durableId="1100756816">
    <w:abstractNumId w:val="6"/>
  </w:num>
  <w:num w:numId="3" w16cid:durableId="1690714393">
    <w:abstractNumId w:val="5"/>
  </w:num>
  <w:num w:numId="4" w16cid:durableId="1282953953">
    <w:abstractNumId w:val="4"/>
  </w:num>
  <w:num w:numId="5" w16cid:durableId="1716083665">
    <w:abstractNumId w:val="7"/>
  </w:num>
  <w:num w:numId="6" w16cid:durableId="1939365386">
    <w:abstractNumId w:val="3"/>
  </w:num>
  <w:num w:numId="7" w16cid:durableId="2112779818">
    <w:abstractNumId w:val="2"/>
  </w:num>
  <w:num w:numId="8" w16cid:durableId="266305520">
    <w:abstractNumId w:val="1"/>
  </w:num>
  <w:num w:numId="9" w16cid:durableId="90893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B44"/>
    <w:rsid w:val="0015074B"/>
    <w:rsid w:val="00263CBD"/>
    <w:rsid w:val="0029639D"/>
    <w:rsid w:val="00326F90"/>
    <w:rsid w:val="00644BA8"/>
    <w:rsid w:val="00784786"/>
    <w:rsid w:val="00AA1D8D"/>
    <w:rsid w:val="00B47730"/>
    <w:rsid w:val="00B52CDE"/>
    <w:rsid w:val="00BA64CB"/>
    <w:rsid w:val="00CB0664"/>
    <w:rsid w:val="00F73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3E1AC"/>
  <w14:defaultImageDpi w14:val="300"/>
  <w15:docId w15:val="{34E81612-9784-444E-AFEF-B9954A02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投資者價值比較報告</dc:title>
  <dc:subject>不同模型投資分析回覆比較</dc:subject>
  <dc:creator/>
  <cp:keywords/>
  <dc:description/>
  <cp:lastModifiedBy>11246012_柯伯穎</cp:lastModifiedBy>
  <cp:revision>3</cp:revision>
  <dcterms:created xsi:type="dcterms:W3CDTF">2013-12-23T23:15:00Z</dcterms:created>
  <dcterms:modified xsi:type="dcterms:W3CDTF">2026-05-30T15:00:00Z</dcterms:modified>
  <cp:category/>
</cp:coreProperties>
</file>