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D263A4">
      <w:pPr>
        <w:pStyle w:val="2"/>
        <w:keepNext w:val="0"/>
        <w:keepLines w:val="0"/>
        <w:widowControl/>
        <w:suppressLineNumbers w:val="0"/>
      </w:pPr>
      <w:r>
        <w:t>《大明海商——贸易系统设计》</w:t>
      </w:r>
    </w:p>
    <w:p w14:paraId="14DDBE6C">
      <w:pPr>
        <w:pStyle w:val="3"/>
        <w:keepNext w:val="0"/>
        <w:keepLines w:val="0"/>
        <w:widowControl/>
        <w:suppressLineNumbers w:val="0"/>
        <w:rPr>
          <w:rFonts w:hint="eastAsia"/>
          <w:lang w:val="en-US" w:eastAsia="zh-CN"/>
        </w:rPr>
      </w:pPr>
      <w:r>
        <w:rPr>
          <w:rFonts w:hint="eastAsia"/>
          <w:lang w:val="en-US" w:eastAsia="zh-CN"/>
        </w:rPr>
        <w:t>游戏背景：</w:t>
      </w:r>
    </w:p>
    <w:p w14:paraId="55504BC7">
      <w:pPr>
        <w:rPr>
          <w:rFonts w:hint="eastAsia" w:eastAsia="宋体"/>
          <w:lang w:val="en-US" w:eastAsia="zh-CN"/>
        </w:rPr>
      </w:pPr>
      <w:r>
        <w:rPr>
          <w:rFonts w:hint="eastAsia"/>
          <w:lang w:val="en-US" w:eastAsia="zh-CN"/>
        </w:rPr>
        <w:t>背景以</w:t>
      </w:r>
      <w:r>
        <w:rPr>
          <w:rFonts w:hint="eastAsia"/>
        </w:rPr>
        <w:t>隆庆开关（1567年）后</w:t>
      </w:r>
      <w:r>
        <w:rPr>
          <w:rFonts w:hint="eastAsia"/>
          <w:lang w:val="en-US" w:eastAsia="zh-CN"/>
        </w:rPr>
        <w:t>到明末这一期间</w:t>
      </w:r>
      <w:r>
        <w:rPr>
          <w:rFonts w:hint="eastAsia"/>
        </w:rPr>
        <w:t>的</w:t>
      </w:r>
      <w:r>
        <w:rPr>
          <w:rFonts w:hint="eastAsia"/>
          <w:lang w:val="en-US" w:eastAsia="zh-CN"/>
        </w:rPr>
        <w:t>海贸</w:t>
      </w:r>
      <w:r>
        <w:rPr>
          <w:rFonts w:hint="eastAsia"/>
        </w:rPr>
        <w:t>商人，朝贡体系与民间海贸并存"、"宗族网络"、"季风限制"、"白银资本流入"等独特历史肌理，</w:t>
      </w:r>
      <w:r>
        <w:rPr>
          <w:rFonts w:hint="eastAsia"/>
          <w:lang w:val="en-US" w:eastAsia="zh-CN"/>
        </w:rPr>
        <w:t>作为</w:t>
      </w:r>
      <w:r>
        <w:rPr>
          <w:rFonts w:hint="eastAsia"/>
        </w:rPr>
        <w:t>游戏机制的种子</w:t>
      </w:r>
      <w:r>
        <w:rPr>
          <w:rFonts w:hint="eastAsia"/>
          <w:lang w:eastAsia="zh-CN"/>
        </w:rPr>
        <w:t>。</w:t>
      </w:r>
    </w:p>
    <w:p w14:paraId="4D359D0D">
      <w:pPr>
        <w:pStyle w:val="3"/>
        <w:keepNext w:val="0"/>
        <w:keepLines w:val="0"/>
        <w:widowControl/>
        <w:suppressLineNumbers w:val="0"/>
      </w:pPr>
      <w:r>
        <w:t>1. 项目概述</w:t>
      </w:r>
    </w:p>
    <w:p w14:paraId="5F762683">
      <w:pPr>
        <w:pStyle w:val="4"/>
        <w:keepNext w:val="0"/>
        <w:keepLines w:val="0"/>
        <w:widowControl/>
        <w:suppressLineNumbers w:val="0"/>
        <w:rPr>
          <w:rFonts w:hint="eastAsia" w:ascii="Arial" w:hAnsi="Arial" w:eastAsia="宋体" w:cs="Times New Roman"/>
          <w:snapToGrid w:val="0"/>
          <w:color w:val="000000"/>
          <w:kern w:val="0"/>
          <w:sz w:val="24"/>
          <w:szCs w:val="20"/>
          <w:lang w:val="en-US" w:eastAsia="zh-CN" w:bidi="ar-SA"/>
        </w:rPr>
      </w:pPr>
      <w:r>
        <w:rPr>
          <w:rFonts w:hint="eastAsia" w:ascii="Arial" w:hAnsi="Arial" w:eastAsia="宋体" w:cs="Times New Roman"/>
          <w:snapToGrid w:val="0"/>
          <w:color w:val="000000"/>
          <w:kern w:val="0"/>
          <w:sz w:val="24"/>
          <w:szCs w:val="20"/>
          <w:lang w:val="en-US" w:eastAsia="en-US" w:bidi="ar-SA"/>
        </w:rPr>
        <w:t>类型：轻策略跑商</w:t>
      </w:r>
      <w:r>
        <w:rPr>
          <w:rFonts w:hint="eastAsia" w:ascii="Arial" w:hAnsi="Arial" w:eastAsia="宋体" w:cs="Times New Roman"/>
          <w:snapToGrid w:val="0"/>
          <w:color w:val="000000"/>
          <w:kern w:val="0"/>
          <w:sz w:val="24"/>
          <w:szCs w:val="20"/>
          <w:lang w:val="en-US" w:eastAsia="zh-CN" w:bidi="ar-SA"/>
        </w:rPr>
        <w:t>经营</w:t>
      </w:r>
    </w:p>
    <w:p w14:paraId="414D6CD5">
      <w:pPr>
        <w:pStyle w:val="4"/>
        <w:keepNext w:val="0"/>
        <w:keepLines w:val="0"/>
        <w:widowControl/>
        <w:suppressLineNumbers w:val="0"/>
        <w:rPr>
          <w:rFonts w:hint="eastAsia" w:ascii="Arial" w:hAnsi="Arial" w:eastAsia="宋体" w:cs="Times New Roman"/>
          <w:snapToGrid w:val="0"/>
          <w:color w:val="000000"/>
          <w:kern w:val="0"/>
          <w:sz w:val="24"/>
          <w:szCs w:val="20"/>
          <w:lang w:val="en-US" w:eastAsia="en-US" w:bidi="ar-SA"/>
        </w:rPr>
      </w:pPr>
    </w:p>
    <w:p w14:paraId="30109715">
      <w:pPr>
        <w:pStyle w:val="4"/>
        <w:keepNext w:val="0"/>
        <w:keepLines w:val="0"/>
        <w:widowControl/>
        <w:suppressLineNumbers w:val="0"/>
      </w:pPr>
      <w:r>
        <w:rPr>
          <w:rFonts w:hint="eastAsia" w:ascii="Arial" w:hAnsi="Arial" w:eastAsia="宋体" w:cs="Times New Roman"/>
          <w:snapToGrid w:val="0"/>
          <w:color w:val="000000"/>
          <w:kern w:val="0"/>
          <w:sz w:val="24"/>
          <w:szCs w:val="20"/>
          <w:lang w:val="en-US" w:eastAsia="en-US" w:bidi="ar-SA"/>
        </w:rPr>
        <w:t>核心体验：通过商品价差、船舱空间、航行风险和信息差进行贸易决策。</w:t>
      </w:r>
    </w:p>
    <w:p w14:paraId="6B4E8ACF">
      <w:pPr>
        <w:pStyle w:val="3"/>
        <w:keepNext w:val="0"/>
        <w:keepLines w:val="0"/>
        <w:widowControl/>
        <w:suppressLineNumbers w:val="0"/>
      </w:pPr>
      <w:r>
        <w:t>2. 核心循环</w:t>
      </w:r>
    </w:p>
    <w:p w14:paraId="496B54B7"/>
    <w:p w14:paraId="1EB1D21D">
      <w:pPr>
        <w:rPr>
          <w:rFonts w:hint="eastAsia"/>
          <w:lang w:val="en-US" w:eastAsia="zh-CN"/>
        </w:rPr>
      </w:pPr>
      <w:r>
        <w:rPr>
          <w:rFonts w:hint="eastAsia"/>
          <w:lang w:val="en-US" w:eastAsia="zh-CN"/>
        </w:rPr>
        <w:t>本金</w:t>
      </w:r>
      <w:r>
        <w:rPr>
          <w:rFonts w:hint="eastAsia"/>
        </w:rPr>
        <w:t>→</w:t>
      </w:r>
      <w:r>
        <w:rPr>
          <w:rFonts w:hint="eastAsia"/>
          <w:lang w:val="en-US" w:eastAsia="zh-CN"/>
        </w:rPr>
        <w:t>市场</w:t>
      </w:r>
      <w:r>
        <w:rPr>
          <w:rFonts w:hint="eastAsia"/>
        </w:rPr>
        <w:t>→</w:t>
      </w:r>
      <w:r>
        <w:rPr>
          <w:rFonts w:hint="eastAsia"/>
          <w:lang w:val="en-US" w:eastAsia="zh-CN"/>
        </w:rPr>
        <w:t>决策（货品/情报/航线）</w:t>
      </w:r>
      <w:r>
        <w:rPr>
          <w:rFonts w:hint="eastAsia"/>
        </w:rPr>
        <w:t>→</w:t>
      </w:r>
      <w:r>
        <w:rPr>
          <w:rFonts w:hint="eastAsia"/>
          <w:lang w:val="en-US" w:eastAsia="zh-CN"/>
        </w:rPr>
        <w:t>交易</w:t>
      </w:r>
      <w:r>
        <w:rPr>
          <w:rFonts w:hint="eastAsia"/>
        </w:rPr>
        <w:t>→</w:t>
      </w:r>
      <w:r>
        <w:rPr>
          <w:rFonts w:hint="eastAsia"/>
          <w:lang w:val="en-US" w:eastAsia="zh-CN"/>
        </w:rPr>
        <w:t>利润</w:t>
      </w:r>
      <w:r>
        <w:rPr>
          <w:rFonts w:hint="eastAsia"/>
        </w:rPr>
        <w:t>→</w:t>
      </w:r>
      <w:r>
        <w:rPr>
          <w:rFonts w:hint="eastAsia"/>
          <w:lang w:val="en-US" w:eastAsia="zh-CN"/>
        </w:rPr>
        <w:t>下一轮</w:t>
      </w:r>
    </w:p>
    <w:p w14:paraId="2B81410D">
      <w:pPr>
        <w:pStyle w:val="3"/>
        <w:keepNext w:val="0"/>
        <w:keepLines w:val="0"/>
        <w:widowControl/>
        <w:suppressLineNumbers w:val="0"/>
        <w:rPr>
          <w:rFonts w:hint="default" w:eastAsia="宋体"/>
          <w:lang w:val="en-US" w:eastAsia="zh-CN"/>
        </w:rPr>
      </w:pPr>
      <w:r>
        <w:rPr>
          <w:rFonts w:hint="eastAsia"/>
          <w:lang w:val="en-US" w:eastAsia="zh-CN"/>
        </w:rPr>
        <w:t>3</w:t>
      </w:r>
      <w:r>
        <w:t xml:space="preserve">. </w:t>
      </w:r>
      <w:r>
        <w:rPr>
          <w:rFonts w:hint="eastAsia"/>
          <w:lang w:val="en-US" w:eastAsia="zh-CN"/>
        </w:rPr>
        <w:t>系统关系</w:t>
      </w:r>
    </w:p>
    <w:p w14:paraId="0C3E874B">
      <w:pPr>
        <w:rPr>
          <w:rFonts w:hint="eastAsia"/>
          <w:lang w:val="en-US" w:eastAsia="zh-CN"/>
        </w:rPr>
      </w:pPr>
      <w:r>
        <w:rPr>
          <w:rFonts w:hint="eastAsia" w:ascii="宋体" w:hAnsi="宋体" w:cs="宋体"/>
          <w:sz w:val="24"/>
          <w:szCs w:val="24"/>
          <w:lang w:val="en-US" w:eastAsia="zh-CN"/>
        </w:rPr>
        <w:drawing>
          <wp:inline distT="0" distB="0" distL="114300" distR="114300">
            <wp:extent cx="5271135" cy="2176780"/>
            <wp:effectExtent l="0" t="0" r="1905" b="2540"/>
            <wp:docPr id="2" name="图片 2" descr="12cb0ea0-9e53-498d-bbe3-0b6200ffd440_intel_time_update思维导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2cb0ea0-9e53-498d-bbe3-0b6200ffd440_intel_time_update思维导图"/>
                    <pic:cNvPicPr>
                      <a:picLocks noChangeAspect="1"/>
                    </pic:cNvPicPr>
                  </pic:nvPicPr>
                  <pic:blipFill>
                    <a:blip r:embed="rId6"/>
                    <a:stretch>
                      <a:fillRect/>
                    </a:stretch>
                  </pic:blipFill>
                  <pic:spPr>
                    <a:xfrm>
                      <a:off x="0" y="0"/>
                      <a:ext cx="5271135" cy="2176780"/>
                    </a:xfrm>
                    <a:prstGeom prst="rect">
                      <a:avLst/>
                    </a:prstGeom>
                  </pic:spPr>
                </pic:pic>
              </a:graphicData>
            </a:graphic>
          </wp:inline>
        </w:drawing>
      </w:r>
    </w:p>
    <w:p w14:paraId="6999840E"/>
    <w:p w14:paraId="731E5B24">
      <w:pPr>
        <w:rPr>
          <w:rFonts w:hint="eastAsia"/>
        </w:rPr>
      </w:pPr>
      <w:r>
        <w:rPr>
          <w:rFonts w:hint="eastAsia"/>
        </w:rPr>
        <w:t xml:space="preserve">             情报</w:t>
      </w:r>
    </w:p>
    <w:p w14:paraId="50A7B742">
      <w:pPr>
        <w:rPr>
          <w:rFonts w:hint="eastAsia"/>
        </w:rPr>
      </w:pPr>
      <w:r>
        <w:rPr>
          <w:rFonts w:hint="eastAsia"/>
        </w:rPr>
        <w:t xml:space="preserve">              ↓</w:t>
      </w:r>
    </w:p>
    <w:p w14:paraId="5BD99F7B">
      <w:pPr>
        <w:rPr>
          <w:rFonts w:hint="eastAsia"/>
        </w:rPr>
      </w:pPr>
      <w:r>
        <w:rPr>
          <w:rFonts w:hint="eastAsia"/>
        </w:rPr>
        <w:t>商品 ←→ 港口 ←→ 航线</w:t>
      </w:r>
    </w:p>
    <w:p w14:paraId="6B33EB7A">
      <w:pPr>
        <w:rPr>
          <w:rFonts w:hint="eastAsia"/>
        </w:rPr>
      </w:pPr>
      <w:r>
        <w:rPr>
          <w:rFonts w:hint="eastAsia"/>
        </w:rPr>
        <w:t xml:space="preserve"> ↑       ↓       ↓</w:t>
      </w:r>
    </w:p>
    <w:p w14:paraId="7B605EAF">
      <w:pPr>
        <w:rPr>
          <w:rFonts w:hint="eastAsia"/>
        </w:rPr>
      </w:pPr>
      <w:r>
        <w:rPr>
          <w:rFonts w:hint="eastAsia"/>
        </w:rPr>
        <w:t xml:space="preserve"> │      市场     时间</w:t>
      </w:r>
    </w:p>
    <w:p w14:paraId="02B41B2E">
      <w:pPr>
        <w:rPr>
          <w:rFonts w:hint="eastAsia"/>
        </w:rPr>
      </w:pPr>
      <w:r>
        <w:rPr>
          <w:rFonts w:hint="eastAsia"/>
        </w:rPr>
        <w:t xml:space="preserve"> │       ↓       ↓</w:t>
      </w:r>
    </w:p>
    <w:p w14:paraId="6999EB09">
      <w:pPr>
        <w:rPr>
          <w:rFonts w:hint="eastAsia"/>
        </w:rPr>
      </w:pPr>
      <w:r>
        <w:rPr>
          <w:rFonts w:hint="eastAsia"/>
        </w:rPr>
        <w:t xml:space="preserve"> └──── 船舱 ← 随机事件</w:t>
      </w:r>
    </w:p>
    <w:p w14:paraId="361BFA4B">
      <w:pPr>
        <w:rPr>
          <w:rFonts w:ascii="宋体" w:hAnsi="宋体" w:eastAsia="宋体" w:cs="宋体"/>
          <w:sz w:val="24"/>
          <w:szCs w:val="24"/>
        </w:rPr>
      </w:pPr>
    </w:p>
    <w:p w14:paraId="32B3EA6A">
      <w:pPr>
        <w:rPr>
          <w:rFonts w:hint="eastAsia" w:ascii="宋体" w:hAnsi="宋体" w:cs="宋体"/>
          <w:sz w:val="24"/>
          <w:szCs w:val="24"/>
          <w:lang w:val="en-US" w:eastAsia="zh-CN"/>
        </w:rPr>
      </w:pPr>
      <w:r>
        <w:rPr>
          <w:rFonts w:ascii="宋体" w:hAnsi="宋体" w:eastAsia="宋体" w:cs="宋体"/>
          <w:sz w:val="24"/>
          <w:szCs w:val="24"/>
        </w:rPr>
        <w:t>设计了一个由空间、时间、风险和信息共同驱动的贸易决策系统。</w:t>
      </w:r>
      <w:r>
        <w:rPr>
          <w:rFonts w:hint="eastAsia" w:ascii="宋体" w:hAnsi="宋体" w:cs="宋体"/>
          <w:sz w:val="24"/>
          <w:szCs w:val="24"/>
          <w:lang w:val="en-US" w:eastAsia="zh-CN"/>
        </w:rPr>
        <w:t>系统之间相互影响并共同调节。</w:t>
      </w:r>
    </w:p>
    <w:p w14:paraId="467271C5">
      <w:pPr>
        <w:rPr>
          <w:rFonts w:hint="eastAsia" w:ascii="宋体" w:hAnsi="宋体" w:eastAsia="宋体" w:cs="宋体"/>
          <w:b/>
          <w:bCs/>
          <w:snapToGrid w:val="0"/>
          <w:color w:val="000000"/>
          <w:kern w:val="0"/>
          <w:sz w:val="27"/>
          <w:szCs w:val="27"/>
          <w:lang w:val="en-US" w:eastAsia="zh-CN" w:bidi="ar"/>
        </w:rPr>
      </w:pPr>
    </w:p>
    <w:p w14:paraId="2D46626A">
      <w:pPr>
        <w:rPr>
          <w:rFonts w:hint="eastAsia" w:ascii="宋体" w:hAnsi="宋体" w:cs="宋体"/>
          <w:sz w:val="24"/>
          <w:szCs w:val="24"/>
          <w:lang w:val="en-US" w:eastAsia="zh-CN"/>
        </w:rPr>
      </w:pPr>
      <w:r>
        <w:rPr>
          <w:rFonts w:hint="eastAsia" w:ascii="宋体" w:hAnsi="宋体" w:eastAsia="宋体" w:cs="宋体"/>
          <w:b/>
          <w:bCs/>
          <w:snapToGrid w:val="0"/>
          <w:color w:val="000000"/>
          <w:kern w:val="0"/>
          <w:sz w:val="27"/>
          <w:szCs w:val="27"/>
          <w:lang w:val="en-US" w:eastAsia="zh-CN" w:bidi="ar"/>
        </w:rPr>
        <w:t>4、核心机制</w:t>
      </w:r>
    </w:p>
    <w:p w14:paraId="105DA103">
      <w:pPr>
        <w:rPr>
          <w:rFonts w:hint="eastAsia" w:ascii="宋体" w:hAnsi="宋体" w:cs="宋体"/>
          <w:sz w:val="24"/>
          <w:szCs w:val="24"/>
          <w:lang w:val="en-US" w:eastAsia="zh-CN"/>
        </w:rPr>
      </w:pPr>
      <w:r>
        <w:rPr>
          <w:rFonts w:hint="eastAsia" w:ascii="宋体" w:hAnsi="宋体" w:cs="宋体"/>
          <w:sz w:val="24"/>
          <w:szCs w:val="24"/>
          <w:lang w:val="en-US" w:eastAsia="zh-CN"/>
        </w:rPr>
        <w:t>一、船舱空间</w:t>
      </w:r>
    </w:p>
    <w:p w14:paraId="624652DE">
      <w:pPr>
        <w:rPr>
          <w:rFonts w:hint="eastAsia"/>
        </w:rPr>
      </w:pPr>
      <w:r>
        <w:rPr>
          <w:rFonts w:hint="eastAsia"/>
          <w:lang w:val="en-US" w:eastAsia="zh-CN"/>
        </w:rPr>
        <w:t>采用了简易的“</w:t>
      </w:r>
      <w:r>
        <w:rPr>
          <w:rFonts w:hint="eastAsia"/>
        </w:rPr>
        <w:t>华容道式</w:t>
      </w:r>
      <w:r>
        <w:rPr>
          <w:rFonts w:hint="eastAsia"/>
          <w:lang w:eastAsia="zh-CN"/>
        </w:rPr>
        <w:t>”</w:t>
      </w:r>
      <w:r>
        <w:rPr>
          <w:rFonts w:hint="eastAsia"/>
        </w:rPr>
        <w:t>货舱管理（Tetris + Risk）</w:t>
      </w:r>
    </w:p>
    <w:p w14:paraId="26CD6F48">
      <w:pPr>
        <w:rPr>
          <w:rFonts w:hint="default" w:eastAsia="宋体"/>
          <w:lang w:val="en-US" w:eastAsia="zh-CN"/>
        </w:rPr>
      </w:pPr>
      <w:r>
        <w:rPr>
          <w:rFonts w:hint="eastAsia"/>
        </w:rPr>
        <w:t>商船的货舱不是抽象的数字槽位</w:t>
      </w:r>
      <w:r>
        <w:rPr>
          <w:rFonts w:hint="eastAsia"/>
          <w:lang w:val="en-US" w:eastAsia="zh-CN"/>
        </w:rPr>
        <w:t>和背包系统</w:t>
      </w:r>
      <w:r>
        <w:rPr>
          <w:rFonts w:hint="eastAsia"/>
        </w:rPr>
        <w:t>，而是一个有物理属性的网格。</w:t>
      </w:r>
      <w:r>
        <w:rPr>
          <w:rFonts w:hint="eastAsia"/>
          <w:lang w:val="en-US" w:eastAsia="zh-CN"/>
        </w:rPr>
        <w:t>系统通过货舱格子的属性赋予养成要素，给予玩家养成（增加船舱容量）目标</w:t>
      </w:r>
    </w:p>
    <w:p w14:paraId="582807BC">
      <w:pPr>
        <w:rPr>
          <w:rFonts w:hint="eastAsia"/>
        </w:rPr>
      </w:pPr>
      <w:r>
        <w:rPr>
          <w:rFonts w:hint="eastAsia"/>
        </w:rPr>
        <w:t>不同货物有不同"形状"与"属性"：</w:t>
      </w:r>
    </w:p>
    <w:p w14:paraId="7B080312">
      <w:pPr>
        <w:rPr>
          <w:rFonts w:hint="eastAsia"/>
        </w:rPr>
      </w:pPr>
      <w:r>
        <w:rPr>
          <w:rFonts w:hint="eastAsia"/>
        </w:rPr>
        <w:t xml:space="preserve">  - 瓷器：占2格，价值高，但易碎。如果放在船舱边缘（受风浪/炮击影响区域），有概率破损。需要</w:t>
      </w:r>
      <w:r>
        <w:rPr>
          <w:rFonts w:hint="eastAsia"/>
          <w:lang w:val="en-US" w:eastAsia="zh-CN"/>
        </w:rPr>
        <w:t>远离船舱两侧</w:t>
      </w:r>
      <w:r>
        <w:rPr>
          <w:rFonts w:hint="eastAsia"/>
        </w:rPr>
        <w:t>。</w:t>
      </w:r>
    </w:p>
    <w:p w14:paraId="3199958D">
      <w:pPr>
        <w:rPr>
          <w:rFonts w:hint="eastAsia"/>
        </w:rPr>
      </w:pPr>
      <w:r>
        <w:rPr>
          <w:rFonts w:hint="eastAsia"/>
        </w:rPr>
        <w:t xml:space="preserve">  - 丝绸：占1x3长条，怕潮。不</w:t>
      </w:r>
      <w:r>
        <w:rPr>
          <w:rFonts w:hint="eastAsia"/>
          <w:lang w:val="en-US" w:eastAsia="zh-CN"/>
        </w:rPr>
        <w:t>适合</w:t>
      </w:r>
      <w:r>
        <w:rPr>
          <w:rFonts w:hint="eastAsia"/>
        </w:rPr>
        <w:t>放在底舱（积水），放在高处更安全。</w:t>
      </w:r>
    </w:p>
    <w:p w14:paraId="2213ECBF">
      <w:pPr>
        <w:rPr>
          <w:rFonts w:hint="eastAsia"/>
        </w:rPr>
      </w:pPr>
      <w:r>
        <w:rPr>
          <w:rFonts w:hint="eastAsia"/>
        </w:rPr>
        <w:t xml:space="preserve">  - 糖/香料：占2x2</w:t>
      </w:r>
      <w:r>
        <w:rPr>
          <w:rFonts w:hint="eastAsia"/>
          <w:lang w:val="en-US" w:eastAsia="zh-CN"/>
        </w:rPr>
        <w:t>/1X1</w:t>
      </w:r>
      <w:r>
        <w:rPr>
          <w:rFonts w:hint="eastAsia"/>
        </w:rPr>
        <w:t>，怕潮。不</w:t>
      </w:r>
      <w:r>
        <w:rPr>
          <w:rFonts w:hint="eastAsia"/>
          <w:lang w:val="en-US" w:eastAsia="zh-CN"/>
        </w:rPr>
        <w:t>适合</w:t>
      </w:r>
      <w:r>
        <w:rPr>
          <w:rFonts w:hint="eastAsia"/>
        </w:rPr>
        <w:t>放在底舱</w:t>
      </w:r>
      <w:r>
        <w:rPr>
          <w:rFonts w:hint="eastAsia"/>
          <w:lang w:val="en-US" w:eastAsia="zh-CN"/>
        </w:rPr>
        <w:t>或边缘</w:t>
      </w:r>
      <w:r>
        <w:rPr>
          <w:rFonts w:hint="eastAsia"/>
        </w:rPr>
        <w:t>。</w:t>
      </w:r>
    </w:p>
    <w:p w14:paraId="130C4E49">
      <w:pPr>
        <w:rPr>
          <w:rFonts w:hint="default" w:eastAsia="宋体"/>
          <w:lang w:val="en-US" w:eastAsia="zh-CN"/>
        </w:rPr>
      </w:pPr>
      <w:r>
        <w:rPr>
          <w:rFonts w:hint="eastAsia"/>
        </w:rPr>
        <w:t>动态事件改变空间：遭遇暴风雨后，部分货舱可能进水</w:t>
      </w:r>
      <w:r>
        <w:rPr>
          <w:rFonts w:hint="eastAsia"/>
          <w:lang w:val="en-US" w:eastAsia="zh-CN"/>
        </w:rPr>
        <w:t>/损坏</w:t>
      </w:r>
      <w:r>
        <w:rPr>
          <w:rFonts w:hint="eastAsia"/>
        </w:rPr>
        <w:t>（</w:t>
      </w:r>
      <w:r>
        <w:rPr>
          <w:rFonts w:hint="eastAsia"/>
          <w:lang w:val="en-US" w:eastAsia="zh-CN"/>
        </w:rPr>
        <w:t>该格内存放的货品会一定程度受到损坏</w:t>
      </w:r>
      <w:r>
        <w:rPr>
          <w:rFonts w:hint="eastAsia"/>
        </w:rPr>
        <w:t>）。</w:t>
      </w:r>
      <w:r>
        <w:rPr>
          <w:rFonts w:hint="eastAsia"/>
          <w:lang w:val="en-US" w:eastAsia="zh-CN"/>
        </w:rPr>
        <w:t>消耗金钱修复船舱或者通过养成系统升级船只，减小受灾的损失几率。</w:t>
      </w:r>
    </w:p>
    <w:p w14:paraId="513FCEA7">
      <w:pPr>
        <w:numPr>
          <w:ilvl w:val="0"/>
          <w:numId w:val="1"/>
        </w:numPr>
        <w:rPr>
          <w:rFonts w:hint="eastAsia" w:ascii="宋体" w:hAnsi="宋体" w:cs="宋体"/>
          <w:sz w:val="24"/>
          <w:szCs w:val="24"/>
          <w:lang w:val="en-US" w:eastAsia="zh-CN"/>
        </w:rPr>
      </w:pPr>
      <w:r>
        <w:rPr>
          <w:rFonts w:hint="eastAsia" w:ascii="宋体" w:hAnsi="宋体" w:cs="宋体"/>
          <w:sz w:val="24"/>
          <w:szCs w:val="24"/>
          <w:lang w:val="en-US" w:eastAsia="zh-CN"/>
        </w:rPr>
        <w:t>情报交易</w:t>
      </w:r>
    </w:p>
    <w:p w14:paraId="11B16F2F">
      <w:pPr>
        <w:numPr>
          <w:ilvl w:val="0"/>
          <w:numId w:val="0"/>
        </w:numPr>
        <w:rPr>
          <w:rFonts w:hint="eastAsia" w:ascii="宋体" w:hAnsi="宋体" w:eastAsia="宋体" w:cs="宋体"/>
          <w:sz w:val="24"/>
          <w:szCs w:val="24"/>
          <w:lang w:val="en-US" w:eastAsia="zh-CN"/>
        </w:rPr>
      </w:pPr>
      <w:r>
        <w:rPr>
          <w:rFonts w:hint="eastAsia"/>
          <w:b/>
          <w:bCs/>
        </w:rPr>
        <w:t>设计</w:t>
      </w:r>
      <w:r>
        <w:rPr>
          <w:rFonts w:hint="eastAsia"/>
          <w:b/>
          <w:bCs/>
          <w:lang w:val="en-US" w:eastAsia="zh-CN"/>
        </w:rPr>
        <w:t>方</w:t>
      </w:r>
      <w:r>
        <w:rPr>
          <w:rFonts w:hint="eastAsia"/>
          <w:b/>
          <w:bCs/>
        </w:rPr>
        <w:t>向：</w:t>
      </w:r>
      <w:r>
        <w:rPr>
          <w:rFonts w:hint="eastAsia"/>
        </w:rPr>
        <w:t>从"价格套利"到"信息博弈"</w:t>
      </w:r>
      <w:r>
        <w:rPr>
          <w:rFonts w:hint="eastAsia"/>
          <w:lang w:eastAsia="zh-CN"/>
        </w:rPr>
        <w:t>，</w:t>
      </w:r>
      <w:r>
        <w:rPr>
          <w:rFonts w:hint="eastAsia"/>
          <w:b/>
          <w:bCs/>
        </w:rPr>
        <w:t>情报即</w:t>
      </w:r>
      <w:r>
        <w:rPr>
          <w:rFonts w:hint="eastAsia"/>
          <w:b/>
          <w:bCs/>
          <w:lang w:val="en-US" w:eastAsia="zh-CN"/>
        </w:rPr>
        <w:t>是</w:t>
      </w:r>
      <w:r>
        <w:rPr>
          <w:rFonts w:hint="eastAsia"/>
          <w:b/>
          <w:bCs/>
        </w:rPr>
        <w:t>商品</w:t>
      </w:r>
      <w:r>
        <w:rPr>
          <w:rFonts w:hint="eastAsia"/>
          <w:b/>
          <w:bCs/>
          <w:lang w:eastAsia="zh-CN"/>
        </w:rPr>
        <w:t>。</w:t>
      </w:r>
    </w:p>
    <w:p w14:paraId="155C16EC">
      <w:pPr>
        <w:numPr>
          <w:ilvl w:val="0"/>
          <w:numId w:val="0"/>
        </w:numPr>
        <w:ind w:firstLine="480" w:firstLineChars="200"/>
        <w:rPr>
          <w:rFonts w:hint="eastAsia" w:ascii="宋体" w:hAnsi="宋体" w:cs="宋体"/>
          <w:sz w:val="24"/>
          <w:szCs w:val="24"/>
          <w:lang w:val="en-US" w:eastAsia="zh-CN"/>
        </w:rPr>
      </w:pPr>
      <w:r>
        <w:rPr>
          <w:rFonts w:hint="eastAsia" w:ascii="宋体" w:hAnsi="宋体" w:cs="宋体"/>
          <w:sz w:val="24"/>
          <w:szCs w:val="24"/>
          <w:lang w:val="en-US" w:eastAsia="zh-CN"/>
        </w:rPr>
        <w:t>玩家可在港口酒馆获取不同层级的情报，获取特定航线的货物需求波动或海盗出没预警。高价情报能揭示哪些商品在下一站溢价，指导玩家优化配货策略；低价情报则仅提供模糊风向。若忽视情报盲目囤积高价值货品，可能遭遇货物滞销或航线封锁。情报的指向程度随情报层级提升，高级情报能准确定位商品的价格时空变化。而中低级情报则不同程度上需要玩家的推理和交叉验证。这要求玩家在信息成本与潜在收益间权衡，将风险管理融入贸易决策，深化策略维度。</w:t>
      </w:r>
    </w:p>
    <w:p w14:paraId="71112062">
      <w:pPr>
        <w:numPr>
          <w:ilvl w:val="0"/>
          <w:numId w:val="0"/>
        </w:numPr>
        <w:rPr>
          <w:rFonts w:hint="default" w:ascii="宋体" w:hAnsi="宋体" w:eastAsia="宋体" w:cs="宋体"/>
          <w:sz w:val="24"/>
          <w:szCs w:val="24"/>
          <w:lang w:val="en-US" w:eastAsia="zh-CN"/>
        </w:rPr>
      </w:pPr>
      <w:r>
        <w:rPr>
          <w:rFonts w:hint="eastAsia" w:ascii="宋体" w:hAnsi="宋体" w:cs="宋体"/>
          <w:b/>
          <w:bCs/>
          <w:sz w:val="24"/>
          <w:szCs w:val="24"/>
          <w:lang w:val="en-US" w:eastAsia="zh-CN"/>
        </w:rPr>
        <w:t>交互流程：</w:t>
      </w:r>
      <w:r>
        <w:rPr>
          <w:rFonts w:hint="eastAsia" w:ascii="宋体" w:hAnsi="宋体" w:cs="宋体"/>
          <w:sz w:val="24"/>
          <w:szCs w:val="24"/>
          <w:u w:val="single"/>
          <w:lang w:val="en-US" w:eastAsia="zh-CN"/>
        </w:rPr>
        <w:t>货品交易（可跳过）</w:t>
      </w:r>
      <w:r>
        <w:rPr>
          <w:rFonts w:hint="eastAsia"/>
          <w:u w:val="single"/>
        </w:rPr>
        <w:t>→</w:t>
      </w:r>
      <w:r>
        <w:rPr>
          <w:rFonts w:hint="eastAsia"/>
          <w:u w:val="single"/>
          <w:lang w:val="en-US" w:eastAsia="zh-CN"/>
        </w:rPr>
        <w:t>情报交易</w:t>
      </w:r>
      <w:r>
        <w:rPr>
          <w:rFonts w:hint="eastAsia"/>
          <w:u w:val="single"/>
        </w:rPr>
        <w:t>→</w:t>
      </w:r>
      <w:r>
        <w:rPr>
          <w:rFonts w:hint="eastAsia"/>
          <w:u w:val="single"/>
          <w:lang w:val="en-US" w:eastAsia="zh-CN"/>
        </w:rPr>
        <w:t>选择情报购买（购买时只显示情报价格、层级）</w:t>
      </w:r>
      <w:r>
        <w:rPr>
          <w:rFonts w:hint="eastAsia"/>
          <w:u w:val="single"/>
        </w:rPr>
        <w:t>→</w:t>
      </w:r>
      <w:r>
        <w:rPr>
          <w:rFonts w:hint="eastAsia"/>
          <w:u w:val="single"/>
          <w:lang w:val="en-US" w:eastAsia="zh-CN"/>
        </w:rPr>
        <w:t>购买成功</w:t>
      </w:r>
      <w:r>
        <w:rPr>
          <w:rFonts w:hint="eastAsia"/>
          <w:u w:val="single"/>
        </w:rPr>
        <w:t>→</w:t>
      </w:r>
      <w:r>
        <w:rPr>
          <w:rFonts w:hint="eastAsia"/>
          <w:u w:val="single"/>
          <w:lang w:val="en-US" w:eastAsia="zh-CN"/>
        </w:rPr>
        <w:t>显示情报具体内容</w:t>
      </w:r>
      <w:r>
        <w:rPr>
          <w:rFonts w:hint="eastAsia"/>
          <w:u w:val="single"/>
        </w:rPr>
        <w:t>→</w:t>
      </w:r>
      <w:r>
        <w:rPr>
          <w:rFonts w:hint="eastAsia"/>
          <w:u w:val="single"/>
          <w:lang w:val="en-US" w:eastAsia="zh-CN"/>
        </w:rPr>
        <w:t>在持有情报栏中存放显示</w:t>
      </w:r>
      <w:r>
        <w:rPr>
          <w:rFonts w:hint="eastAsia"/>
          <w:lang w:val="en-US" w:eastAsia="zh-CN"/>
        </w:rPr>
        <w:t>。</w:t>
      </w:r>
    </w:p>
    <w:p w14:paraId="695CC214">
      <w:pPr>
        <w:numPr>
          <w:ilvl w:val="0"/>
          <w:numId w:val="0"/>
        </w:numPr>
        <w:ind w:firstLine="480" w:firstLineChars="200"/>
        <w:rPr>
          <w:rFonts w:hint="eastAsia"/>
          <w:lang w:val="en-US" w:eastAsia="zh-CN"/>
        </w:rPr>
      </w:pPr>
      <w:r>
        <w:rPr>
          <w:rFonts w:hint="eastAsia"/>
        </w:rPr>
        <w:t>乐趣来源：贸易路线变成了</w:t>
      </w:r>
      <w:r>
        <w:rPr>
          <w:rFonts w:hint="eastAsia"/>
          <w:lang w:val="en-US" w:eastAsia="zh-CN"/>
        </w:rPr>
        <w:t>情报</w:t>
      </w:r>
      <w:r>
        <w:rPr>
          <w:rFonts w:hint="eastAsia"/>
        </w:rPr>
        <w:t>地图。</w:t>
      </w:r>
      <w:r>
        <w:rPr>
          <w:rFonts w:hint="eastAsia"/>
          <w:lang w:val="en-US" w:eastAsia="zh-CN"/>
        </w:rPr>
        <w:t>从港口之间的单纯的“搬运工”到主动借助情报的信息优势扩大经营。玩家甚至转变成“操盘手”---通过出售情报来操纵货品价格市场。这种从被动接受市场规则到主动利用信息影响规则的转变，极大地丰富了游戏的策略深度与玩家的代入感，使每一次航行都成为一场融合了商业、谍报与风险管理的综合博弈。让玩家选择航线时要考虑多种因素影响，摆脱固定套路。</w:t>
      </w:r>
    </w:p>
    <w:p w14:paraId="3D539C43">
      <w:pPr>
        <w:numPr>
          <w:ilvl w:val="0"/>
          <w:numId w:val="0"/>
        </w:numPr>
        <w:ind w:firstLine="480" w:firstLineChars="200"/>
        <w:rPr>
          <w:rFonts w:hint="eastAsia"/>
          <w:lang w:val="en-US" w:eastAsia="zh-CN"/>
        </w:rPr>
      </w:pPr>
      <w:r>
        <w:rPr>
          <w:rFonts w:hint="eastAsia"/>
          <w:lang w:val="en-US" w:eastAsia="zh-CN"/>
        </w:rPr>
        <w:t>情报交易机制不仅让贸易风险变得更加清晰可控，同时也为玩家提供了消耗货币的合理途径。它允许玩家根据自身需求，自由切换商人与情报商的身份，也为验证角色成长路径提供了更多维度，进一步提升了玩法的可玩性。</w:t>
      </w:r>
    </w:p>
    <w:p w14:paraId="07531DA1">
      <w:pPr>
        <w:numPr>
          <w:ilvl w:val="0"/>
          <w:numId w:val="0"/>
        </w:numPr>
        <w:rPr>
          <w:rFonts w:hint="eastAsia"/>
          <w:b/>
          <w:bCs/>
          <w:lang w:val="en-US" w:eastAsia="zh-CN"/>
        </w:rPr>
      </w:pPr>
      <w:r>
        <w:rPr>
          <w:rFonts w:hint="eastAsia"/>
          <w:b/>
          <w:bCs/>
          <w:lang w:val="en-US" w:eastAsia="zh-CN"/>
        </w:rPr>
        <w:t>核心循环：</w:t>
      </w:r>
    </w:p>
    <w:p w14:paraId="22D3C8DF">
      <w:pPr>
        <w:numPr>
          <w:ilvl w:val="0"/>
          <w:numId w:val="0"/>
        </w:numPr>
        <w:rPr>
          <w:rFonts w:hint="eastAsia"/>
          <w:lang w:val="en-US" w:eastAsia="zh-CN"/>
        </w:rPr>
      </w:pPr>
      <w:r>
        <w:rPr>
          <w:rFonts w:hint="eastAsia"/>
          <w:lang w:val="en-US" w:eastAsia="zh-CN"/>
        </w:rPr>
        <w:t>钱</w:t>
      </w:r>
      <w:r>
        <w:rPr>
          <w:rFonts w:hint="eastAsia"/>
        </w:rPr>
        <w:t>→</w:t>
      </w:r>
      <w:r>
        <w:rPr>
          <w:rFonts w:hint="eastAsia"/>
          <w:lang w:val="en-US" w:eastAsia="zh-CN"/>
        </w:rPr>
        <w:t>购买信息</w:t>
      </w:r>
      <w:r>
        <w:rPr>
          <w:rFonts w:hint="eastAsia"/>
        </w:rPr>
        <w:t>→</w:t>
      </w:r>
      <w:r>
        <w:rPr>
          <w:rFonts w:hint="eastAsia"/>
          <w:lang w:val="en-US" w:eastAsia="zh-CN"/>
        </w:rPr>
        <w:t>信息揭示</w:t>
      </w:r>
      <w:r>
        <w:rPr>
          <w:rFonts w:hint="eastAsia"/>
        </w:rPr>
        <w:t>→</w:t>
      </w:r>
      <w:r>
        <w:rPr>
          <w:rFonts w:hint="eastAsia"/>
          <w:lang w:val="en-US" w:eastAsia="zh-CN"/>
        </w:rPr>
        <w:t>判断价值</w:t>
      </w:r>
      <w:r>
        <w:rPr>
          <w:rFonts w:hint="eastAsia"/>
        </w:rPr>
        <w:t>→</w:t>
      </w:r>
      <w:r>
        <w:rPr>
          <w:rFonts w:hint="eastAsia"/>
          <w:lang w:val="en-US" w:eastAsia="zh-CN"/>
        </w:rPr>
        <w:t>决定贸易路线</w:t>
      </w:r>
      <w:r>
        <w:rPr>
          <w:rFonts w:hint="eastAsia"/>
        </w:rPr>
        <w:t>→</w:t>
      </w:r>
      <w:r>
        <w:rPr>
          <w:rFonts w:hint="eastAsia"/>
          <w:lang w:val="en-US" w:eastAsia="zh-CN"/>
        </w:rPr>
        <w:t>时间窗口</w:t>
      </w:r>
      <w:r>
        <w:rPr>
          <w:rFonts w:hint="eastAsia"/>
        </w:rPr>
        <w:t>→</w:t>
      </w:r>
      <w:r>
        <w:rPr>
          <w:rFonts w:hint="eastAsia"/>
          <w:lang w:val="en-US" w:eastAsia="zh-CN"/>
        </w:rPr>
        <w:t xml:space="preserve"> 商品套利</w:t>
      </w:r>
    </w:p>
    <w:p w14:paraId="31BC8424">
      <w:pPr>
        <w:numPr>
          <w:ilvl w:val="0"/>
          <w:numId w:val="0"/>
        </w:numPr>
        <w:rPr>
          <w:rFonts w:hint="eastAsia"/>
          <w:lang w:val="en-US" w:eastAsia="zh-CN"/>
        </w:rPr>
      </w:pPr>
    </w:p>
    <w:p w14:paraId="7A9A54C5">
      <w:pPr>
        <w:numPr>
          <w:ilvl w:val="0"/>
          <w:numId w:val="0"/>
        </w:numPr>
        <w:rPr>
          <w:rFonts w:hint="eastAsia"/>
          <w:b/>
          <w:bCs/>
          <w:sz w:val="21"/>
          <w:szCs w:val="16"/>
          <w:u w:val="single"/>
          <w:lang w:val="en-US" w:eastAsia="zh-CN"/>
        </w:rPr>
      </w:pPr>
      <w:r>
        <w:rPr>
          <w:rFonts w:hint="eastAsia"/>
          <w:b/>
          <w:bCs/>
          <w:sz w:val="21"/>
          <w:szCs w:val="16"/>
          <w:u w:val="none"/>
          <w:lang w:val="en-US" w:eastAsia="zh-CN"/>
        </w:rPr>
        <w:t>PS:情报池详情见</w:t>
      </w:r>
      <w:r>
        <w:rPr>
          <w:rFonts w:hint="eastAsia"/>
          <w:b/>
          <w:bCs/>
          <w:sz w:val="21"/>
          <w:szCs w:val="16"/>
          <w:u w:val="single"/>
          <w:lang w:val="en-US" w:eastAsia="zh-CN"/>
        </w:rPr>
        <w:t>情报信息汇总表</w:t>
      </w:r>
    </w:p>
    <w:p w14:paraId="692C4EA2">
      <w:pPr>
        <w:numPr>
          <w:ilvl w:val="0"/>
          <w:numId w:val="0"/>
        </w:numPr>
        <w:rPr>
          <w:rFonts w:hint="default"/>
          <w:b/>
          <w:bCs/>
          <w:sz w:val="21"/>
          <w:szCs w:val="16"/>
          <w:u w:val="single"/>
          <w:lang w:val="en-US" w:eastAsia="zh-CN"/>
        </w:rPr>
      </w:pPr>
    </w:p>
    <w:p w14:paraId="201AA072">
      <w:pPr>
        <w:numPr>
          <w:ilvl w:val="0"/>
          <w:numId w:val="0"/>
        </w:numPr>
        <w:rPr>
          <w:rFonts w:hint="eastAsia" w:ascii="宋体" w:hAnsi="宋体" w:cs="宋体"/>
          <w:sz w:val="24"/>
          <w:szCs w:val="24"/>
          <w:lang w:val="en-US" w:eastAsia="zh-CN"/>
        </w:rPr>
      </w:pPr>
      <w:r>
        <w:rPr>
          <w:rFonts w:hint="eastAsia"/>
          <w:lang w:val="en-US" w:eastAsia="zh-CN"/>
        </w:rPr>
        <w:t>三、</w:t>
      </w:r>
      <w:r>
        <w:rPr>
          <w:rFonts w:hint="eastAsia" w:ascii="宋体" w:hAnsi="宋体" w:cs="宋体"/>
          <w:sz w:val="24"/>
          <w:szCs w:val="24"/>
          <w:lang w:val="en-US" w:eastAsia="zh-CN"/>
        </w:rPr>
        <w:t>任务与声望</w:t>
      </w:r>
    </w:p>
    <w:p w14:paraId="433B5CC8">
      <w:pPr>
        <w:numPr>
          <w:ilvl w:val="0"/>
          <w:numId w:val="0"/>
        </w:numPr>
        <w:ind w:leftChars="0"/>
        <w:rPr>
          <w:rFonts w:hint="eastAsia"/>
          <w:b w:val="0"/>
          <w:bCs w:val="0"/>
          <w:lang w:val="en-US" w:eastAsia="zh-CN"/>
        </w:rPr>
      </w:pPr>
      <w:r>
        <w:rPr>
          <w:rFonts w:hint="eastAsia" w:ascii="宋体" w:hAnsi="宋体" w:cs="宋体"/>
          <w:sz w:val="24"/>
          <w:szCs w:val="24"/>
          <w:lang w:val="en-US" w:eastAsia="zh-CN"/>
        </w:rPr>
        <w:t xml:space="preserve">  任务机制：游戏设计的任务系统为玩家提供了前期游玩引导与行动目标，完成任务并提交指定货品后，即可获得金钱与一定点数的声望值。开发时也考虑到了玩家的</w:t>
      </w:r>
      <w:r>
        <w:rPr>
          <w:rFonts w:hint="eastAsia"/>
          <w:b w:val="0"/>
          <w:bCs w:val="0"/>
          <w:lang w:val="en-US" w:eastAsia="zh-CN"/>
        </w:rPr>
        <w:t>损失厌恶心理：在多次触发负面事件遭受损失后，玩家会降低返回港口继续游玩的意愿，甚至连重开游玩的兴趣也会消退。游戏对任务事件做了分级设置，简单任务能够让玩家较为容易地过渡到拥有安全资金的阶段。考虑到玩家的船舱容量不足，任务所需货品设置了可分批提交，灵活适配玩家当前的船舱装载量，避免玩家因为一次性带不齐指定货品，被迫空出大量舱位，浪费单次航行的利润空间。</w:t>
      </w:r>
    </w:p>
    <w:p w14:paraId="1618F3B2">
      <w:pPr>
        <w:numPr>
          <w:ilvl w:val="0"/>
          <w:numId w:val="0"/>
        </w:numPr>
        <w:ind w:leftChars="0"/>
        <w:rPr>
          <w:rFonts w:hint="default"/>
          <w:b w:val="0"/>
          <w:bCs w:val="0"/>
          <w:lang w:val="en-US" w:eastAsia="zh-CN"/>
        </w:rPr>
      </w:pPr>
      <w:r>
        <w:rPr>
          <w:rFonts w:hint="eastAsia"/>
          <w:b w:val="0"/>
          <w:bCs w:val="0"/>
          <w:lang w:val="en-US" w:eastAsia="zh-CN"/>
        </w:rPr>
        <w:t>声望机制：玩家完成商任务会积累声望，声望等级提升后，可为玩家解锁情报出售、仅对高声望商人开放的高级情报购买渠道，以及门槛更高、回报也更丰厚的专属大型贸易订单，。声望系统一方面给玩家提供了清晰的长线成长目标，引导玩家主动向自己偏好的贸易区域深耕，逐步搭建属于自己的专属海上贸易网络；另一方面，高声望的信息收益，让玩家每一次积累声望的行为都能得到明确正向的反馈，持续强化玩家的游玩动力。</w:t>
      </w:r>
    </w:p>
    <w:p w14:paraId="6B0484FE">
      <w:pPr>
        <w:numPr>
          <w:ilvl w:val="0"/>
          <w:numId w:val="0"/>
        </w:numPr>
        <w:ind w:leftChars="0"/>
        <w:rPr>
          <w:rFonts w:hint="eastAsia"/>
          <w:b w:val="0"/>
          <w:bCs w:val="0"/>
          <w:vertAlign w:val="baseline"/>
          <w:lang w:val="en-US" w:eastAsia="zh-CN"/>
        </w:rPr>
      </w:pPr>
      <w:r>
        <w:rPr>
          <w:rFonts w:hint="eastAsia"/>
          <w:b w:val="0"/>
          <w:bCs w:val="0"/>
          <w:lang w:val="en-US" w:eastAsia="zh-CN"/>
        </w:rPr>
        <w:t xml:space="preserve">   时间窗口：不仅商品价格涨跌存在时间窗口，任务事件也设置了对应的时间窗口。不同时长的时间窗口对应不同难度的任务，要求玩家对航线做出策略规划，同时时间窗口机制也提升了情报机制的重要性：想要在限时任务的窗口内凑齐指定货品、赶在截止日期前完成交付，玩家需要结合情报预判航线行程，合理规划配货顺序与航行日程，避免因错过时间窗口拿不到全额奖励。这种设计既强化了各核心系统之间的联动，也通过差异化的时间限制，适配了不同游玩节奏玩家的需求：追求快速成长的核心玩家可以挑战高难度短窗口的任务，换取更高的声望与收益倍率；偏好慢节奏游玩的休闲玩家则可以选择无时间限制的常规任务，从容收集货品稳步积累声望，让不同类型的玩家都能找到适合自己的成长路径。</w:t>
      </w:r>
    </w:p>
    <w:tbl>
      <w:tblPr>
        <w:tblStyle w:val="7"/>
        <w:tblpPr w:leftFromText="180" w:rightFromText="180" w:vertAnchor="text" w:horzAnchor="page" w:tblpX="2025" w:tblpY="14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65"/>
        <w:gridCol w:w="6157"/>
      </w:tblGrid>
      <w:tr w14:paraId="594B3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5" w:type="dxa"/>
            <w:vAlign w:val="center"/>
          </w:tcPr>
          <w:p w14:paraId="1CE9D23E">
            <w:pPr>
              <w:keepNext w:val="0"/>
              <w:keepLines w:val="0"/>
              <w:widowControl/>
              <w:suppressLineNumbers w:val="0"/>
              <w:jc w:val="center"/>
              <w:rPr>
                <w:rFonts w:hint="default"/>
                <w:b w:val="0"/>
                <w:bCs w:val="0"/>
                <w:vertAlign w:val="baseline"/>
                <w:lang w:val="en-US" w:eastAsia="zh-CN"/>
              </w:rPr>
            </w:pPr>
            <w:r>
              <w:rPr>
                <w:rFonts w:ascii="宋体" w:hAnsi="宋体" w:eastAsia="宋体" w:cs="宋体"/>
                <w:b/>
                <w:bCs/>
                <w:snapToGrid w:val="0"/>
                <w:color w:val="000000"/>
                <w:kern w:val="0"/>
                <w:sz w:val="24"/>
                <w:szCs w:val="24"/>
                <w:lang w:val="en-US" w:eastAsia="zh-CN" w:bidi="ar"/>
              </w:rPr>
              <w:t>声望</w:t>
            </w:r>
          </w:p>
        </w:tc>
        <w:tc>
          <w:tcPr>
            <w:tcW w:w="6157" w:type="dxa"/>
            <w:vAlign w:val="center"/>
          </w:tcPr>
          <w:p w14:paraId="24CA687B">
            <w:pPr>
              <w:keepNext w:val="0"/>
              <w:keepLines w:val="0"/>
              <w:widowControl/>
              <w:suppressLineNumbers w:val="0"/>
              <w:jc w:val="center"/>
              <w:rPr>
                <w:rFonts w:hint="default"/>
                <w:b w:val="0"/>
                <w:bCs w:val="0"/>
                <w:vertAlign w:val="baseline"/>
                <w:lang w:val="en-US" w:eastAsia="zh-CN"/>
              </w:rPr>
            </w:pPr>
            <w:r>
              <w:rPr>
                <w:rFonts w:ascii="宋体" w:hAnsi="宋体" w:eastAsia="宋体" w:cs="宋体"/>
                <w:b/>
                <w:bCs/>
                <w:snapToGrid w:val="0"/>
                <w:color w:val="000000"/>
                <w:kern w:val="0"/>
                <w:sz w:val="24"/>
                <w:szCs w:val="24"/>
                <w:lang w:val="en-US" w:eastAsia="zh-CN" w:bidi="ar"/>
              </w:rPr>
              <w:t>新作用</w:t>
            </w:r>
          </w:p>
        </w:tc>
      </w:tr>
      <w:tr w14:paraId="2AD51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5" w:type="dxa"/>
            <w:vAlign w:val="center"/>
          </w:tcPr>
          <w:p w14:paraId="4F170EA9">
            <w:pPr>
              <w:keepNext w:val="0"/>
              <w:keepLines w:val="0"/>
              <w:widowControl/>
              <w:suppressLineNumbers w:val="0"/>
              <w:jc w:val="left"/>
              <w:rPr>
                <w:rFonts w:hint="default"/>
                <w:b w:val="0"/>
                <w:bCs w:val="0"/>
                <w:vertAlign w:val="baseline"/>
                <w:lang w:val="en-US" w:eastAsia="zh-CN"/>
              </w:rPr>
            </w:pPr>
            <w:r>
              <w:rPr>
                <w:rFonts w:ascii="宋体" w:hAnsi="宋体" w:eastAsia="宋体" w:cs="宋体"/>
                <w:snapToGrid w:val="0"/>
                <w:color w:val="000000"/>
                <w:kern w:val="0"/>
                <w:sz w:val="24"/>
                <w:szCs w:val="24"/>
                <w:lang w:val="en-US" w:eastAsia="zh-CN" w:bidi="ar"/>
              </w:rPr>
              <w:t>0～</w:t>
            </w:r>
            <w:r>
              <w:rPr>
                <w:rFonts w:hint="eastAsia" w:ascii="宋体" w:hAnsi="宋体" w:cs="宋体"/>
                <w:snapToGrid w:val="0"/>
                <w:color w:val="000000"/>
                <w:kern w:val="0"/>
                <w:sz w:val="24"/>
                <w:szCs w:val="24"/>
                <w:lang w:val="en-US" w:eastAsia="zh-CN" w:bidi="ar"/>
              </w:rPr>
              <w:t>3</w:t>
            </w:r>
            <w:r>
              <w:rPr>
                <w:rFonts w:ascii="宋体" w:hAnsi="宋体" w:eastAsia="宋体" w:cs="宋体"/>
                <w:snapToGrid w:val="0"/>
                <w:color w:val="000000"/>
                <w:kern w:val="0"/>
                <w:sz w:val="24"/>
                <w:szCs w:val="24"/>
                <w:lang w:val="en-US" w:eastAsia="zh-CN" w:bidi="ar"/>
              </w:rPr>
              <w:t>9</w:t>
            </w:r>
          </w:p>
        </w:tc>
        <w:tc>
          <w:tcPr>
            <w:tcW w:w="6157" w:type="dxa"/>
            <w:vAlign w:val="center"/>
          </w:tcPr>
          <w:p w14:paraId="10C00918">
            <w:pPr>
              <w:keepNext w:val="0"/>
              <w:keepLines w:val="0"/>
              <w:widowControl/>
              <w:suppressLineNumbers w:val="0"/>
              <w:jc w:val="left"/>
              <w:rPr>
                <w:rFonts w:hint="default"/>
                <w:b w:val="0"/>
                <w:bCs w:val="0"/>
                <w:vertAlign w:val="baseline"/>
                <w:lang w:val="en-US" w:eastAsia="zh-CN"/>
              </w:rPr>
            </w:pPr>
            <w:r>
              <w:rPr>
                <w:rFonts w:ascii="宋体" w:hAnsi="宋体" w:eastAsia="宋体" w:cs="宋体"/>
                <w:snapToGrid w:val="0"/>
                <w:color w:val="000000"/>
                <w:kern w:val="0"/>
                <w:sz w:val="24"/>
                <w:szCs w:val="24"/>
                <w:lang w:val="en-US" w:eastAsia="zh-CN" w:bidi="ar"/>
              </w:rPr>
              <w:t>只能购买情报，不能出售</w:t>
            </w:r>
          </w:p>
        </w:tc>
      </w:tr>
      <w:tr w14:paraId="64CDA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5" w:type="dxa"/>
            <w:vAlign w:val="center"/>
          </w:tcPr>
          <w:p w14:paraId="45BFC1F2">
            <w:pPr>
              <w:keepNext w:val="0"/>
              <w:keepLines w:val="0"/>
              <w:widowControl/>
              <w:suppressLineNumbers w:val="0"/>
              <w:jc w:val="left"/>
              <w:rPr>
                <w:rFonts w:hint="default"/>
                <w:b w:val="0"/>
                <w:bCs w:val="0"/>
                <w:vertAlign w:val="baseline"/>
                <w:lang w:val="en-US" w:eastAsia="zh-CN"/>
              </w:rPr>
            </w:pPr>
            <w:r>
              <w:rPr>
                <w:rFonts w:hint="eastAsia" w:ascii="宋体" w:hAnsi="宋体" w:cs="宋体"/>
                <w:snapToGrid w:val="0"/>
                <w:color w:val="000000"/>
                <w:kern w:val="0"/>
                <w:sz w:val="24"/>
                <w:szCs w:val="24"/>
                <w:lang w:val="en-US" w:eastAsia="zh-CN" w:bidi="ar"/>
              </w:rPr>
              <w:t>40</w:t>
            </w:r>
            <w:r>
              <w:rPr>
                <w:rFonts w:ascii="宋体" w:hAnsi="宋体" w:eastAsia="宋体" w:cs="宋体"/>
                <w:snapToGrid w:val="0"/>
                <w:color w:val="000000"/>
                <w:kern w:val="0"/>
                <w:sz w:val="24"/>
                <w:szCs w:val="24"/>
                <w:lang w:val="en-US" w:eastAsia="zh-CN" w:bidi="ar"/>
              </w:rPr>
              <w:t>～59</w:t>
            </w:r>
          </w:p>
        </w:tc>
        <w:tc>
          <w:tcPr>
            <w:tcW w:w="6157" w:type="dxa"/>
            <w:vAlign w:val="center"/>
          </w:tcPr>
          <w:p w14:paraId="5ED562AA">
            <w:pPr>
              <w:keepNext w:val="0"/>
              <w:keepLines w:val="0"/>
              <w:widowControl/>
              <w:suppressLineNumbers w:val="0"/>
              <w:jc w:val="left"/>
              <w:rPr>
                <w:rFonts w:hint="default"/>
                <w:b w:val="0"/>
                <w:bCs w:val="0"/>
                <w:vertAlign w:val="baseline"/>
                <w:lang w:val="en-US" w:eastAsia="zh-CN"/>
              </w:rPr>
            </w:pPr>
            <w:r>
              <w:rPr>
                <w:rFonts w:hint="eastAsia" w:ascii="宋体" w:hAnsi="宋体" w:cs="宋体"/>
                <w:snapToGrid w:val="0"/>
                <w:color w:val="000000"/>
                <w:kern w:val="0"/>
                <w:sz w:val="24"/>
                <w:szCs w:val="24"/>
                <w:lang w:val="en-US" w:eastAsia="zh-CN" w:bidi="ar"/>
              </w:rPr>
              <w:t>解锁</w:t>
            </w:r>
            <w:r>
              <w:rPr>
                <w:rFonts w:ascii="宋体" w:hAnsi="宋体" w:eastAsia="宋体" w:cs="宋体"/>
                <w:snapToGrid w:val="0"/>
                <w:color w:val="000000"/>
                <w:kern w:val="0"/>
                <w:sz w:val="24"/>
                <w:szCs w:val="24"/>
                <w:lang w:val="en-US" w:eastAsia="zh-CN" w:bidi="ar"/>
              </w:rPr>
              <w:t>情报出售</w:t>
            </w:r>
          </w:p>
        </w:tc>
      </w:tr>
      <w:tr w14:paraId="7114C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5" w:type="dxa"/>
            <w:vAlign w:val="center"/>
          </w:tcPr>
          <w:p w14:paraId="1681E72E">
            <w:pPr>
              <w:keepNext w:val="0"/>
              <w:keepLines w:val="0"/>
              <w:widowControl/>
              <w:suppressLineNumbers w:val="0"/>
              <w:jc w:val="left"/>
              <w:rPr>
                <w:rFonts w:hint="default"/>
                <w:b w:val="0"/>
                <w:bCs w:val="0"/>
                <w:vertAlign w:val="baseline"/>
                <w:lang w:val="en-US" w:eastAsia="zh-CN"/>
              </w:rPr>
            </w:pPr>
            <w:r>
              <w:rPr>
                <w:rFonts w:ascii="宋体" w:hAnsi="宋体" w:eastAsia="宋体" w:cs="宋体"/>
                <w:snapToGrid w:val="0"/>
                <w:color w:val="000000"/>
                <w:kern w:val="0"/>
                <w:sz w:val="24"/>
                <w:szCs w:val="24"/>
                <w:lang w:val="en-US" w:eastAsia="zh-CN" w:bidi="ar"/>
              </w:rPr>
              <w:t>60～79</w:t>
            </w:r>
          </w:p>
        </w:tc>
        <w:tc>
          <w:tcPr>
            <w:tcW w:w="6157" w:type="dxa"/>
            <w:vAlign w:val="center"/>
          </w:tcPr>
          <w:p w14:paraId="3A339F09">
            <w:pPr>
              <w:keepNext w:val="0"/>
              <w:keepLines w:val="0"/>
              <w:widowControl/>
              <w:suppressLineNumbers w:val="0"/>
              <w:jc w:val="left"/>
              <w:rPr>
                <w:rFonts w:hint="default"/>
                <w:b w:val="0"/>
                <w:bCs w:val="0"/>
                <w:vertAlign w:val="baseline"/>
                <w:lang w:val="en-US" w:eastAsia="zh-CN"/>
              </w:rPr>
            </w:pPr>
            <w:r>
              <w:rPr>
                <w:rFonts w:ascii="宋体" w:hAnsi="宋体" w:eastAsia="宋体" w:cs="宋体"/>
                <w:snapToGrid w:val="0"/>
                <w:color w:val="000000"/>
                <w:kern w:val="0"/>
                <w:sz w:val="24"/>
                <w:szCs w:val="24"/>
                <w:lang w:val="en-US" w:eastAsia="zh-CN" w:bidi="ar"/>
              </w:rPr>
              <w:t>高级情报商出现概率</w:t>
            </w:r>
            <w:r>
              <w:rPr>
                <w:rFonts w:hint="eastAsia" w:ascii="宋体" w:hAnsi="宋体" w:cs="宋体"/>
                <w:snapToGrid w:val="0"/>
                <w:color w:val="000000"/>
                <w:kern w:val="0"/>
                <w:sz w:val="24"/>
                <w:szCs w:val="24"/>
                <w:lang w:val="en-US" w:eastAsia="zh-CN" w:bidi="ar"/>
              </w:rPr>
              <w:t xml:space="preserve">  情报</w:t>
            </w:r>
            <w:r>
              <w:rPr>
                <w:rFonts w:ascii="宋体" w:hAnsi="宋体" w:eastAsia="宋体" w:cs="宋体"/>
                <w:snapToGrid w:val="0"/>
                <w:color w:val="000000"/>
                <w:kern w:val="0"/>
                <w:sz w:val="24"/>
                <w:szCs w:val="24"/>
                <w:lang w:val="en-US" w:eastAsia="zh-CN" w:bidi="ar"/>
              </w:rPr>
              <w:t>价格 +20%</w:t>
            </w:r>
            <w:r>
              <w:rPr>
                <w:rFonts w:hint="eastAsia" w:ascii="宋体" w:hAnsi="宋体" w:cs="宋体"/>
                <w:snapToGrid w:val="0"/>
                <w:color w:val="000000"/>
                <w:kern w:val="0"/>
                <w:sz w:val="24"/>
                <w:szCs w:val="24"/>
                <w:lang w:val="en-US" w:eastAsia="zh-CN" w:bidi="ar"/>
              </w:rPr>
              <w:t xml:space="preserve"> </w:t>
            </w:r>
          </w:p>
        </w:tc>
      </w:tr>
      <w:tr w14:paraId="63B80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5" w:type="dxa"/>
            <w:vAlign w:val="center"/>
          </w:tcPr>
          <w:p w14:paraId="6A98BB81">
            <w:pPr>
              <w:keepNext w:val="0"/>
              <w:keepLines w:val="0"/>
              <w:widowControl/>
              <w:suppressLineNumbers w:val="0"/>
              <w:jc w:val="left"/>
              <w:rPr>
                <w:rFonts w:hint="default"/>
                <w:b w:val="0"/>
                <w:bCs w:val="0"/>
                <w:vertAlign w:val="baseline"/>
                <w:lang w:val="en-US" w:eastAsia="zh-CN"/>
              </w:rPr>
            </w:pPr>
            <w:r>
              <w:rPr>
                <w:rFonts w:ascii="宋体" w:hAnsi="宋体" w:eastAsia="宋体" w:cs="宋体"/>
                <w:snapToGrid w:val="0"/>
                <w:color w:val="000000"/>
                <w:kern w:val="0"/>
                <w:sz w:val="24"/>
                <w:szCs w:val="24"/>
                <w:lang w:val="en-US" w:eastAsia="zh-CN" w:bidi="ar"/>
              </w:rPr>
              <w:t>80+</w:t>
            </w:r>
          </w:p>
        </w:tc>
        <w:tc>
          <w:tcPr>
            <w:tcW w:w="6157" w:type="dxa"/>
            <w:vAlign w:val="center"/>
          </w:tcPr>
          <w:p w14:paraId="00D1A6A7">
            <w:pPr>
              <w:keepNext w:val="0"/>
              <w:keepLines w:val="0"/>
              <w:widowControl/>
              <w:suppressLineNumbers w:val="0"/>
              <w:jc w:val="left"/>
              <w:rPr>
                <w:rFonts w:hint="default"/>
                <w:b w:val="0"/>
                <w:bCs w:val="0"/>
                <w:vertAlign w:val="baseline"/>
                <w:lang w:val="en-US" w:eastAsia="zh-CN"/>
              </w:rPr>
            </w:pPr>
            <w:r>
              <w:rPr>
                <w:rFonts w:ascii="宋体" w:hAnsi="宋体" w:eastAsia="宋体" w:cs="宋体"/>
                <w:snapToGrid w:val="0"/>
                <w:color w:val="000000"/>
                <w:kern w:val="0"/>
                <w:sz w:val="24"/>
                <w:szCs w:val="24"/>
                <w:lang w:val="en-US" w:eastAsia="zh-CN" w:bidi="ar"/>
              </w:rPr>
              <w:t>稀有情报/特殊贸易机会</w:t>
            </w:r>
            <w:r>
              <w:rPr>
                <w:rFonts w:hint="eastAsia" w:ascii="宋体" w:hAnsi="宋体" w:cs="宋体"/>
                <w:snapToGrid w:val="0"/>
                <w:color w:val="000000"/>
                <w:kern w:val="0"/>
                <w:sz w:val="24"/>
                <w:szCs w:val="24"/>
                <w:lang w:val="en-US" w:eastAsia="zh-CN" w:bidi="ar"/>
              </w:rPr>
              <w:t>/ 制造消息（暂未开发）</w:t>
            </w:r>
          </w:p>
        </w:tc>
      </w:tr>
    </w:tbl>
    <w:p w14:paraId="3417A116">
      <w:pPr>
        <w:numPr>
          <w:ilvl w:val="0"/>
          <w:numId w:val="0"/>
        </w:numPr>
        <w:ind w:leftChars="0"/>
        <w:rPr>
          <w:rFonts w:hint="default"/>
          <w:b w:val="0"/>
          <w:bCs w:val="0"/>
          <w:lang w:val="en-US" w:eastAsia="zh-CN"/>
        </w:rPr>
      </w:pPr>
      <w:r>
        <w:rPr>
          <w:rFonts w:hint="eastAsia"/>
          <w:b w:val="0"/>
          <w:bCs w:val="0"/>
          <w:lang w:val="en-US" w:eastAsia="zh-CN"/>
        </w:rPr>
        <w:t>PS：demo演示</w:t>
      </w:r>
      <w:bookmarkStart w:id="0" w:name="_GoBack"/>
      <w:bookmarkEnd w:id="0"/>
      <w:r>
        <w:rPr>
          <w:rFonts w:hint="eastAsia"/>
          <w:b w:val="0"/>
          <w:bCs w:val="0"/>
          <w:lang w:val="en-US" w:eastAsia="zh-CN"/>
        </w:rPr>
        <w:t>采用</w:t>
      </w:r>
      <w:r>
        <w:rPr>
          <w:rFonts w:hint="eastAsia"/>
          <w:b w:val="0"/>
          <w:bCs w:val="0"/>
          <w:u w:val="single"/>
          <w:lang w:val="en-US" w:eastAsia="zh-CN"/>
        </w:rPr>
        <w:t>60声望解锁出售</w:t>
      </w:r>
      <w:r>
        <w:rPr>
          <w:rFonts w:hint="eastAsia"/>
          <w:b w:val="0"/>
          <w:bCs w:val="0"/>
          <w:lang w:val="en-US" w:eastAsia="zh-CN"/>
        </w:rPr>
        <w:t>，配合演示版本的经济系统。</w:t>
      </w:r>
    </w:p>
    <w:tbl>
      <w:tblPr>
        <w:tblStyle w:val="7"/>
        <w:tblpPr w:leftFromText="180" w:rightFromText="180" w:vertAnchor="text" w:horzAnchor="page" w:tblpX="2049" w:tblpY="99"/>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8"/>
        <w:gridCol w:w="6164"/>
      </w:tblGrid>
      <w:tr w14:paraId="76842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8" w:type="dxa"/>
          </w:tcPr>
          <w:p w14:paraId="791B47F3">
            <w:pPr>
              <w:widowControl w:val="0"/>
              <w:numPr>
                <w:ilvl w:val="0"/>
                <w:numId w:val="0"/>
              </w:numPr>
              <w:jc w:val="center"/>
              <w:rPr>
                <w:rFonts w:hint="default"/>
                <w:b/>
                <w:bCs/>
                <w:vertAlign w:val="baseline"/>
                <w:lang w:val="en-US" w:eastAsia="zh-CN"/>
              </w:rPr>
            </w:pPr>
            <w:r>
              <w:rPr>
                <w:rFonts w:hint="eastAsia"/>
                <w:b/>
                <w:bCs/>
                <w:vertAlign w:val="baseline"/>
                <w:lang w:val="en-US" w:eastAsia="zh-CN"/>
              </w:rPr>
              <w:t>阶段</w:t>
            </w:r>
          </w:p>
        </w:tc>
        <w:tc>
          <w:tcPr>
            <w:tcW w:w="6164" w:type="dxa"/>
          </w:tcPr>
          <w:p w14:paraId="0921FBD5">
            <w:pPr>
              <w:widowControl w:val="0"/>
              <w:numPr>
                <w:ilvl w:val="0"/>
                <w:numId w:val="0"/>
              </w:numPr>
              <w:jc w:val="center"/>
              <w:rPr>
                <w:rFonts w:hint="default"/>
                <w:b/>
                <w:bCs/>
                <w:vertAlign w:val="baseline"/>
                <w:lang w:val="en-US" w:eastAsia="zh-CN"/>
              </w:rPr>
            </w:pPr>
            <w:r>
              <w:rPr>
                <w:rFonts w:hint="eastAsia"/>
                <w:b/>
                <w:bCs/>
                <w:vertAlign w:val="baseline"/>
                <w:lang w:val="en-US" w:eastAsia="zh-CN"/>
              </w:rPr>
              <w:t>声望名称</w:t>
            </w:r>
          </w:p>
        </w:tc>
      </w:tr>
      <w:tr w14:paraId="071DD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8" w:type="dxa"/>
          </w:tcPr>
          <w:p w14:paraId="20EA9D1C">
            <w:pPr>
              <w:widowControl w:val="0"/>
              <w:numPr>
                <w:ilvl w:val="0"/>
                <w:numId w:val="0"/>
              </w:numPr>
              <w:jc w:val="center"/>
              <w:rPr>
                <w:rFonts w:hint="eastAsia"/>
                <w:b w:val="0"/>
                <w:bCs w:val="0"/>
                <w:vertAlign w:val="baseline"/>
                <w:lang w:val="en-US" w:eastAsia="zh-CN"/>
              </w:rPr>
            </w:pPr>
            <w:r>
              <w:rPr>
                <w:rFonts w:hint="eastAsia"/>
                <w:b w:val="0"/>
                <w:bCs w:val="0"/>
                <w:vertAlign w:val="baseline"/>
                <w:lang w:val="en-US" w:eastAsia="zh-CN"/>
              </w:rPr>
              <w:t>声望 0</w:t>
            </w:r>
          </w:p>
        </w:tc>
        <w:tc>
          <w:tcPr>
            <w:tcW w:w="6164" w:type="dxa"/>
          </w:tcPr>
          <w:p w14:paraId="1807BFD5">
            <w:pPr>
              <w:widowControl w:val="0"/>
              <w:numPr>
                <w:ilvl w:val="0"/>
                <w:numId w:val="0"/>
              </w:numPr>
              <w:jc w:val="center"/>
              <w:rPr>
                <w:rFonts w:hint="default"/>
                <w:b w:val="0"/>
                <w:bCs w:val="0"/>
                <w:vertAlign w:val="baseline"/>
                <w:lang w:val="en-US" w:eastAsia="zh-CN"/>
              </w:rPr>
            </w:pPr>
            <w:r>
              <w:rPr>
                <w:rFonts w:hint="eastAsia"/>
                <w:b w:val="0"/>
                <w:bCs w:val="0"/>
                <w:vertAlign w:val="baseline"/>
                <w:lang w:val="en-US" w:eastAsia="zh-CN"/>
              </w:rPr>
              <w:t>无名商贩</w:t>
            </w:r>
          </w:p>
        </w:tc>
      </w:tr>
      <w:tr w14:paraId="02B87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2358" w:type="dxa"/>
          </w:tcPr>
          <w:p w14:paraId="02D0601D">
            <w:pPr>
              <w:widowControl w:val="0"/>
              <w:numPr>
                <w:ilvl w:val="0"/>
                <w:numId w:val="0"/>
              </w:numPr>
              <w:jc w:val="center"/>
              <w:rPr>
                <w:rFonts w:hint="eastAsia"/>
                <w:b w:val="0"/>
                <w:bCs w:val="0"/>
                <w:vertAlign w:val="baseline"/>
                <w:lang w:val="en-US" w:eastAsia="zh-CN"/>
              </w:rPr>
            </w:pPr>
            <w:r>
              <w:rPr>
                <w:rFonts w:hint="eastAsia"/>
                <w:b w:val="0"/>
                <w:bCs w:val="0"/>
                <w:vertAlign w:val="baseline"/>
                <w:lang w:val="en-US" w:eastAsia="zh-CN"/>
              </w:rPr>
              <w:t>声望 40</w:t>
            </w:r>
          </w:p>
        </w:tc>
        <w:tc>
          <w:tcPr>
            <w:tcW w:w="6164" w:type="dxa"/>
          </w:tcPr>
          <w:p w14:paraId="5A83FE0B">
            <w:pPr>
              <w:widowControl w:val="0"/>
              <w:numPr>
                <w:ilvl w:val="0"/>
                <w:numId w:val="0"/>
              </w:numPr>
              <w:jc w:val="center"/>
              <w:rPr>
                <w:rFonts w:hint="eastAsia"/>
                <w:b w:val="0"/>
                <w:bCs w:val="0"/>
                <w:vertAlign w:val="baseline"/>
                <w:lang w:val="en-US" w:eastAsia="zh-CN"/>
              </w:rPr>
            </w:pPr>
            <w:r>
              <w:rPr>
                <w:rFonts w:hint="eastAsia"/>
                <w:b w:val="0"/>
                <w:bCs w:val="0"/>
                <w:vertAlign w:val="baseline"/>
                <w:lang w:val="en-US" w:eastAsia="zh-CN"/>
              </w:rPr>
              <w:t>小有名气</w:t>
            </w:r>
          </w:p>
        </w:tc>
      </w:tr>
      <w:tr w14:paraId="7C038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8" w:type="dxa"/>
          </w:tcPr>
          <w:p w14:paraId="17224C10">
            <w:pPr>
              <w:widowControl w:val="0"/>
              <w:numPr>
                <w:ilvl w:val="0"/>
                <w:numId w:val="0"/>
              </w:numPr>
              <w:jc w:val="center"/>
              <w:rPr>
                <w:rFonts w:hint="eastAsia"/>
                <w:b w:val="0"/>
                <w:bCs w:val="0"/>
                <w:vertAlign w:val="baseline"/>
                <w:lang w:val="en-US" w:eastAsia="zh-CN"/>
              </w:rPr>
            </w:pPr>
            <w:r>
              <w:rPr>
                <w:rFonts w:hint="eastAsia"/>
                <w:b w:val="0"/>
                <w:bCs w:val="0"/>
                <w:vertAlign w:val="baseline"/>
                <w:lang w:val="en-US" w:eastAsia="zh-CN"/>
              </w:rPr>
              <w:t>声望 60</w:t>
            </w:r>
          </w:p>
        </w:tc>
        <w:tc>
          <w:tcPr>
            <w:tcW w:w="6164" w:type="dxa"/>
          </w:tcPr>
          <w:p w14:paraId="61DBDC62">
            <w:pPr>
              <w:widowControl w:val="0"/>
              <w:numPr>
                <w:ilvl w:val="0"/>
                <w:numId w:val="0"/>
              </w:numPr>
              <w:jc w:val="center"/>
              <w:rPr>
                <w:rFonts w:hint="default"/>
                <w:b w:val="0"/>
                <w:bCs w:val="0"/>
                <w:vertAlign w:val="baseline"/>
                <w:lang w:val="en-US" w:eastAsia="zh-CN"/>
              </w:rPr>
            </w:pPr>
            <w:r>
              <w:rPr>
                <w:rFonts w:hint="eastAsia"/>
                <w:b w:val="0"/>
                <w:bCs w:val="0"/>
                <w:vertAlign w:val="baseline"/>
                <w:lang w:val="en-US" w:eastAsia="zh-CN"/>
              </w:rPr>
              <w:t>地方商贾</w:t>
            </w:r>
          </w:p>
        </w:tc>
      </w:tr>
      <w:tr w14:paraId="5EC61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8" w:type="dxa"/>
          </w:tcPr>
          <w:p w14:paraId="57C8F1D3">
            <w:pPr>
              <w:widowControl w:val="0"/>
              <w:numPr>
                <w:ilvl w:val="0"/>
                <w:numId w:val="0"/>
              </w:numPr>
              <w:jc w:val="center"/>
              <w:rPr>
                <w:rFonts w:hint="default"/>
                <w:b w:val="0"/>
                <w:bCs w:val="0"/>
                <w:vertAlign w:val="baseline"/>
                <w:lang w:val="en-US" w:eastAsia="zh-CN"/>
              </w:rPr>
            </w:pPr>
            <w:r>
              <w:rPr>
                <w:rFonts w:hint="eastAsia"/>
                <w:b w:val="0"/>
                <w:bCs w:val="0"/>
                <w:vertAlign w:val="baseline"/>
                <w:lang w:val="en-US" w:eastAsia="zh-CN"/>
              </w:rPr>
              <w:t>声望 80</w:t>
            </w:r>
          </w:p>
        </w:tc>
        <w:tc>
          <w:tcPr>
            <w:tcW w:w="6164" w:type="dxa"/>
          </w:tcPr>
          <w:p w14:paraId="44896467">
            <w:pPr>
              <w:widowControl w:val="0"/>
              <w:numPr>
                <w:ilvl w:val="0"/>
                <w:numId w:val="0"/>
              </w:numPr>
              <w:jc w:val="center"/>
              <w:rPr>
                <w:rFonts w:hint="default"/>
                <w:b w:val="0"/>
                <w:bCs w:val="0"/>
                <w:vertAlign w:val="baseline"/>
                <w:lang w:val="en-US" w:eastAsia="zh-CN"/>
              </w:rPr>
            </w:pPr>
            <w:r>
              <w:rPr>
                <w:rFonts w:hint="eastAsia"/>
                <w:b w:val="0"/>
                <w:bCs w:val="0"/>
                <w:vertAlign w:val="baseline"/>
                <w:lang w:val="en-US" w:eastAsia="zh-CN"/>
              </w:rPr>
              <w:t>海商巨贾</w:t>
            </w:r>
          </w:p>
        </w:tc>
      </w:tr>
    </w:tbl>
    <w:p w14:paraId="1678D264">
      <w:pPr>
        <w:numPr>
          <w:ilvl w:val="0"/>
          <w:numId w:val="2"/>
        </w:numPr>
        <w:rPr>
          <w:rFonts w:hint="eastAsia" w:ascii="宋体" w:hAnsi="宋体" w:eastAsia="宋体" w:cs="宋体"/>
          <w:b/>
          <w:bCs/>
          <w:snapToGrid w:val="0"/>
          <w:color w:val="000000"/>
          <w:kern w:val="0"/>
          <w:sz w:val="27"/>
          <w:szCs w:val="27"/>
          <w:lang w:val="en-US" w:eastAsia="zh-CN" w:bidi="ar"/>
        </w:rPr>
      </w:pPr>
      <w:r>
        <w:rPr>
          <w:rFonts w:hint="eastAsia" w:ascii="宋体" w:hAnsi="宋体" w:eastAsia="宋体" w:cs="宋体"/>
          <w:b/>
          <w:bCs/>
          <w:snapToGrid w:val="0"/>
          <w:color w:val="000000"/>
          <w:kern w:val="0"/>
          <w:sz w:val="27"/>
          <w:szCs w:val="27"/>
          <w:lang w:val="en-US" w:eastAsia="zh-CN" w:bidi="ar"/>
        </w:rPr>
        <w:t>数值设计</w:t>
      </w:r>
    </w:p>
    <w:p w14:paraId="7B1FE366">
      <w:pPr>
        <w:pStyle w:val="5"/>
        <w:keepNext w:val="0"/>
        <w:keepLines w:val="0"/>
        <w:widowControl/>
        <w:suppressLineNumbers w:val="0"/>
        <w:spacing w:before="0" w:beforeAutospacing="1" w:after="0" w:afterAutospacing="1"/>
        <w:ind w:left="0" w:right="0"/>
      </w:pPr>
      <w:r>
        <w:t>本系统的数值设计围绕“低门槛贸易、高风险决策、持续成长”展开。通过资金、船舱空间、航行时间、商品价格、情报价值及声望等核心变量，构建具有</w:t>
      </w:r>
      <w:r>
        <w:rPr>
          <w:u w:val="single"/>
        </w:rPr>
        <w:t>明确机会成本的贸易决策</w:t>
      </w:r>
      <w:r>
        <w:t>。</w:t>
      </w:r>
    </w:p>
    <w:p w14:paraId="10DC5175">
      <w:pPr>
        <w:pStyle w:val="5"/>
        <w:keepNext w:val="0"/>
        <w:keepLines w:val="0"/>
        <w:widowControl/>
        <w:suppressLineNumbers w:val="0"/>
      </w:pPr>
      <w:r>
        <w:t>数值设计</w:t>
      </w:r>
      <w:r>
        <w:rPr>
          <w:rFonts w:hint="eastAsia"/>
          <w:lang w:val="en-US" w:eastAsia="zh-CN"/>
        </w:rPr>
        <w:t>目标</w:t>
      </w:r>
      <w:r>
        <w:t>重点并非单纯追求收益最大化，而是使不同贸易路线、商品组合及情报决策均存在收益与风险之间的权衡，避免形成单一最优解。</w:t>
      </w:r>
    </w:p>
    <w:p w14:paraId="3F18211B">
      <w:pPr>
        <w:pStyle w:val="5"/>
        <w:keepNext w:val="0"/>
        <w:keepLines w:val="0"/>
        <w:widowControl/>
        <w:suppressLineNumbers w:val="0"/>
        <w:rPr>
          <w:rFonts w:hint="eastAsia"/>
          <w:b/>
          <w:bCs/>
          <w:lang w:val="en-US" w:eastAsia="zh-CN"/>
        </w:rPr>
      </w:pPr>
      <w:r>
        <w:rPr>
          <w:rFonts w:hint="eastAsia"/>
          <w:b/>
          <w:bCs/>
          <w:lang w:val="en-US" w:eastAsia="zh-CN"/>
        </w:rPr>
        <w:t>设计目标：</w:t>
      </w:r>
    </w:p>
    <w:p w14:paraId="53B6C67D">
      <w:pPr>
        <w:pStyle w:val="5"/>
        <w:keepNext w:val="0"/>
        <w:keepLines w:val="0"/>
        <w:widowControl/>
        <w:numPr>
          <w:ilvl w:val="0"/>
          <w:numId w:val="3"/>
        </w:numPr>
        <w:suppressLineNumbers w:val="0"/>
        <w:rPr>
          <w:rFonts w:hint="eastAsia" w:ascii="宋体" w:hAnsi="宋体" w:cs="宋体"/>
          <w:sz w:val="24"/>
          <w:szCs w:val="24"/>
          <w:lang w:val="en-US" w:eastAsia="zh-CN"/>
        </w:rPr>
      </w:pPr>
      <w:r>
        <w:rPr>
          <w:rFonts w:ascii="宋体" w:hAnsi="宋体" w:eastAsia="宋体" w:cs="宋体"/>
          <w:sz w:val="24"/>
          <w:szCs w:val="24"/>
        </w:rPr>
        <w:t>单轮贸易能够产生明确收益</w:t>
      </w:r>
      <w:r>
        <w:rPr>
          <w:rFonts w:hint="eastAsia" w:ascii="宋体" w:hAnsi="宋体" w:cs="宋体"/>
          <w:sz w:val="24"/>
          <w:szCs w:val="24"/>
          <w:lang w:eastAsia="zh-CN"/>
        </w:rPr>
        <w:t>，</w:t>
      </w:r>
      <w:r>
        <w:rPr>
          <w:rFonts w:hint="eastAsia" w:ascii="宋体" w:hAnsi="宋体" w:cs="宋体"/>
          <w:sz w:val="24"/>
          <w:szCs w:val="24"/>
          <w:lang w:val="en-US" w:eastAsia="zh-CN"/>
        </w:rPr>
        <w:t>获得正反馈</w:t>
      </w:r>
    </w:p>
    <w:p w14:paraId="57F48139">
      <w:pPr>
        <w:pStyle w:val="5"/>
        <w:keepNext w:val="0"/>
        <w:keepLines w:val="0"/>
        <w:widowControl/>
        <w:numPr>
          <w:ilvl w:val="0"/>
          <w:numId w:val="3"/>
        </w:numPr>
        <w:suppressLineNumbers w:val="0"/>
        <w:rPr>
          <w:rFonts w:hint="default" w:ascii="宋体" w:hAnsi="宋体" w:cs="宋体"/>
          <w:sz w:val="24"/>
          <w:szCs w:val="24"/>
          <w:lang w:val="en-US" w:eastAsia="zh-CN"/>
        </w:rPr>
      </w:pPr>
      <w:r>
        <w:rPr>
          <w:rFonts w:hint="eastAsia" w:ascii="宋体" w:hAnsi="宋体" w:cs="宋体"/>
          <w:sz w:val="24"/>
          <w:szCs w:val="24"/>
          <w:lang w:val="en-US" w:eastAsia="zh-CN"/>
        </w:rPr>
        <w:t>风险事件不能打断整体体验循环，而是玩家养成的动力</w:t>
      </w:r>
    </w:p>
    <w:p w14:paraId="2DC1F14C">
      <w:pPr>
        <w:pStyle w:val="5"/>
        <w:keepNext w:val="0"/>
        <w:keepLines w:val="0"/>
        <w:widowControl/>
        <w:numPr>
          <w:ilvl w:val="0"/>
          <w:numId w:val="3"/>
        </w:numPr>
        <w:suppressLineNumbers w:val="0"/>
        <w:rPr>
          <w:rFonts w:hint="default" w:ascii="宋体" w:hAnsi="宋体" w:cs="宋体"/>
          <w:sz w:val="24"/>
          <w:szCs w:val="24"/>
          <w:lang w:val="en-US" w:eastAsia="zh-CN"/>
        </w:rPr>
      </w:pPr>
      <w:r>
        <w:rPr>
          <w:rFonts w:hint="eastAsia" w:ascii="宋体" w:hAnsi="宋体" w:cs="宋体"/>
          <w:sz w:val="24"/>
          <w:szCs w:val="24"/>
          <w:lang w:val="en-US" w:eastAsia="zh-CN"/>
        </w:rPr>
        <w:t>长期收益来自于策略运营而非单刷高价值物品</w:t>
      </w:r>
    </w:p>
    <w:p w14:paraId="2C9556B4">
      <w:pPr>
        <w:pStyle w:val="5"/>
        <w:keepNext w:val="0"/>
        <w:keepLines w:val="0"/>
        <w:widowControl/>
        <w:suppressLineNumbers w:val="0"/>
        <w:rPr>
          <w:rFonts w:hint="eastAsia"/>
          <w:lang w:val="en-US" w:eastAsia="zh-CN"/>
        </w:rPr>
      </w:pPr>
      <w:r>
        <w:rPr>
          <w:rFonts w:hint="eastAsia"/>
          <w:lang w:val="en-US" w:eastAsia="zh-CN"/>
        </w:rPr>
        <w:t>说明：demo中的数值设计服务于演示和游玩体验，加快了体验流程能够展示完整核心玩法闭环，相关数值会在后续测试阶段根据玩家行为数据与反馈做进一步的动态平衡调整。</w:t>
      </w:r>
    </w:p>
    <w:p w14:paraId="681DE015">
      <w:pPr>
        <w:pStyle w:val="5"/>
        <w:keepNext w:val="0"/>
        <w:keepLines w:val="0"/>
        <w:widowControl/>
        <w:suppressLineNumbers w:val="0"/>
        <w:rPr>
          <w:rFonts w:hint="eastAsia"/>
          <w:lang w:val="en-US" w:eastAsia="zh-CN"/>
        </w:rPr>
      </w:pPr>
      <w:r>
        <w:rPr>
          <w:rFonts w:hint="eastAsia"/>
          <w:lang w:val="en-US" w:eastAsia="zh-CN"/>
        </w:rPr>
        <w:t>核心变量的具体设计逻辑如下：</w:t>
      </w:r>
    </w:p>
    <w:p w14:paraId="4AE1CBD6">
      <w:pPr>
        <w:pStyle w:val="5"/>
        <w:keepNext w:val="0"/>
        <w:keepLines w:val="0"/>
        <w:widowControl/>
        <w:suppressLineNumbers w:val="0"/>
        <w:rPr>
          <w:rFonts w:hint="eastAsia"/>
          <w:lang w:val="en-US" w:eastAsia="zh-CN"/>
        </w:rPr>
      </w:pPr>
      <w:r>
        <w:rPr>
          <w:rFonts w:hint="eastAsia"/>
          <w:lang w:val="en-US" w:eastAsia="zh-CN"/>
        </w:rPr>
        <w:t>商品价差层面，不同港口间的基础商品价差与</w:t>
      </w:r>
      <w:r>
        <w:rPr>
          <w:rFonts w:hint="eastAsia"/>
          <w:b/>
          <w:bCs/>
          <w:u w:val="single"/>
          <w:lang w:val="en-US" w:eastAsia="zh-CN"/>
        </w:rPr>
        <w:t>航行距离、风险等级正相关</w:t>
      </w:r>
      <w:r>
        <w:rPr>
          <w:rFonts w:hint="eastAsia"/>
          <w:lang w:val="en-US" w:eastAsia="zh-CN"/>
        </w:rPr>
        <w:t>，远途航线收益更高，但对应的时间成本、遭遇负面随机事件的概率也同步提升，严格遵循</w:t>
      </w:r>
      <w:r>
        <w:rPr>
          <w:rFonts w:hint="eastAsia"/>
          <w:b/>
          <w:bCs/>
          <w:u w:val="single"/>
          <w:lang w:val="en-US" w:eastAsia="zh-CN"/>
        </w:rPr>
        <w:t>风险收益对等原则</w:t>
      </w:r>
      <w:r>
        <w:rPr>
          <w:rFonts w:hint="eastAsia"/>
          <w:lang w:val="en-US" w:eastAsia="zh-CN"/>
        </w:rPr>
        <w:t>，避免出现无脑跑固定路线就能躺赢的情况。</w:t>
      </w:r>
    </w:p>
    <w:p w14:paraId="231DE572">
      <w:pPr>
        <w:pStyle w:val="5"/>
        <w:keepNext w:val="0"/>
        <w:keepLines w:val="0"/>
        <w:widowControl/>
        <w:suppressLineNumbers w:val="0"/>
        <w:rPr>
          <w:rFonts w:hint="eastAsia"/>
          <w:lang w:val="en-US" w:eastAsia="zh-CN"/>
        </w:rPr>
      </w:pPr>
      <w:r>
        <w:rPr>
          <w:rFonts w:hint="eastAsia"/>
          <w:lang w:val="en-US" w:eastAsia="zh-CN"/>
        </w:rPr>
        <w:t>起始资金层面，固定设置了1000的起始资金，帮助试玩能快速过度和体验到核心机制。正式版会适配不同偏好的玩家提供不同额度的起始资金：休闲玩家可选择较高的起始资金降低前期容错压力，核心挑战玩家则可选择低起始资金从头开始打拼，丰富玩法选择。</w:t>
      </w:r>
    </w:p>
    <w:p w14:paraId="49CF7266">
      <w:pPr>
        <w:pStyle w:val="5"/>
        <w:keepNext w:val="0"/>
        <w:keepLines w:val="0"/>
        <w:widowControl/>
        <w:suppressLineNumbers w:val="0"/>
        <w:rPr>
          <w:rFonts w:hint="default"/>
          <w:lang w:val="en-US" w:eastAsia="zh-CN"/>
        </w:rPr>
      </w:pPr>
      <w:r>
        <w:rPr>
          <w:rFonts w:hint="eastAsia"/>
          <w:lang w:val="en-US" w:eastAsia="zh-CN"/>
        </w:rPr>
        <w:t>船舱养成层面，船舱扩容所需的升级费用与扩容后的容量收益呈线性增长，既保证了成长节奏清晰稳定，也不会因为后期扩容速度过快压缩配货策略的决策空间。</w:t>
      </w:r>
    </w:p>
    <w:p w14:paraId="6C634297">
      <w:pPr>
        <w:pStyle w:val="5"/>
        <w:keepNext w:val="0"/>
        <w:keepLines w:val="0"/>
        <w:widowControl/>
        <w:suppressLineNumbers w:val="0"/>
        <w:rPr>
          <w:rFonts w:hint="default"/>
          <w:lang w:val="en-US" w:eastAsia="zh-CN"/>
        </w:rPr>
      </w:pPr>
      <w:r>
        <w:rPr>
          <w:rFonts w:hint="eastAsia"/>
          <w:lang w:val="en-US" w:eastAsia="zh-CN"/>
        </w:rPr>
        <w:t>情报定价层面，不同层级情报的价格与信息价值精准匹配。演示版本的低级情报价格如小道消息可免费获取。中高级情报固定为300/1000两，不会给玩家造成过重的信息成本负担；高级情报的高定价也与其能带来的超额收益相匹配，始终维持成本与收益的平衡关系。</w:t>
      </w:r>
    </w:p>
    <w:p w14:paraId="1374015B">
      <w:pPr>
        <w:pStyle w:val="5"/>
        <w:keepNext w:val="0"/>
        <w:keepLines w:val="0"/>
        <w:widowControl/>
        <w:suppressLineNumbers w:val="0"/>
        <w:rPr>
          <w:rFonts w:hint="default"/>
          <w:lang w:val="en-US" w:eastAsia="zh-CN"/>
        </w:rPr>
      </w:pPr>
      <w:r>
        <w:rPr>
          <w:rFonts w:hint="eastAsia"/>
          <w:lang w:val="en-US" w:eastAsia="zh-CN"/>
        </w:rPr>
        <w:t>声望成长层面，声望升级所需的点数随等级提升逐步递增，对应解锁的权益收益也同步提升，既保证了长线成长的动力充足，也避免玩家过快解锁全部内容缩短游戏生命周期。</w:t>
      </w:r>
    </w:p>
    <w:p w14:paraId="09322157">
      <w:pPr>
        <w:numPr>
          <w:ilvl w:val="0"/>
          <w:numId w:val="0"/>
        </w:numPr>
        <w:rPr>
          <w:rFonts w:hint="eastAsia" w:ascii="宋体" w:hAnsi="宋体" w:cs="宋体"/>
          <w:b/>
          <w:bCs/>
          <w:sz w:val="24"/>
          <w:szCs w:val="24"/>
          <w:lang w:eastAsia="zh-CN"/>
        </w:rPr>
      </w:pPr>
      <w:r>
        <w:rPr>
          <w:rFonts w:ascii="宋体" w:hAnsi="宋体" w:eastAsia="宋体" w:cs="宋体"/>
          <w:b/>
          <w:bCs/>
          <w:sz w:val="24"/>
          <w:szCs w:val="24"/>
        </w:rPr>
        <w:t>情报数值设计</w:t>
      </w:r>
      <w:r>
        <w:rPr>
          <w:rFonts w:hint="eastAsia" w:ascii="宋体" w:hAnsi="宋体" w:cs="宋体"/>
          <w:b/>
          <w:bCs/>
          <w:sz w:val="24"/>
          <w:szCs w:val="24"/>
          <w:lang w:eastAsia="zh-CN"/>
        </w:rPr>
        <w:t>：</w:t>
      </w:r>
    </w:p>
    <w:p w14:paraId="131EF784">
      <w:pPr>
        <w:numPr>
          <w:ilvl w:val="0"/>
          <w:numId w:val="0"/>
        </w:numPr>
        <w:rPr>
          <w:rFonts w:hint="default" w:ascii="宋体" w:hAnsi="宋体" w:cs="宋体"/>
          <w:b w:val="0"/>
          <w:bCs w:val="0"/>
          <w:sz w:val="24"/>
          <w:szCs w:val="24"/>
          <w:u w:val="single"/>
          <w:lang w:val="en-US" w:eastAsia="zh-CN"/>
        </w:rPr>
      </w:pPr>
      <w:r>
        <w:rPr>
          <w:rFonts w:hint="eastAsia" w:ascii="宋体" w:hAnsi="宋体" w:cs="宋体"/>
          <w:b w:val="0"/>
          <w:bCs w:val="0"/>
          <w:sz w:val="24"/>
          <w:szCs w:val="24"/>
          <w:u w:val="single"/>
          <w:lang w:val="en-US" w:eastAsia="zh-CN"/>
        </w:rPr>
        <w:t>情报购买价格 固定</w:t>
      </w:r>
    </w:p>
    <w:p w14:paraId="0D67D096">
      <w:pPr>
        <w:numPr>
          <w:ilvl w:val="0"/>
          <w:numId w:val="0"/>
        </w:numPr>
        <w:rPr>
          <w:rFonts w:hint="default" w:ascii="宋体" w:hAnsi="宋体" w:cs="宋体"/>
          <w:b w:val="0"/>
          <w:bCs w:val="0"/>
          <w:sz w:val="24"/>
          <w:szCs w:val="24"/>
          <w:u w:val="single"/>
          <w:lang w:val="en-US" w:eastAsia="zh-CN"/>
        </w:rPr>
      </w:pPr>
      <w:r>
        <w:drawing>
          <wp:anchor distT="0" distB="0" distL="114300" distR="114300" simplePos="0" relativeHeight="251659264" behindDoc="0" locked="0" layoutInCell="1" allowOverlap="1">
            <wp:simplePos x="0" y="0"/>
            <wp:positionH relativeFrom="column">
              <wp:posOffset>1125855</wp:posOffset>
            </wp:positionH>
            <wp:positionV relativeFrom="paragraph">
              <wp:posOffset>416560</wp:posOffset>
            </wp:positionV>
            <wp:extent cx="2560320" cy="2489200"/>
            <wp:effectExtent l="0" t="0" r="0" b="1016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2560320" cy="2489200"/>
                    </a:xfrm>
                    <a:prstGeom prst="rect">
                      <a:avLst/>
                    </a:prstGeom>
                    <a:noFill/>
                    <a:ln>
                      <a:noFill/>
                    </a:ln>
                  </pic:spPr>
                </pic:pic>
              </a:graphicData>
            </a:graphic>
          </wp:anchor>
        </w:drawing>
      </w:r>
      <w:r>
        <w:rPr>
          <w:rFonts w:hint="eastAsia" w:ascii="宋体" w:hAnsi="宋体" w:cs="宋体"/>
          <w:b w:val="0"/>
          <w:bCs w:val="0"/>
          <w:sz w:val="24"/>
          <w:szCs w:val="24"/>
          <w:u w:val="single"/>
          <w:lang w:val="en-US" w:eastAsia="zh-CN"/>
        </w:rPr>
        <w:t>情报出售价值=事件收益（</w:t>
      </w:r>
      <w:r>
        <w:rPr>
          <w:rFonts w:ascii="宋体" w:hAnsi="宋体" w:eastAsia="宋体" w:cs="宋体"/>
          <w:b w:val="0"/>
          <w:bCs w:val="0"/>
          <w:snapToGrid w:val="0"/>
          <w:color w:val="000000"/>
          <w:kern w:val="0"/>
          <w:sz w:val="24"/>
          <w:szCs w:val="24"/>
          <w:u w:val="single"/>
          <w:lang w:val="en-US" w:eastAsia="zh-CN" w:bidi="ar"/>
        </w:rPr>
        <w:t>潜在收益</w:t>
      </w:r>
      <w:r>
        <w:rPr>
          <w:rFonts w:hint="eastAsia" w:ascii="宋体" w:hAnsi="宋体" w:cs="宋体"/>
          <w:b w:val="0"/>
          <w:bCs w:val="0"/>
          <w:snapToGrid w:val="0"/>
          <w:color w:val="000000"/>
          <w:kern w:val="0"/>
          <w:sz w:val="24"/>
          <w:szCs w:val="24"/>
          <w:u w:val="single"/>
          <w:lang w:val="en-US" w:eastAsia="zh-CN" w:bidi="ar"/>
        </w:rPr>
        <w:t>-</w:t>
      </w:r>
      <w:r>
        <w:rPr>
          <w:rFonts w:ascii="宋体" w:hAnsi="宋体" w:eastAsia="宋体" w:cs="宋体"/>
          <w:b w:val="0"/>
          <w:bCs w:val="0"/>
          <w:snapToGrid w:val="0"/>
          <w:color w:val="000000"/>
          <w:kern w:val="0"/>
          <w:sz w:val="24"/>
          <w:szCs w:val="24"/>
          <w:u w:val="single"/>
          <w:lang w:val="en-US" w:eastAsia="zh-CN" w:bidi="ar"/>
        </w:rPr>
        <w:t>购买价格</w:t>
      </w:r>
      <w:r>
        <w:rPr>
          <w:rFonts w:hint="eastAsia" w:ascii="宋体" w:hAnsi="宋体" w:cs="宋体"/>
          <w:b w:val="0"/>
          <w:bCs w:val="0"/>
          <w:sz w:val="24"/>
          <w:szCs w:val="24"/>
          <w:u w:val="single"/>
          <w:lang w:val="en-US" w:eastAsia="zh-CN"/>
        </w:rPr>
        <w:t>）×声望影响×剩余有效时间比</w:t>
      </w:r>
    </w:p>
    <w:p w14:paraId="792D30FA">
      <w:pPr>
        <w:numPr>
          <w:ilvl w:val="0"/>
          <w:numId w:val="0"/>
        </w:numPr>
        <w:rPr>
          <w:rFonts w:hint="eastAsia" w:ascii="宋体" w:hAnsi="宋体" w:cs="宋体"/>
          <w:b w:val="0"/>
          <w:bCs w:val="0"/>
          <w:sz w:val="24"/>
          <w:szCs w:val="24"/>
          <w:u w:val="single"/>
          <w:lang w:val="en-US" w:eastAsia="zh-CN"/>
        </w:rPr>
      </w:pPr>
    </w:p>
    <w:p w14:paraId="58D5C753">
      <w:pPr>
        <w:numPr>
          <w:ilvl w:val="0"/>
          <w:numId w:val="0"/>
        </w:numPr>
        <w:rPr>
          <w:rFonts w:hint="eastAsia" w:ascii="宋体" w:hAnsi="宋体" w:cs="宋体"/>
          <w:b w:val="0"/>
          <w:bCs w:val="0"/>
          <w:sz w:val="24"/>
          <w:szCs w:val="24"/>
          <w:u w:val="single"/>
          <w:lang w:val="en-US" w:eastAsia="zh-CN"/>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54B63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2130" w:type="dxa"/>
            <w:vAlign w:val="center"/>
          </w:tcPr>
          <w:p w14:paraId="59E3CA64">
            <w:pPr>
              <w:keepNext w:val="0"/>
              <w:keepLines w:val="0"/>
              <w:widowControl/>
              <w:suppressLineNumbers w:val="0"/>
              <w:jc w:val="center"/>
              <w:rPr>
                <w:rFonts w:hint="eastAsia" w:ascii="宋体" w:hAnsi="宋体" w:cs="宋体"/>
                <w:b w:val="0"/>
                <w:bCs w:val="0"/>
                <w:sz w:val="24"/>
                <w:szCs w:val="24"/>
                <w:u w:val="single"/>
                <w:vertAlign w:val="baseline"/>
                <w:lang w:val="en-US" w:eastAsia="zh-CN"/>
              </w:rPr>
            </w:pPr>
            <w:r>
              <w:rPr>
                <w:rFonts w:ascii="宋体" w:hAnsi="宋体" w:eastAsia="宋体" w:cs="宋体"/>
                <w:b/>
                <w:bCs/>
                <w:snapToGrid w:val="0"/>
                <w:color w:val="000000"/>
                <w:kern w:val="0"/>
                <w:sz w:val="24"/>
                <w:szCs w:val="24"/>
                <w:lang w:val="en-US" w:eastAsia="zh-CN" w:bidi="ar"/>
              </w:rPr>
              <w:t>情报等级</w:t>
            </w:r>
          </w:p>
        </w:tc>
        <w:tc>
          <w:tcPr>
            <w:tcW w:w="2130" w:type="dxa"/>
            <w:vAlign w:val="center"/>
          </w:tcPr>
          <w:p w14:paraId="6DED5E15">
            <w:pPr>
              <w:keepNext w:val="0"/>
              <w:keepLines w:val="0"/>
              <w:widowControl/>
              <w:suppressLineNumbers w:val="0"/>
              <w:jc w:val="center"/>
              <w:rPr>
                <w:rFonts w:hint="eastAsia" w:ascii="宋体" w:hAnsi="宋体" w:cs="宋体"/>
                <w:b w:val="0"/>
                <w:bCs w:val="0"/>
                <w:sz w:val="24"/>
                <w:szCs w:val="24"/>
                <w:u w:val="single"/>
                <w:vertAlign w:val="baseline"/>
                <w:lang w:val="en-US" w:eastAsia="zh-CN"/>
              </w:rPr>
            </w:pPr>
            <w:r>
              <w:rPr>
                <w:rFonts w:ascii="宋体" w:hAnsi="宋体" w:eastAsia="宋体" w:cs="宋体"/>
                <w:b/>
                <w:bCs/>
                <w:snapToGrid w:val="0"/>
                <w:color w:val="000000"/>
                <w:kern w:val="0"/>
                <w:sz w:val="24"/>
                <w:szCs w:val="24"/>
                <w:lang w:val="en-US" w:eastAsia="zh-CN" w:bidi="ar"/>
              </w:rPr>
              <w:t>购买价格</w:t>
            </w:r>
          </w:p>
        </w:tc>
        <w:tc>
          <w:tcPr>
            <w:tcW w:w="2131" w:type="dxa"/>
            <w:vAlign w:val="center"/>
          </w:tcPr>
          <w:p w14:paraId="7DC5ED35">
            <w:pPr>
              <w:keepNext w:val="0"/>
              <w:keepLines w:val="0"/>
              <w:widowControl/>
              <w:suppressLineNumbers w:val="0"/>
              <w:jc w:val="center"/>
              <w:rPr>
                <w:rFonts w:hint="eastAsia" w:ascii="宋体" w:hAnsi="宋体" w:cs="宋体"/>
                <w:b w:val="0"/>
                <w:bCs w:val="0"/>
                <w:sz w:val="24"/>
                <w:szCs w:val="24"/>
                <w:u w:val="single"/>
                <w:vertAlign w:val="baseline"/>
                <w:lang w:val="en-US" w:eastAsia="zh-CN"/>
              </w:rPr>
            </w:pPr>
            <w:r>
              <w:rPr>
                <w:rFonts w:ascii="宋体" w:hAnsi="宋体" w:eastAsia="宋体" w:cs="宋体"/>
                <w:b/>
                <w:bCs/>
                <w:snapToGrid w:val="0"/>
                <w:color w:val="000000"/>
                <w:kern w:val="0"/>
                <w:sz w:val="24"/>
                <w:szCs w:val="24"/>
                <w:lang w:val="en-US" w:eastAsia="zh-CN" w:bidi="ar"/>
              </w:rPr>
              <w:t>潜在收益</w:t>
            </w:r>
          </w:p>
        </w:tc>
        <w:tc>
          <w:tcPr>
            <w:tcW w:w="2131" w:type="dxa"/>
            <w:vAlign w:val="center"/>
          </w:tcPr>
          <w:p w14:paraId="743F32EB">
            <w:pPr>
              <w:keepNext w:val="0"/>
              <w:keepLines w:val="0"/>
              <w:widowControl/>
              <w:suppressLineNumbers w:val="0"/>
              <w:jc w:val="center"/>
              <w:rPr>
                <w:rFonts w:hint="eastAsia" w:ascii="宋体" w:hAnsi="宋体" w:cs="宋体"/>
                <w:b w:val="0"/>
                <w:bCs w:val="0"/>
                <w:sz w:val="24"/>
                <w:szCs w:val="24"/>
                <w:u w:val="single"/>
                <w:vertAlign w:val="baseline"/>
                <w:lang w:val="en-US" w:eastAsia="zh-CN"/>
              </w:rPr>
            </w:pPr>
            <w:r>
              <w:rPr>
                <w:rFonts w:ascii="宋体" w:hAnsi="宋体" w:eastAsia="宋体" w:cs="宋体"/>
                <w:b/>
                <w:bCs/>
                <w:snapToGrid w:val="0"/>
                <w:color w:val="000000"/>
                <w:kern w:val="0"/>
                <w:sz w:val="24"/>
                <w:szCs w:val="24"/>
                <w:lang w:val="en-US" w:eastAsia="zh-CN" w:bidi="ar"/>
              </w:rPr>
              <w:t>事件持续时间</w:t>
            </w:r>
          </w:p>
        </w:tc>
      </w:tr>
      <w:tr w14:paraId="0029F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317E101E">
            <w:pPr>
              <w:keepNext w:val="0"/>
              <w:keepLines w:val="0"/>
              <w:widowControl/>
              <w:suppressLineNumbers w:val="0"/>
              <w:jc w:val="left"/>
              <w:rPr>
                <w:rFonts w:hint="eastAsia" w:ascii="宋体" w:hAnsi="宋体" w:cs="宋体"/>
                <w:b w:val="0"/>
                <w:bCs w:val="0"/>
                <w:sz w:val="24"/>
                <w:szCs w:val="24"/>
                <w:u w:val="single"/>
                <w:vertAlign w:val="baseline"/>
                <w:lang w:val="en-US" w:eastAsia="zh-CN"/>
              </w:rPr>
            </w:pPr>
            <w:r>
              <w:rPr>
                <w:rFonts w:ascii="宋体" w:hAnsi="宋体" w:eastAsia="宋体" w:cs="宋体"/>
                <w:snapToGrid w:val="0"/>
                <w:color w:val="000000"/>
                <w:kern w:val="0"/>
                <w:sz w:val="24"/>
                <w:szCs w:val="24"/>
                <w:lang w:val="en-US" w:eastAsia="zh-CN" w:bidi="ar"/>
              </w:rPr>
              <w:t>传闻</w:t>
            </w:r>
          </w:p>
        </w:tc>
        <w:tc>
          <w:tcPr>
            <w:tcW w:w="2130" w:type="dxa"/>
            <w:vAlign w:val="center"/>
          </w:tcPr>
          <w:p w14:paraId="07D07297">
            <w:pPr>
              <w:keepNext w:val="0"/>
              <w:keepLines w:val="0"/>
              <w:widowControl/>
              <w:suppressLineNumbers w:val="0"/>
              <w:jc w:val="right"/>
              <w:rPr>
                <w:rFonts w:hint="eastAsia" w:ascii="宋体" w:hAnsi="宋体" w:cs="宋体"/>
                <w:b w:val="0"/>
                <w:bCs w:val="0"/>
                <w:sz w:val="24"/>
                <w:szCs w:val="24"/>
                <w:u w:val="single"/>
                <w:vertAlign w:val="baseline"/>
                <w:lang w:val="en-US" w:eastAsia="zh-CN"/>
              </w:rPr>
            </w:pPr>
            <w:r>
              <w:rPr>
                <w:rFonts w:ascii="宋体" w:hAnsi="宋体" w:eastAsia="宋体" w:cs="宋体"/>
                <w:snapToGrid w:val="0"/>
                <w:color w:val="000000"/>
                <w:kern w:val="0"/>
                <w:sz w:val="24"/>
                <w:szCs w:val="24"/>
                <w:lang w:val="en-US" w:eastAsia="zh-CN" w:bidi="ar"/>
              </w:rPr>
              <w:t>100</w:t>
            </w:r>
          </w:p>
        </w:tc>
        <w:tc>
          <w:tcPr>
            <w:tcW w:w="2131" w:type="dxa"/>
            <w:vAlign w:val="center"/>
          </w:tcPr>
          <w:p w14:paraId="04289866">
            <w:pPr>
              <w:keepNext w:val="0"/>
              <w:keepLines w:val="0"/>
              <w:widowControl/>
              <w:suppressLineNumbers w:val="0"/>
              <w:jc w:val="right"/>
              <w:rPr>
                <w:rFonts w:hint="eastAsia" w:ascii="宋体" w:hAnsi="宋体" w:cs="宋体"/>
                <w:b w:val="0"/>
                <w:bCs w:val="0"/>
                <w:sz w:val="24"/>
                <w:szCs w:val="24"/>
                <w:u w:val="single"/>
                <w:vertAlign w:val="baseline"/>
                <w:lang w:val="en-US" w:eastAsia="zh-CN"/>
              </w:rPr>
            </w:pPr>
            <w:r>
              <w:rPr>
                <w:rFonts w:ascii="宋体" w:hAnsi="宋体" w:eastAsia="宋体" w:cs="宋体"/>
                <w:snapToGrid w:val="0"/>
                <w:color w:val="000000"/>
                <w:kern w:val="0"/>
                <w:sz w:val="24"/>
                <w:szCs w:val="24"/>
                <w:lang w:val="en-US" w:eastAsia="zh-CN" w:bidi="ar"/>
              </w:rPr>
              <w:t>100～300</w:t>
            </w:r>
          </w:p>
        </w:tc>
        <w:tc>
          <w:tcPr>
            <w:tcW w:w="2131" w:type="dxa"/>
            <w:vAlign w:val="center"/>
          </w:tcPr>
          <w:p w14:paraId="0185AD51">
            <w:pPr>
              <w:keepNext w:val="0"/>
              <w:keepLines w:val="0"/>
              <w:widowControl/>
              <w:suppressLineNumbers w:val="0"/>
              <w:jc w:val="right"/>
              <w:rPr>
                <w:rFonts w:hint="eastAsia" w:ascii="宋体" w:hAnsi="宋体" w:cs="宋体"/>
                <w:b w:val="0"/>
                <w:bCs w:val="0"/>
                <w:sz w:val="24"/>
                <w:szCs w:val="24"/>
                <w:u w:val="single"/>
                <w:vertAlign w:val="baseline"/>
                <w:lang w:val="en-US" w:eastAsia="zh-CN"/>
              </w:rPr>
            </w:pPr>
            <w:r>
              <w:rPr>
                <w:rFonts w:ascii="宋体" w:hAnsi="宋体" w:eastAsia="宋体" w:cs="宋体"/>
                <w:snapToGrid w:val="0"/>
                <w:color w:val="000000"/>
                <w:kern w:val="0"/>
                <w:sz w:val="24"/>
                <w:szCs w:val="24"/>
                <w:lang w:val="en-US" w:eastAsia="zh-CN" w:bidi="ar"/>
              </w:rPr>
              <w:t>20～40天</w:t>
            </w:r>
          </w:p>
        </w:tc>
      </w:tr>
      <w:tr w14:paraId="588D5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180B720B">
            <w:pPr>
              <w:keepNext w:val="0"/>
              <w:keepLines w:val="0"/>
              <w:widowControl/>
              <w:suppressLineNumbers w:val="0"/>
              <w:jc w:val="left"/>
              <w:rPr>
                <w:rFonts w:hint="eastAsia" w:ascii="宋体" w:hAnsi="宋体" w:cs="宋体"/>
                <w:b w:val="0"/>
                <w:bCs w:val="0"/>
                <w:sz w:val="24"/>
                <w:szCs w:val="24"/>
                <w:u w:val="single"/>
                <w:vertAlign w:val="baseline"/>
                <w:lang w:val="en-US" w:eastAsia="zh-CN"/>
              </w:rPr>
            </w:pPr>
            <w:r>
              <w:rPr>
                <w:rFonts w:ascii="宋体" w:hAnsi="宋体" w:eastAsia="宋体" w:cs="宋体"/>
                <w:snapToGrid w:val="0"/>
                <w:color w:val="000000"/>
                <w:kern w:val="0"/>
                <w:sz w:val="24"/>
                <w:szCs w:val="24"/>
                <w:lang w:val="en-US" w:eastAsia="zh-CN" w:bidi="ar"/>
              </w:rPr>
              <w:t>普通</w:t>
            </w:r>
          </w:p>
        </w:tc>
        <w:tc>
          <w:tcPr>
            <w:tcW w:w="2130" w:type="dxa"/>
            <w:vAlign w:val="center"/>
          </w:tcPr>
          <w:p w14:paraId="1A745D73">
            <w:pPr>
              <w:keepNext w:val="0"/>
              <w:keepLines w:val="0"/>
              <w:widowControl/>
              <w:suppressLineNumbers w:val="0"/>
              <w:jc w:val="right"/>
              <w:rPr>
                <w:rFonts w:hint="eastAsia" w:ascii="宋体" w:hAnsi="宋体" w:cs="宋体"/>
                <w:b w:val="0"/>
                <w:bCs w:val="0"/>
                <w:sz w:val="24"/>
                <w:szCs w:val="24"/>
                <w:u w:val="single"/>
                <w:vertAlign w:val="baseline"/>
                <w:lang w:val="en-US" w:eastAsia="zh-CN"/>
              </w:rPr>
            </w:pPr>
            <w:r>
              <w:rPr>
                <w:rFonts w:ascii="宋体" w:hAnsi="宋体" w:eastAsia="宋体" w:cs="宋体"/>
                <w:snapToGrid w:val="0"/>
                <w:color w:val="000000"/>
                <w:kern w:val="0"/>
                <w:sz w:val="24"/>
                <w:szCs w:val="24"/>
                <w:lang w:val="en-US" w:eastAsia="zh-CN" w:bidi="ar"/>
              </w:rPr>
              <w:t>300</w:t>
            </w:r>
          </w:p>
        </w:tc>
        <w:tc>
          <w:tcPr>
            <w:tcW w:w="2131" w:type="dxa"/>
            <w:vAlign w:val="center"/>
          </w:tcPr>
          <w:p w14:paraId="50461FB5">
            <w:pPr>
              <w:keepNext w:val="0"/>
              <w:keepLines w:val="0"/>
              <w:widowControl/>
              <w:suppressLineNumbers w:val="0"/>
              <w:jc w:val="right"/>
              <w:rPr>
                <w:rFonts w:hint="eastAsia" w:ascii="宋体" w:hAnsi="宋体" w:cs="宋体"/>
                <w:b w:val="0"/>
                <w:bCs w:val="0"/>
                <w:sz w:val="24"/>
                <w:szCs w:val="24"/>
                <w:u w:val="single"/>
                <w:vertAlign w:val="baseline"/>
                <w:lang w:val="en-US" w:eastAsia="zh-CN"/>
              </w:rPr>
            </w:pPr>
            <w:r>
              <w:rPr>
                <w:rFonts w:ascii="宋体" w:hAnsi="宋体" w:eastAsia="宋体" w:cs="宋体"/>
                <w:snapToGrid w:val="0"/>
                <w:color w:val="000000"/>
                <w:kern w:val="0"/>
                <w:sz w:val="24"/>
                <w:szCs w:val="24"/>
                <w:lang w:val="en-US" w:eastAsia="zh-CN" w:bidi="ar"/>
              </w:rPr>
              <w:t>300～600</w:t>
            </w:r>
          </w:p>
        </w:tc>
        <w:tc>
          <w:tcPr>
            <w:tcW w:w="2131" w:type="dxa"/>
            <w:vAlign w:val="center"/>
          </w:tcPr>
          <w:p w14:paraId="520CFE42">
            <w:pPr>
              <w:keepNext w:val="0"/>
              <w:keepLines w:val="0"/>
              <w:widowControl/>
              <w:suppressLineNumbers w:val="0"/>
              <w:jc w:val="right"/>
              <w:rPr>
                <w:rFonts w:hint="eastAsia" w:ascii="宋体" w:hAnsi="宋体" w:cs="宋体"/>
                <w:b w:val="0"/>
                <w:bCs w:val="0"/>
                <w:sz w:val="24"/>
                <w:szCs w:val="24"/>
                <w:u w:val="single"/>
                <w:vertAlign w:val="baseline"/>
                <w:lang w:val="en-US" w:eastAsia="zh-CN"/>
              </w:rPr>
            </w:pPr>
            <w:r>
              <w:rPr>
                <w:rFonts w:ascii="宋体" w:hAnsi="宋体" w:eastAsia="宋体" w:cs="宋体"/>
                <w:snapToGrid w:val="0"/>
                <w:color w:val="000000"/>
                <w:kern w:val="0"/>
                <w:sz w:val="24"/>
                <w:szCs w:val="24"/>
                <w:lang w:val="en-US" w:eastAsia="zh-CN" w:bidi="ar"/>
              </w:rPr>
              <w:t>20～30天</w:t>
            </w:r>
          </w:p>
        </w:tc>
      </w:tr>
      <w:tr w14:paraId="7EB6B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500A9798">
            <w:pPr>
              <w:keepNext w:val="0"/>
              <w:keepLines w:val="0"/>
              <w:widowControl/>
              <w:suppressLineNumbers w:val="0"/>
              <w:jc w:val="left"/>
              <w:rPr>
                <w:rFonts w:hint="eastAsia" w:ascii="宋体" w:hAnsi="宋体" w:cs="宋体"/>
                <w:b w:val="0"/>
                <w:bCs w:val="0"/>
                <w:sz w:val="24"/>
                <w:szCs w:val="24"/>
                <w:u w:val="single"/>
                <w:vertAlign w:val="baseline"/>
                <w:lang w:val="en-US" w:eastAsia="zh-CN"/>
              </w:rPr>
            </w:pPr>
            <w:r>
              <w:rPr>
                <w:rFonts w:ascii="宋体" w:hAnsi="宋体" w:eastAsia="宋体" w:cs="宋体"/>
                <w:snapToGrid w:val="0"/>
                <w:color w:val="000000"/>
                <w:kern w:val="0"/>
                <w:sz w:val="24"/>
                <w:szCs w:val="24"/>
                <w:lang w:val="en-US" w:eastAsia="zh-CN" w:bidi="ar"/>
              </w:rPr>
              <w:t>可靠</w:t>
            </w:r>
          </w:p>
        </w:tc>
        <w:tc>
          <w:tcPr>
            <w:tcW w:w="2130" w:type="dxa"/>
            <w:vAlign w:val="center"/>
          </w:tcPr>
          <w:p w14:paraId="7A3ADEC5">
            <w:pPr>
              <w:keepNext w:val="0"/>
              <w:keepLines w:val="0"/>
              <w:widowControl/>
              <w:suppressLineNumbers w:val="0"/>
              <w:jc w:val="right"/>
              <w:rPr>
                <w:rFonts w:hint="eastAsia" w:ascii="宋体" w:hAnsi="宋体" w:cs="宋体"/>
                <w:b w:val="0"/>
                <w:bCs w:val="0"/>
                <w:sz w:val="24"/>
                <w:szCs w:val="24"/>
                <w:u w:val="single"/>
                <w:vertAlign w:val="baseline"/>
                <w:lang w:val="en-US" w:eastAsia="zh-CN"/>
              </w:rPr>
            </w:pPr>
            <w:r>
              <w:rPr>
                <w:rFonts w:ascii="宋体" w:hAnsi="宋体" w:eastAsia="宋体" w:cs="宋体"/>
                <w:snapToGrid w:val="0"/>
                <w:color w:val="000000"/>
                <w:kern w:val="0"/>
                <w:sz w:val="24"/>
                <w:szCs w:val="24"/>
                <w:lang w:val="en-US" w:eastAsia="zh-CN" w:bidi="ar"/>
              </w:rPr>
              <w:t>600</w:t>
            </w:r>
          </w:p>
        </w:tc>
        <w:tc>
          <w:tcPr>
            <w:tcW w:w="2131" w:type="dxa"/>
            <w:vAlign w:val="center"/>
          </w:tcPr>
          <w:p w14:paraId="7ADCC75B">
            <w:pPr>
              <w:keepNext w:val="0"/>
              <w:keepLines w:val="0"/>
              <w:widowControl/>
              <w:suppressLineNumbers w:val="0"/>
              <w:jc w:val="right"/>
              <w:rPr>
                <w:rFonts w:hint="eastAsia" w:ascii="宋体" w:hAnsi="宋体" w:cs="宋体"/>
                <w:b w:val="0"/>
                <w:bCs w:val="0"/>
                <w:sz w:val="24"/>
                <w:szCs w:val="24"/>
                <w:u w:val="single"/>
                <w:vertAlign w:val="baseline"/>
                <w:lang w:val="en-US" w:eastAsia="zh-CN"/>
              </w:rPr>
            </w:pPr>
            <w:r>
              <w:rPr>
                <w:rFonts w:ascii="宋体" w:hAnsi="宋体" w:eastAsia="宋体" w:cs="宋体"/>
                <w:snapToGrid w:val="0"/>
                <w:color w:val="000000"/>
                <w:kern w:val="0"/>
                <w:sz w:val="24"/>
                <w:szCs w:val="24"/>
                <w:lang w:val="en-US" w:eastAsia="zh-CN" w:bidi="ar"/>
              </w:rPr>
              <w:t>600～1200</w:t>
            </w:r>
          </w:p>
        </w:tc>
        <w:tc>
          <w:tcPr>
            <w:tcW w:w="2131" w:type="dxa"/>
            <w:vAlign w:val="center"/>
          </w:tcPr>
          <w:p w14:paraId="1158BDB5">
            <w:pPr>
              <w:keepNext w:val="0"/>
              <w:keepLines w:val="0"/>
              <w:widowControl/>
              <w:suppressLineNumbers w:val="0"/>
              <w:jc w:val="right"/>
              <w:rPr>
                <w:rFonts w:hint="eastAsia" w:ascii="宋体" w:hAnsi="宋体" w:cs="宋体"/>
                <w:b w:val="0"/>
                <w:bCs w:val="0"/>
                <w:sz w:val="24"/>
                <w:szCs w:val="24"/>
                <w:u w:val="single"/>
                <w:vertAlign w:val="baseline"/>
                <w:lang w:val="en-US" w:eastAsia="zh-CN"/>
              </w:rPr>
            </w:pPr>
            <w:r>
              <w:rPr>
                <w:rFonts w:ascii="宋体" w:hAnsi="宋体" w:eastAsia="宋体" w:cs="宋体"/>
                <w:snapToGrid w:val="0"/>
                <w:color w:val="000000"/>
                <w:kern w:val="0"/>
                <w:sz w:val="24"/>
                <w:szCs w:val="24"/>
                <w:lang w:val="en-US" w:eastAsia="zh-CN" w:bidi="ar"/>
              </w:rPr>
              <w:t>15～25天</w:t>
            </w:r>
          </w:p>
        </w:tc>
      </w:tr>
      <w:tr w14:paraId="51A5C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20BE190E">
            <w:pPr>
              <w:keepNext w:val="0"/>
              <w:keepLines w:val="0"/>
              <w:widowControl/>
              <w:suppressLineNumbers w:val="0"/>
              <w:jc w:val="left"/>
              <w:rPr>
                <w:rFonts w:hint="eastAsia" w:ascii="宋体" w:hAnsi="宋体" w:cs="宋体"/>
                <w:b w:val="0"/>
                <w:bCs w:val="0"/>
                <w:sz w:val="24"/>
                <w:szCs w:val="24"/>
                <w:u w:val="single"/>
                <w:vertAlign w:val="baseline"/>
                <w:lang w:val="en-US" w:eastAsia="zh-CN"/>
              </w:rPr>
            </w:pPr>
            <w:r>
              <w:rPr>
                <w:rFonts w:ascii="宋体" w:hAnsi="宋体" w:eastAsia="宋体" w:cs="宋体"/>
                <w:snapToGrid w:val="0"/>
                <w:color w:val="000000"/>
                <w:kern w:val="0"/>
                <w:sz w:val="24"/>
                <w:szCs w:val="24"/>
                <w:lang w:val="en-US" w:eastAsia="zh-CN" w:bidi="ar"/>
              </w:rPr>
              <w:t>内部</w:t>
            </w:r>
          </w:p>
        </w:tc>
        <w:tc>
          <w:tcPr>
            <w:tcW w:w="2130" w:type="dxa"/>
            <w:vAlign w:val="center"/>
          </w:tcPr>
          <w:p w14:paraId="3E72A608">
            <w:pPr>
              <w:keepNext w:val="0"/>
              <w:keepLines w:val="0"/>
              <w:widowControl/>
              <w:suppressLineNumbers w:val="0"/>
              <w:jc w:val="right"/>
              <w:rPr>
                <w:rFonts w:hint="eastAsia" w:ascii="宋体" w:hAnsi="宋体" w:cs="宋体"/>
                <w:b w:val="0"/>
                <w:bCs w:val="0"/>
                <w:sz w:val="24"/>
                <w:szCs w:val="24"/>
                <w:u w:val="single"/>
                <w:vertAlign w:val="baseline"/>
                <w:lang w:val="en-US" w:eastAsia="zh-CN"/>
              </w:rPr>
            </w:pPr>
            <w:r>
              <w:rPr>
                <w:rFonts w:ascii="宋体" w:hAnsi="宋体" w:eastAsia="宋体" w:cs="宋体"/>
                <w:snapToGrid w:val="0"/>
                <w:color w:val="000000"/>
                <w:kern w:val="0"/>
                <w:sz w:val="24"/>
                <w:szCs w:val="24"/>
                <w:lang w:val="en-US" w:eastAsia="zh-CN" w:bidi="ar"/>
              </w:rPr>
              <w:t>1000</w:t>
            </w:r>
          </w:p>
        </w:tc>
        <w:tc>
          <w:tcPr>
            <w:tcW w:w="2131" w:type="dxa"/>
            <w:vAlign w:val="center"/>
          </w:tcPr>
          <w:p w14:paraId="7966B524">
            <w:pPr>
              <w:keepNext w:val="0"/>
              <w:keepLines w:val="0"/>
              <w:widowControl/>
              <w:suppressLineNumbers w:val="0"/>
              <w:jc w:val="right"/>
              <w:rPr>
                <w:rFonts w:hint="eastAsia" w:ascii="宋体" w:hAnsi="宋体" w:cs="宋体"/>
                <w:b w:val="0"/>
                <w:bCs w:val="0"/>
                <w:sz w:val="24"/>
                <w:szCs w:val="24"/>
                <w:u w:val="single"/>
                <w:vertAlign w:val="baseline"/>
                <w:lang w:val="en-US" w:eastAsia="zh-CN"/>
              </w:rPr>
            </w:pPr>
            <w:r>
              <w:rPr>
                <w:rFonts w:ascii="宋体" w:hAnsi="宋体" w:eastAsia="宋体" w:cs="宋体"/>
                <w:snapToGrid w:val="0"/>
                <w:color w:val="000000"/>
                <w:kern w:val="0"/>
                <w:sz w:val="24"/>
                <w:szCs w:val="24"/>
                <w:lang w:val="en-US" w:eastAsia="zh-CN" w:bidi="ar"/>
              </w:rPr>
              <w:t>1000～2500</w:t>
            </w:r>
          </w:p>
        </w:tc>
        <w:tc>
          <w:tcPr>
            <w:tcW w:w="2131" w:type="dxa"/>
            <w:vAlign w:val="center"/>
          </w:tcPr>
          <w:p w14:paraId="0C70B0FE">
            <w:pPr>
              <w:keepNext w:val="0"/>
              <w:keepLines w:val="0"/>
              <w:widowControl/>
              <w:suppressLineNumbers w:val="0"/>
              <w:jc w:val="right"/>
              <w:rPr>
                <w:rFonts w:hint="eastAsia" w:ascii="宋体" w:hAnsi="宋体" w:cs="宋体"/>
                <w:b w:val="0"/>
                <w:bCs w:val="0"/>
                <w:sz w:val="24"/>
                <w:szCs w:val="24"/>
                <w:u w:val="single"/>
                <w:vertAlign w:val="baseline"/>
                <w:lang w:val="en-US" w:eastAsia="zh-CN"/>
              </w:rPr>
            </w:pPr>
            <w:r>
              <w:rPr>
                <w:rFonts w:ascii="宋体" w:hAnsi="宋体" w:eastAsia="宋体" w:cs="宋体"/>
                <w:snapToGrid w:val="0"/>
                <w:color w:val="000000"/>
                <w:kern w:val="0"/>
                <w:sz w:val="24"/>
                <w:szCs w:val="24"/>
                <w:lang w:val="en-US" w:eastAsia="zh-CN" w:bidi="ar"/>
              </w:rPr>
              <w:t>10～20天</w:t>
            </w:r>
          </w:p>
        </w:tc>
      </w:tr>
    </w:tbl>
    <w:p w14:paraId="7F439E82">
      <w:pPr>
        <w:numPr>
          <w:ilvl w:val="0"/>
          <w:numId w:val="0"/>
        </w:numPr>
        <w:rPr>
          <w:rFonts w:hint="eastAsia" w:ascii="宋体" w:hAnsi="宋体" w:cs="宋体"/>
          <w:b/>
          <w:bCs/>
          <w:sz w:val="24"/>
          <w:szCs w:val="24"/>
          <w:lang w:eastAsia="zh-CN"/>
        </w:rPr>
      </w:pPr>
      <w:r>
        <w:rPr>
          <w:rFonts w:ascii="宋体" w:hAnsi="宋体" w:eastAsia="宋体" w:cs="宋体"/>
          <w:b/>
          <w:bCs/>
          <w:sz w:val="24"/>
          <w:szCs w:val="24"/>
        </w:rPr>
        <w:t>情报时间窗口</w:t>
      </w:r>
      <w:r>
        <w:rPr>
          <w:rFonts w:hint="eastAsia" w:ascii="宋体" w:hAnsi="宋体" w:cs="宋体"/>
          <w:b/>
          <w:bCs/>
          <w:sz w:val="24"/>
          <w:szCs w:val="24"/>
          <w:lang w:eastAsia="zh-CN"/>
        </w:rPr>
        <w:t>：</w:t>
      </w:r>
    </w:p>
    <w:p w14:paraId="0DAA1713">
      <w:pPr>
        <w:pStyle w:val="5"/>
        <w:keepNext w:val="0"/>
        <w:keepLines w:val="0"/>
        <w:widowControl/>
        <w:suppressLineNumbers w:val="0"/>
        <w:rPr>
          <w:rFonts w:hint="eastAsia" w:eastAsia="宋体"/>
          <w:lang w:eastAsia="zh-CN"/>
        </w:rPr>
      </w:pPr>
      <w:r>
        <w:rPr>
          <w:rFonts w:hint="eastAsia"/>
          <w:lang w:val="en-US" w:eastAsia="zh-CN"/>
        </w:rPr>
        <w:t>举例:假设</w:t>
      </w:r>
      <w:r>
        <w:t>玩家在马尼拉购买情报：第30天总督庆典，大量采购瓷器持续15天</w:t>
      </w:r>
      <w:r>
        <w:rPr>
          <w:rFonts w:hint="eastAsia"/>
          <w:lang w:eastAsia="zh-CN"/>
        </w:rPr>
        <w:t>。</w:t>
      </w:r>
    </w:p>
    <w:p w14:paraId="6A171A86">
      <w:pPr>
        <w:pStyle w:val="5"/>
        <w:keepNext w:val="0"/>
        <w:keepLines w:val="0"/>
        <w:widowControl/>
        <w:suppressLineNumbers w:val="0"/>
        <w:spacing w:before="0" w:beforeAutospacing="1" w:after="0" w:afterAutospacing="1"/>
        <w:ind w:left="0" w:right="0"/>
        <w:rPr>
          <w:rFonts w:ascii="宋体" w:hAnsi="宋体" w:eastAsia="宋体" w:cs="宋体"/>
          <w:sz w:val="24"/>
          <w:szCs w:val="24"/>
        </w:rPr>
      </w:pPr>
      <w:r>
        <w:rPr>
          <w:rFonts w:hint="eastAsia"/>
          <w:lang w:val="en-US" w:eastAsia="zh-CN"/>
        </w:rPr>
        <w:t>玩家需要考虑的来回航程、天气影响、事件截止日期。这样的设计</w:t>
      </w:r>
      <w:r>
        <w:rPr>
          <w:rFonts w:ascii="宋体" w:hAnsi="宋体" w:eastAsia="宋体" w:cs="宋体"/>
          <w:sz w:val="24"/>
          <w:szCs w:val="24"/>
        </w:rPr>
        <w:t>航行风险直接转化为情报价值风险。</w:t>
      </w:r>
    </w:p>
    <w:p w14:paraId="3325D205">
      <w:pPr>
        <w:pStyle w:val="5"/>
        <w:keepNext w:val="0"/>
        <w:keepLines w:val="0"/>
        <w:widowControl/>
        <w:suppressLineNumbers w:val="0"/>
        <w:spacing w:before="0" w:beforeAutospacing="1" w:after="0" w:afterAutospacing="1"/>
        <w:ind w:left="0" w:right="0"/>
        <w:rPr>
          <w:rFonts w:hint="default" w:eastAsia="宋体"/>
          <w:u w:val="single"/>
          <w:lang w:val="en-US" w:eastAsia="zh-CN"/>
        </w:rPr>
      </w:pPr>
      <w:r>
        <w:rPr>
          <w:rFonts w:hint="eastAsia" w:ascii="宋体" w:hAnsi="宋体" w:cs="宋体"/>
          <w:sz w:val="24"/>
          <w:szCs w:val="24"/>
          <w:u w:val="single"/>
          <w:lang w:val="en-US" w:eastAsia="zh-CN"/>
        </w:rPr>
        <w:t>PS:</w:t>
      </w:r>
      <w:r>
        <w:rPr>
          <w:rFonts w:hint="eastAsia"/>
          <w:u w:val="single"/>
          <w:lang w:val="en-US" w:eastAsia="zh-CN"/>
        </w:rPr>
        <w:t>详情见航海情报事件分析表</w:t>
      </w:r>
    </w:p>
    <w:p w14:paraId="00D18880">
      <w:pPr>
        <w:numPr>
          <w:ilvl w:val="0"/>
          <w:numId w:val="0"/>
        </w:numPr>
        <w:rPr>
          <w:rFonts w:hint="eastAsia" w:ascii="宋体" w:hAnsi="宋体" w:cs="宋体"/>
          <w:b/>
          <w:bCs/>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06E4A5"/>
    <w:multiLevelType w:val="singleLevel"/>
    <w:tmpl w:val="9906E4A5"/>
    <w:lvl w:ilvl="0" w:tentative="0">
      <w:start w:val="5"/>
      <w:numFmt w:val="decimal"/>
      <w:suff w:val="space"/>
      <w:lvlText w:val="%1."/>
      <w:lvlJc w:val="left"/>
    </w:lvl>
  </w:abstractNum>
  <w:abstractNum w:abstractNumId="1">
    <w:nsid w:val="B8DBCABF"/>
    <w:multiLevelType w:val="singleLevel"/>
    <w:tmpl w:val="B8DBCABF"/>
    <w:lvl w:ilvl="0" w:tentative="0">
      <w:start w:val="1"/>
      <w:numFmt w:val="decimal"/>
      <w:lvlText w:val="%1."/>
      <w:lvlJc w:val="left"/>
      <w:pPr>
        <w:tabs>
          <w:tab w:val="left" w:pos="312"/>
        </w:tabs>
      </w:pPr>
    </w:lvl>
  </w:abstractNum>
  <w:abstractNum w:abstractNumId="2">
    <w:nsid w:val="383DF813"/>
    <w:multiLevelType w:val="singleLevel"/>
    <w:tmpl w:val="383DF813"/>
    <w:lvl w:ilvl="0" w:tentative="0">
      <w:start w:val="2"/>
      <w:numFmt w:val="chineseCounting"/>
      <w:suff w:val="nothing"/>
      <w:lvlText w:val="%1、"/>
      <w:lvlJc w:val="left"/>
      <w:rPr>
        <w:rFonts w:hint="eastAsia"/>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2D41855"/>
    <w:rsid w:val="03C52CBC"/>
    <w:rsid w:val="1BDD2D6F"/>
    <w:rsid w:val="1BEB6903"/>
    <w:rsid w:val="1DE01259"/>
    <w:rsid w:val="1F54140D"/>
    <w:rsid w:val="23272B22"/>
    <w:rsid w:val="37E45DAB"/>
    <w:rsid w:val="38FB5DCA"/>
    <w:rsid w:val="3F2706D4"/>
    <w:rsid w:val="42D41855"/>
    <w:rsid w:val="466701DD"/>
    <w:rsid w:val="58274C22"/>
    <w:rsid w:val="60FE02EE"/>
    <w:rsid w:val="675445CD"/>
    <w:rsid w:val="68A8338A"/>
    <w:rsid w:val="7E6372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240" w:lineRule="auto"/>
      <w:jc w:val="left"/>
      <w:textAlignment w:val="baseline"/>
    </w:pPr>
    <w:rPr>
      <w:rFonts w:ascii="Arial" w:hAnsi="Arial" w:eastAsia="宋体" w:cs="Times New Roman"/>
      <w:snapToGrid w:val="0"/>
      <w:color w:val="000000"/>
      <w:kern w:val="0"/>
      <w:sz w:val="24"/>
      <w:szCs w:val="20"/>
      <w:lang w:val="en-US" w:eastAsia="en-US"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4">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table" w:styleId="7">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HTML Code"/>
    <w:basedOn w:val="8"/>
    <w:qFormat/>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2042</Words>
  <Characters>2080</Characters>
  <Lines>0</Lines>
  <Paragraphs>0</Paragraphs>
  <TotalTime>97</TotalTime>
  <ScaleCrop>false</ScaleCrop>
  <LinksUpToDate>false</LinksUpToDate>
  <CharactersWithSpaces>2180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2026-08-12T03:19:00Z</dcterms:created>
  <dc:creator>infinity</dc:creator>
  <cp:lastModifiedBy>infinity</cp:lastModifiedBy>
  <dcterms:modified xsi:type="dcterms:W3CDTF">2026-08-19T12:48:50Z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9E6B46EC057C4687B9DAA5CD0E635692_11</vt:lpwstr>
  </property>
  <property fmtid="{D5CDD505-2E9C-101B-9397-08002B2CF9AE}" pid="4" name="KSOTemplateDocerSaveRecord">
    <vt:lpwstr>eyJoZGlkIjoiZDk0MDEwOTAwYTFiZTVkNWEyZjNlNzZhYTZiMGRhYzMiLCJ1c2VySWQiOiI0ODI2NzQzNDAifQ==</vt:lpwstr>
  </property>
</Properties>
</file>