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D1090" w:rsidRPr="000D1090" w:rsidRDefault="000D1090" w:rsidP="000D1090">
      <w:pPr>
        <w:pStyle w:val="1"/>
        <w:rPr>
          <w:rFonts w:hint="eastAsia"/>
        </w:rPr>
      </w:pPr>
      <w:r w:rsidRPr="000D1090">
        <w:rPr>
          <w:rFonts w:hint="eastAsia"/>
        </w:rPr>
        <w:t>面向车路协同应用场景下的智能自适应巡航垃圾回收机器人</w:t>
      </w:r>
    </w:p>
    <w:p w:rsidR="00EB53A8" w:rsidRDefault="00000000">
      <w:pPr>
        <w:ind w:firstLineChars="0" w:firstLine="0"/>
        <w:rPr>
          <w:rFonts w:asciiTheme="majorEastAsia" w:eastAsiaTheme="majorEastAsia" w:hAnsiTheme="majorEastAsia" w:hint="eastAsia"/>
          <w:sz w:val="21"/>
          <w:szCs w:val="21"/>
        </w:rPr>
      </w:pPr>
      <w:r>
        <w:rPr>
          <w:rStyle w:val="20"/>
          <w:rFonts w:asciiTheme="majorEastAsia" w:eastAsiaTheme="majorEastAsia" w:hAnsiTheme="majorEastAsia" w:hint="eastAsia"/>
          <w:sz w:val="21"/>
          <w:szCs w:val="21"/>
        </w:rPr>
        <w:t>摘要</w:t>
      </w:r>
    </w:p>
    <w:p w:rsidR="00EB53A8" w:rsidRDefault="00000000">
      <w:pPr>
        <w:ind w:firstLine="480"/>
      </w:pPr>
      <w:r>
        <w:rPr>
          <w:rFonts w:hint="eastAsia"/>
        </w:rPr>
        <w:t>随着城市化进程的加快，垃圾分类成为城市管理中的一大挑战。本文旨在探讨一种新型的智能垃圾分类箱，该设备集成了视觉识别、满载预警、可回收压缩等多项功能，旨在提高垃圾分类的效率和准确性，同时增强居民的环保意识。本报告将从物理背景、工作原理、技术分析和应用前景等方面对智能垃圾分类箱进行深入研究。</w:t>
      </w:r>
    </w:p>
    <w:p w:rsidR="00EB53A8" w:rsidRDefault="00000000">
      <w:pPr>
        <w:ind w:firstLine="480"/>
      </w:pPr>
      <w:r>
        <w:rPr>
          <w:rFonts w:hint="eastAsia"/>
        </w:rPr>
        <w:t>随着城市化进程的加速，城市固体废物管理成为全球性挑战。垃圾分类作为废物管理的关键环节，对于资源回收利用和环境保护具有重要意义。然而，当前垃圾分类效率低下，公众参与度不高，亟需创新技术手段提升分类准确性与效率。本项目旨在开发一款集成了前沿技术的智能垃圾分类箱，以自动化、智能化手段优化垃圾分类流程，提高分类准确性，降低人工成本。本项目采用高清视觉识别系统，结合深度学习算法，实现对各类垃圾的快速准确识别。智能控制系统基于树莓派和</w:t>
      </w:r>
      <w:r>
        <w:rPr>
          <w:rFonts w:hint="eastAsia"/>
        </w:rPr>
        <w:t>stm32</w:t>
      </w:r>
      <w:r>
        <w:rPr>
          <w:rFonts w:hint="eastAsia"/>
        </w:rPr>
        <w:t>微控制器，实现垃圾投放的实时监控与分类指令的精确执行。机械传动装置采用高性能舵机，确保垃圾分类过程的稳定性与可靠性。此外，项目还集成了满载预警和可回收垃圾压缩机制，进一步提高垃圾分类箱的实用性与环保效能。</w:t>
      </w:r>
    </w:p>
    <w:p w:rsidR="00EB53A8" w:rsidRDefault="00000000">
      <w:pPr>
        <w:ind w:firstLine="480"/>
      </w:pPr>
      <w:r>
        <w:rPr>
          <w:rFonts w:hint="eastAsia"/>
        </w:rPr>
        <w:t>本报告系统阐述了智能垃圾分类箱的设计原理、关键技术、创新特色及其在环境保护和资源回收领域的应用前景。报告详细介绍了智能垃圾分类箱的设计原理、关键技术、创新点和应用前景进行了分析。</w:t>
      </w:r>
    </w:p>
    <w:p w:rsidR="00EB53A8" w:rsidRDefault="00000000">
      <w:pPr>
        <w:spacing w:beforeLines="30" w:before="93"/>
        <w:ind w:firstLineChars="0" w:firstLine="0"/>
        <w:rPr>
          <w:rStyle w:val="20"/>
          <w:rFonts w:asciiTheme="majorEastAsia" w:eastAsiaTheme="majorEastAsia" w:hAnsiTheme="majorEastAsia" w:hint="eastAsia"/>
          <w:sz w:val="21"/>
          <w:szCs w:val="21"/>
        </w:rPr>
      </w:pPr>
      <w:r>
        <w:rPr>
          <w:rStyle w:val="20"/>
          <w:rFonts w:asciiTheme="majorEastAsia" w:eastAsiaTheme="majorEastAsia" w:hAnsiTheme="majorEastAsia" w:hint="eastAsia"/>
          <w:sz w:val="21"/>
          <w:szCs w:val="21"/>
        </w:rPr>
        <w:t>关键词</w:t>
      </w:r>
    </w:p>
    <w:p w:rsidR="00EB53A8" w:rsidRDefault="00000000">
      <w:pPr>
        <w:ind w:firstLine="480"/>
      </w:pPr>
      <w:r>
        <w:rPr>
          <w:rFonts w:hint="eastAsia"/>
        </w:rPr>
        <w:t>智能垃圾分类；视觉识别；环保意识；机械传动；市场潜力，满载预警</w:t>
      </w:r>
    </w:p>
    <w:p w:rsidR="00EB53A8" w:rsidRDefault="00000000">
      <w:pPr>
        <w:pStyle w:val="2"/>
        <w:spacing w:after="156"/>
        <w:rPr>
          <w:rStyle w:val="20"/>
          <w:b/>
        </w:rPr>
      </w:pPr>
      <w:r>
        <w:rPr>
          <w:rStyle w:val="20"/>
          <w:rFonts w:hint="eastAsia"/>
          <w:b/>
        </w:rPr>
        <w:t>1.</w:t>
      </w:r>
      <w:r>
        <w:rPr>
          <w:rStyle w:val="20"/>
          <w:b/>
        </w:rPr>
        <w:t>研究</w:t>
      </w:r>
      <w:r>
        <w:rPr>
          <w:rStyle w:val="20"/>
          <w:rFonts w:hint="eastAsia"/>
          <w:b/>
        </w:rPr>
        <w:t>背景</w:t>
      </w:r>
    </w:p>
    <w:p w:rsidR="00EB53A8" w:rsidRDefault="00000000">
      <w:pPr>
        <w:ind w:firstLine="480"/>
      </w:pPr>
      <w:r>
        <w:rPr>
          <w:rFonts w:hint="eastAsia"/>
        </w:rPr>
        <w:t>随着全球城市化进程的不断推进，城市固体废物（</w:t>
      </w:r>
      <w:r>
        <w:rPr>
          <w:rFonts w:hint="eastAsia"/>
        </w:rPr>
        <w:t>MSW</w:t>
      </w:r>
      <w:r>
        <w:rPr>
          <w:rFonts w:hint="eastAsia"/>
        </w:rPr>
        <w:t>）的产生量急剧增加，对环境的可持续性构成了严重威胁。在这一背景下，垃圾分类作为废物管理的重要组成部分，其重要性日益凸显。垃圾分类不仅有助于减少废物的最终处置量，促进资源的循环利用，还能降低环境污染，提升公众的环保意识。</w:t>
      </w:r>
    </w:p>
    <w:p w:rsidR="00EB53A8" w:rsidRDefault="00000000">
      <w:pPr>
        <w:pStyle w:val="3"/>
      </w:pPr>
      <w:r>
        <w:rPr>
          <w:rStyle w:val="30"/>
          <w:rFonts w:hint="eastAsia"/>
          <w:b/>
        </w:rPr>
        <w:t>1.1</w:t>
      </w:r>
      <w:r>
        <w:rPr>
          <w:rStyle w:val="30"/>
          <w:rFonts w:hint="eastAsia"/>
          <w:b/>
        </w:rPr>
        <w:t>国际研究现状</w:t>
      </w:r>
    </w:p>
    <w:p w:rsidR="00EB53A8" w:rsidRDefault="00000000">
      <w:pPr>
        <w:ind w:firstLine="480"/>
      </w:pPr>
      <w:r>
        <w:rPr>
          <w:rFonts w:hint="eastAsia"/>
        </w:rPr>
        <w:t>国际上，许多发达国家已经建立了较为完善的垃圾分类体系。例如，德国、日本等国家通过立法强制实施垃圾分类，并采用了多种技术手段辅助分类过程，如智能传感器、</w:t>
      </w:r>
      <w:r>
        <w:rPr>
          <w:rFonts w:hint="eastAsia"/>
        </w:rPr>
        <w:t>RFID</w:t>
      </w:r>
      <w:r>
        <w:rPr>
          <w:rFonts w:hint="eastAsia"/>
        </w:rPr>
        <w:t>标签等。此外，一些国家还通过经济激励措施，如押金返还制度，鼓励公众参与垃圾分类。然而，尽管取得了一定的成效，但在分类准确性和居民参与度方面仍有提升空间。</w:t>
      </w:r>
    </w:p>
    <w:p w:rsidR="00EB53A8" w:rsidRDefault="00000000">
      <w:pPr>
        <w:pStyle w:val="3"/>
      </w:pPr>
      <w:r>
        <w:rPr>
          <w:rFonts w:hint="eastAsia"/>
        </w:rPr>
        <w:t>1.2</w:t>
      </w:r>
      <w:r>
        <w:rPr>
          <w:rFonts w:hint="eastAsia"/>
        </w:rPr>
        <w:t>国内研究现状</w:t>
      </w:r>
    </w:p>
    <w:p w:rsidR="00EB53A8" w:rsidRDefault="00000000">
      <w:pPr>
        <w:ind w:firstLine="480"/>
      </w:pPr>
      <w:r>
        <w:rPr>
          <w:rFonts w:hint="eastAsia"/>
        </w:rPr>
        <w:t>在中国，垃圾分类起步较晚，但近年来随着政府的大力推动，垃圾分类政策逐步在全国范围内推广。多个城市已经开始实施垃圾分类，但普遍面临着分类设施不足、分类知识普及不够、居民参与度不高等问题。国内研究者在垃圾分类的宣传教育、政策制定、技术应用等方面进行了大量研究，但与国际先进水平相比，仍存在一定差距。</w:t>
      </w:r>
    </w:p>
    <w:p w:rsidR="00EB53A8" w:rsidRDefault="00000000">
      <w:pPr>
        <w:ind w:firstLine="480"/>
      </w:pPr>
      <w:r>
        <w:rPr>
          <w:rFonts w:hint="eastAsia"/>
        </w:rPr>
        <w:lastRenderedPageBreak/>
        <w:t>国内外对于垃圾分类的研究已经取得了一定的进展，但普遍存在居民分类意识不强、分类效率不高等问题。为了解决这些问题，智能垃圾分类箱应运而生，它结合了现代科技与环保理念，通过智能化手段辅助垃圾分类。</w:t>
      </w:r>
    </w:p>
    <w:p w:rsidR="00EB53A8" w:rsidRDefault="00000000">
      <w:pPr>
        <w:pStyle w:val="2"/>
        <w:spacing w:after="156"/>
      </w:pPr>
      <w:r>
        <w:rPr>
          <w:rFonts w:hint="eastAsia"/>
        </w:rPr>
        <w:t>2.</w:t>
      </w:r>
      <w:r>
        <w:rPr>
          <w:rFonts w:hint="eastAsia"/>
        </w:rPr>
        <w:t>设计方案</w:t>
      </w:r>
    </w:p>
    <w:p w:rsidR="00EB53A8" w:rsidRDefault="00000000">
      <w:pPr>
        <w:ind w:firstLine="480"/>
      </w:pPr>
      <w:r>
        <w:t>智能垃圾分类箱集成了机械自动化、电子工程、计算机视觉和人工智能算法，以实现城市固体废物的高效、自动化分类处理。该系统以高精度摄像头和深度学习算法为核心，采用卷积神经网络进行图像特征提取和模式识别，实现对垃圾类型的快速准确分类。控制单元基于树莓派平台，搭载</w:t>
      </w:r>
      <w:r>
        <w:t>Linux</w:t>
      </w:r>
      <w:r>
        <w:t>操作系统和</w:t>
      </w:r>
      <w:r>
        <w:t>Python</w:t>
      </w:r>
      <w:r>
        <w:t>开发环境，集成</w:t>
      </w:r>
      <w:r>
        <w:t>TensorFlow</w:t>
      </w:r>
      <w:r>
        <w:t>或</w:t>
      </w:r>
      <w:r>
        <w:t>PyTorch</w:t>
      </w:r>
      <w:r>
        <w:t>框架，处理识别数据并生成分类指令。机械传动系统配备精密舵机和定制传动结构，自动调整垃圾桶位置，确保垃圾准确投放，并实现可回收物的压缩处理，优化空间利用。超声波传感器构成的满载预警机制，实时监测垃圾量，并通过声光信号及用户界面提示用户及时清理。用户交互界面设计直观，集成触摸屏和电子显示屏，提供操作指引、反馈信息，并播放垃圾分类教育视频，增强环保意识。系统设计注重环境适应性和设备耐用性，采用防水防尘设计，确保户外稳定运行，并采用模块化设计，便于维护升级。而且</w:t>
      </w:r>
      <w:r>
        <w:rPr>
          <w:rFonts w:hint="eastAsia"/>
        </w:rPr>
        <w:t>可以</w:t>
      </w:r>
      <w:r>
        <w:t>通过教育和引导，提升了公众的环保意识，为推动垃圾分类政策的实施和可持续发展做出了重要贡献。</w:t>
      </w:r>
    </w:p>
    <w:p w:rsidR="00EB53A8" w:rsidRDefault="00000000">
      <w:pPr>
        <w:pStyle w:val="3"/>
      </w:pPr>
      <w:r>
        <w:rPr>
          <w:rFonts w:hint="eastAsia"/>
        </w:rPr>
        <w:t>2.1</w:t>
      </w:r>
      <w:r>
        <w:rPr>
          <w:rFonts w:hint="eastAsia"/>
        </w:rPr>
        <w:t>系统设计思路与架构</w:t>
      </w:r>
    </w:p>
    <w:p w:rsidR="00EB53A8" w:rsidRDefault="00000000">
      <w:pPr>
        <w:ind w:firstLine="480"/>
      </w:pPr>
      <w:r>
        <w:t>智能垃圾分类箱的设计遵循一种系统化和自动化的创新思路。通过精心构建的结构模型，融合了多项先进技术，旨在实现垃圾的高效分类与处理。垃圾投入投放口后，系统即刻启动高清视觉识别模块，该模块由树莓派、高清摄像头和深度学习算法组成，对垃圾进行实时图像捕获和智能分析，以准确识别垃圾种类。识别结果通过语音提示功能传达给用户，增强了分类过程的互动性和准确性。</w:t>
      </w:r>
    </w:p>
    <w:p w:rsidR="00EB53A8" w:rsidRDefault="00000000">
      <w:pPr>
        <w:ind w:firstLine="480"/>
      </w:pPr>
      <w:r>
        <w:t>分类信息随即传输至基于</w:t>
      </w:r>
      <w:r>
        <w:t>stm32</w:t>
      </w:r>
      <w:r>
        <w:t>系统板的控制系统，该系统根据预设的逻辑向底部垃圾托盘发出旋转指令，确保垃圾按类别准确投放至相应垃圾桶。桶盖的自动开合机制，与垃圾托盘的旋转同步，保障垃圾投放过程的流畅性。</w:t>
      </w:r>
    </w:p>
    <w:p w:rsidR="00EB53A8" w:rsidRDefault="00000000">
      <w:pPr>
        <w:ind w:firstLine="480"/>
      </w:pPr>
      <w:r>
        <w:t>为实现对垃圾量的实时监控，系统在垃圾桶盖最上沿配备了超声波测距模块。该模块能够监测桶内垃圾总量，并在达到</w:t>
      </w:r>
      <w:r>
        <w:t>75%</w:t>
      </w:r>
      <w:r>
        <w:t>的预设容量阈值时，通过显示屏发出满载预警，提示用户及时进行清理，有效避免垃圾溢出和腐臭问题。</w:t>
      </w:r>
    </w:p>
    <w:p w:rsidR="00EB53A8" w:rsidRDefault="00000000">
      <w:pPr>
        <w:ind w:firstLine="480"/>
      </w:pPr>
      <w:r>
        <w:t>考虑到设备的移动性和灵活性，垃圾桶底部装备了万向轮，便于在不同环境下的部署和调整。特别针对可回收垃圾，系统设计了由舵机驱动的压缩机构，预先对可回收物进行压缩处理，以减少体积并提高垃圾桶的空间利用率，优化资源回收效率。</w:t>
      </w:r>
    </w:p>
    <w:p w:rsidR="00EB53A8" w:rsidRDefault="00000000">
      <w:pPr>
        <w:pStyle w:val="2"/>
        <w:spacing w:after="156"/>
      </w:pPr>
      <w:r>
        <w:rPr>
          <w:rFonts w:hint="eastAsia"/>
        </w:rPr>
        <w:t>3</w:t>
      </w:r>
      <w:r>
        <w:rPr>
          <w:rFonts w:hint="eastAsia"/>
        </w:rPr>
        <w:t>技术原理：</w:t>
      </w:r>
    </w:p>
    <w:p w:rsidR="00EB53A8" w:rsidRDefault="00000000">
      <w:pPr>
        <w:ind w:firstLine="480"/>
      </w:pPr>
      <w:r>
        <w:rPr>
          <w:rFonts w:hint="eastAsia"/>
        </w:rPr>
        <w:t>智能垃圾分类箱的设计遵循一种系统化和自动化的创新思路。该设计通过精心构建的结构模型，融合了多项先进技术，旨在实现垃圾的高效分类与处理。垃圾投入投放口后，系统即刻启动高清视觉识别模块，该模块由树莓派、高清摄像头和深度学习算法组成，对垃圾进行实时图像捕获和智能分析，以准确识别垃圾种类。识别结果通过语音提示功能传达给用户，增强了分类过程的互动性和准确性。</w:t>
      </w:r>
    </w:p>
    <w:p w:rsidR="00EB53A8" w:rsidRDefault="00000000">
      <w:pPr>
        <w:ind w:firstLine="480"/>
      </w:pPr>
      <w:r>
        <w:rPr>
          <w:rFonts w:hint="eastAsia"/>
        </w:rPr>
        <w:t>分类信息随即传输至基于</w:t>
      </w:r>
      <w:r>
        <w:rPr>
          <w:rFonts w:hint="eastAsia"/>
        </w:rPr>
        <w:t>stm32</w:t>
      </w:r>
      <w:r>
        <w:rPr>
          <w:rFonts w:hint="eastAsia"/>
        </w:rPr>
        <w:t>系统板的控制系统，该系统根据预设的逻辑向底部垃圾托盘发出旋转指令，确保垃圾按类别准确投放至相应垃圾桶。桶盖的自动开合机制，与垃圾托盘的旋转同步，保障垃圾投放过程的流畅性。为实现对垃圾量的实时监控，系统在垃圾桶盖最上沿配备了超声波测距模块。该模块能够监测桶内垃圾总量，并在达到</w:t>
      </w:r>
      <w:r>
        <w:rPr>
          <w:rFonts w:hint="eastAsia"/>
        </w:rPr>
        <w:t>75%</w:t>
      </w:r>
      <w:r>
        <w:rPr>
          <w:rFonts w:hint="eastAsia"/>
        </w:rPr>
        <w:t>的预设容量阈值时，通过显示屏发出满载预警，提示用户及时进行清理，有效避免垃圾溢出和腐臭问题。</w:t>
      </w:r>
    </w:p>
    <w:p w:rsidR="00EB53A8" w:rsidRDefault="00000000">
      <w:pPr>
        <w:ind w:firstLine="480"/>
      </w:pPr>
      <w:r>
        <w:rPr>
          <w:rFonts w:hint="eastAsia"/>
        </w:rPr>
        <w:t>考虑到设备的移动性和灵活性，垃圾桶底部装备了万向轮，便于在不同环境下的部署和</w:t>
      </w:r>
      <w:r>
        <w:rPr>
          <w:rFonts w:hint="eastAsia"/>
        </w:rPr>
        <w:lastRenderedPageBreak/>
        <w:t>调整。特别针对可回收垃圾，系统设计了由舵机驱动的压缩机构，预先对可回收物进行压缩处理，以减少体积并提高垃圾桶的空间利用率，优化资源回收效率。</w:t>
      </w:r>
    </w:p>
    <w:p w:rsidR="00EB53A8" w:rsidRDefault="00EB53A8">
      <w:pPr>
        <w:ind w:firstLine="480"/>
      </w:pPr>
    </w:p>
    <w:p w:rsidR="00EB53A8" w:rsidRDefault="00000000">
      <w:pPr>
        <w:ind w:firstLine="480"/>
      </w:pPr>
      <w:r>
        <w:rPr>
          <w:rFonts w:hint="eastAsia"/>
        </w:rPr>
        <w:t>智能垃圾分类箱的设计思路体现了对自动化技术的深入应用，以及对用户体验和环境适应性的细致考量，力求在提升垃圾分类效率的同时，降低人工成本，促进环保意识的提升。</w:t>
      </w:r>
    </w:p>
    <w:p w:rsidR="00EB53A8" w:rsidRDefault="00000000">
      <w:pPr>
        <w:pStyle w:val="3"/>
      </w:pPr>
      <w:r>
        <w:rPr>
          <w:rFonts w:hint="eastAsia"/>
        </w:rPr>
        <w:t>3.1</w:t>
      </w:r>
      <w:r>
        <w:t>机械传动系统：</w:t>
      </w:r>
    </w:p>
    <w:p w:rsidR="00EB53A8" w:rsidRDefault="00000000">
      <w:pPr>
        <w:ind w:firstLine="480"/>
      </w:pPr>
      <w:r>
        <w:t>智能垃圾分类箱的机械传动系统是其自动化操作的核心，其设计精巧且功能全面。该系统底部配备四个固定储蓄桶，分别对应不同的垃圾类别。垃圾通过投放口投入后，首先由集成的树莓派、高清摄像头和深度学习算法组成的高清视觉识别系统进行识别，该系统通过图像处理技术实现垃圾种类的智能分类，并伴有语音提示以增强用户体验。分类信息随即传输至基于</w:t>
      </w:r>
      <w:r>
        <w:t>stm32</w:t>
      </w:r>
      <w:r>
        <w:t>的控制系统，该控制板接收并解析信号，向底部垃圾托盘发出精确的旋转指令。每个分类垃圾桶对应一个预设角度，确保垃圾准确投放。当垃圾桶旋转至指定位置时，桶盖自动开启，以便垃圾顺利投放。</w:t>
      </w:r>
    </w:p>
    <w:p w:rsidR="00EB53A8" w:rsidRDefault="00000000">
      <w:pPr>
        <w:ind w:firstLine="480"/>
      </w:pPr>
      <w:r>
        <w:t>为进一步提升系统效率，安装在垃圾桶盖最上沿的超声波测距模块实时监测桶内垃圾量。一旦垃圾达到</w:t>
      </w:r>
      <w:r>
        <w:t>75%</w:t>
      </w:r>
      <w:r>
        <w:t>的预设容量阈值，系统将在显示屏上向用户发出满载预警，提示及时清理，避免垃圾溢出和腐臭问题。此外，系统底部安装有万向轮，使得整个垃圾箱易于移动和定位，增强了其在不同环境下的适用性和灵活性。整个机械传动系统的设计不仅提高了垃圾分类的自动化水平，也优化了用户体验，体现了现代智能设备在环境科学领域的应用潜力。</w:t>
      </w:r>
    </w:p>
    <w:p w:rsidR="00EB53A8" w:rsidRDefault="00000000">
      <w:pPr>
        <w:ind w:firstLine="480"/>
      </w:pPr>
      <w:r>
        <w:t>系统的传动部分采用高性能舵机，确保旋转托盘的精确定位和平稳运行。传动链或齿轮系统将舵机的动力平稳传递至旋转托盘，保证其稳定运转。压缩轮由舵机驱动，对可回收垃圾如塑料瓶和纸盒进行压缩，有效减少体积，提升存储效率。位置传感器实时反馈垃圾桶托盘和压缩轮的状态，确保系统同步运行。紧急停止按钮和安全开关的设计，保障了使用过程中的安全性。此外，系统的关键部件如传动链和传感器均采用防水防尘设计，适应户外环境，确保在恶劣天气条件下也能可靠运行。模块化设计不仅提升了系统的灵活性，也为未来的技术升级和功能扩展提供了便利。整体而言，智能垃圾分类箱的机械传动系统通过创新设计和精密制造，实现了垃圾的自动化、智能化处理，极大提升了垃圾分类的效率和准确性。</w:t>
      </w:r>
    </w:p>
    <w:p w:rsidR="00EB53A8" w:rsidRDefault="00000000">
      <w:pPr>
        <w:pStyle w:val="3"/>
      </w:pPr>
      <w:r>
        <w:rPr>
          <w:rFonts w:hint="eastAsia"/>
        </w:rPr>
        <w:t>3.2</w:t>
      </w:r>
      <w:r>
        <w:t>视觉识别技术：</w:t>
      </w:r>
    </w:p>
    <w:p w:rsidR="00EB53A8" w:rsidRDefault="00000000">
      <w:pPr>
        <w:ind w:firstLine="480"/>
      </w:pPr>
      <w:r>
        <w:t>智能垃圾分类箱的视觉识别技术是其智能化核心，依托于先进的计算机视觉和深度学习算法实现。</w:t>
      </w:r>
      <w:r>
        <w:rPr>
          <w:rFonts w:hint="eastAsia"/>
        </w:rPr>
        <w:t>本项目系统</w:t>
      </w:r>
      <w:r>
        <w:t>采用高清摄像头捕捉投放的垃圾图像，并以树莓派作为主控制单元，该设备具备强大的计算能力和灵活性。在树莓派上安装了</w:t>
      </w:r>
      <w:r>
        <w:t>Linux</w:t>
      </w:r>
      <w:r>
        <w:t>操作系统和</w:t>
      </w:r>
      <w:r>
        <w:t>Python</w:t>
      </w:r>
      <w:r>
        <w:t>编程语言，为系统提供了稳定的运行环境和丰富的库支持。基于此，我们搭建了</w:t>
      </w:r>
      <w:r>
        <w:t>Paddle</w:t>
      </w:r>
      <w:r>
        <w:t>深度学习平台，利用其强大的机器学习库和工具集，为垃圾的视觉识别和分类提供了算法基础。</w:t>
      </w:r>
    </w:p>
    <w:p w:rsidR="00EB53A8" w:rsidRDefault="00000000">
      <w:pPr>
        <w:ind w:firstLine="480"/>
      </w:pPr>
      <w:r>
        <w:t>为了实现精确的目标检测，我们采用了</w:t>
      </w:r>
      <w:r>
        <w:t>Yolov5</w:t>
      </w:r>
      <w:r>
        <w:t>作为深度学习模型框架。本地电脑上搭建了</w:t>
      </w:r>
      <w:r>
        <w:t>Paddle</w:t>
      </w:r>
      <w:r>
        <w:t>平台和</w:t>
      </w:r>
      <w:r>
        <w:t>Yolov5</w:t>
      </w:r>
      <w:r>
        <w:t>，用于训练和优化模型。我们从</w:t>
      </w:r>
      <w:r>
        <w:t>GitHub</w:t>
      </w:r>
      <w:r>
        <w:t>上爬取了大量相关的垃圾图像数据集，这些数据经过</w:t>
      </w:r>
      <w:r>
        <w:t>Labelme</w:t>
      </w:r>
      <w:r>
        <w:t>软件进行数据的标定和清洗，确保了训练数据的质量和多样性。在</w:t>
      </w:r>
      <w:r>
        <w:t>Paddle</w:t>
      </w:r>
      <w:r>
        <w:t>环境中，我们对模型进行了进一步的训练和调优，以适应不同光照、角度和背景条件下的垃圾识别任务。</w:t>
      </w:r>
    </w:p>
    <w:p w:rsidR="00EB53A8" w:rsidRDefault="00000000">
      <w:pPr>
        <w:ind w:firstLine="480"/>
      </w:pPr>
      <w:r>
        <w:t>树莓派外接高清摄像头，实时捕捉垃圾图片并存储，随后利用训练好的深度学习模型进行垃圾目标的检测和分类。系统通过图像预处理、特征提取、候选区域的提取和分类器的判断等步骤，实现了高准确率的垃圾识别。识别结果将通过显示屏直观展示给用户，并同步传输给下层控制系统，触发相应的机械传动动作，完成垃圾的自动分类投放。系统的设计考虑了实时性和准确性的平衡，通过优化算法和模型结构，确保了在实时处理大量图像数据时的高效性。同时，系统具备自学习和优化的能力，随着使用时间的增长，通过不断学习新的垃</w:t>
      </w:r>
      <w:r>
        <w:lastRenderedPageBreak/>
        <w:t>圾样本，持续提高识别准确率。此外，视觉识别系统与控制系统集成，实现了从图像采集、处理、识别到控制执行的全自动化流程。</w:t>
      </w:r>
    </w:p>
    <w:p w:rsidR="00EB53A8" w:rsidRDefault="00000000">
      <w:pPr>
        <w:pStyle w:val="3"/>
      </w:pPr>
      <w:r>
        <w:rPr>
          <w:rFonts w:hint="eastAsia"/>
        </w:rPr>
        <w:t>3.3</w:t>
      </w:r>
      <w:r>
        <w:t>满载预警与反馈机制：</w:t>
      </w:r>
    </w:p>
    <w:p w:rsidR="00EB53A8" w:rsidRDefault="00000000">
      <w:pPr>
        <w:ind w:firstLine="480"/>
      </w:pPr>
      <w:r>
        <w:t>智能垃圾分类箱的满载预警与反馈机制是一套高效、智能化的监控系统，它通过集成先进的传感器技术和控制算法，确保垃圾箱在达到容量上限前能够及时提醒用户进行清理。该机制的运作基于超声波测距技术，与视觉识别模块协同工作，实现对垃圾种类和容量的实时监控。</w:t>
      </w:r>
    </w:p>
    <w:p w:rsidR="00EB53A8" w:rsidRDefault="00000000">
      <w:pPr>
        <w:ind w:firstLine="480"/>
      </w:pPr>
      <w:r>
        <w:t>系统的核心是一个智能控制模块，该模块负责接收和处理来自视觉识别模块的数据，并对垃圾箱内的垃圾状态进行综合分析。视觉识别模块负责识别垃圾的种类，而超声波模块则负责测量垃圾的容量。当视觉模块完成对垃圾的识别后，控制模块会启动超声波测距，通过发射和接收超声波脉冲来确定垃圾的深度或高度。如果垃圾的容量超过预设的</w:t>
      </w:r>
      <w:r>
        <w:t>75%</w:t>
      </w:r>
      <w:r>
        <w:t>阈值，系统将自动启动报警功能，提醒用户垃圾箱即将满载。</w:t>
      </w:r>
    </w:p>
    <w:p w:rsidR="00EB53A8" w:rsidRDefault="00000000">
      <w:pPr>
        <w:ind w:firstLine="480"/>
      </w:pPr>
      <w:r>
        <w:t>为了提高测量的准确性和可靠性，超声波模块被安装在垃圾箱的最上沿，与垃圾箱盖的开合同步工作。当垃圾桶盖打开，准备接收垃圾时，超声波模块开始发射超声波脉冲；当垃圾桶盖关闭时，超声波模块停止发射，以避免密闭空间对测量结果的干扰。此外，系统采用了多次测量和滤波技术，通过相关的权重算法剔除异常值，确保了测量结果的稳定性和准确性。</w:t>
      </w:r>
    </w:p>
    <w:p w:rsidR="00EB53A8" w:rsidRDefault="00000000">
      <w:pPr>
        <w:ind w:firstLine="480"/>
      </w:pPr>
      <w:r>
        <w:t>在报警功能的实现上，系统采用了多种方式来提醒用户</w:t>
      </w:r>
      <w:r>
        <w:rPr>
          <w:rFonts w:hint="eastAsia"/>
        </w:rPr>
        <w:t>。</w:t>
      </w:r>
      <w:r>
        <w:t>控制模块会通过显示屏显示警告信息，明确告知用户垃圾箱的满载状态。同时，系统还可以通过语音播报或声光信号的方式，提供更加直观和明显的提醒。这种多模式的反馈机制，确保了用户能够在不同环境和条件下接收到警报，从而及时采取清理措施。</w:t>
      </w:r>
    </w:p>
    <w:p w:rsidR="00EB53A8" w:rsidRDefault="00000000">
      <w:pPr>
        <w:ind w:firstLine="480"/>
      </w:pPr>
      <w:r>
        <w:t>为了避免不同类型的垃圾对超声波测量造成干扰，系统还具备智能识别和适应的能力。根据垃圾的种类和特性，控制系统会调整测量参数和算法，以适应不同垃圾的反射特性。例如，对于密度较大或形状不规则的垃圾，系统可能会增加测量次数，或采用更复杂的滤波算法来提高测量的准确性。</w:t>
      </w:r>
    </w:p>
    <w:p w:rsidR="00EB53A8" w:rsidRDefault="00000000">
      <w:pPr>
        <w:ind w:firstLine="480"/>
      </w:pPr>
      <w:r>
        <w:t>满载预警与反馈机制的设计，不仅提高了垃圾处理的效率和便捷性，还有助于维护环境卫生和防止垃圾溢出造成的污染。通过智能化的监控和管理，智能垃圾分类箱能够更好地服务于城市环境的可持续发展，为垃圾分类和资源回收提供了有力的技术支持。</w:t>
      </w:r>
    </w:p>
    <w:p w:rsidR="00EB53A8" w:rsidRDefault="00000000">
      <w:pPr>
        <w:pStyle w:val="3"/>
      </w:pPr>
      <w:r>
        <w:rPr>
          <w:rFonts w:hint="eastAsia"/>
        </w:rPr>
        <w:t>3.4</w:t>
      </w:r>
      <w:r>
        <w:t>用户交互设计</w:t>
      </w:r>
    </w:p>
    <w:p w:rsidR="00EB53A8" w:rsidRDefault="00000000">
      <w:pPr>
        <w:ind w:firstLine="480"/>
      </w:pPr>
      <w:r>
        <w:rPr>
          <w:rFonts w:hint="eastAsia"/>
        </w:rPr>
        <w:t>智能垃圾分类箱的用户交互设计是确保产品易用性、提升用户体验的关键环节。该设计以直观、友好的操作界面为基础，融合了视觉、听觉和触觉等多种反馈方式，使用户能够轻松地与垃圾分类箱进行交云。系统的操作界面集成在一块高清显示屏上，该屏幕不仅用于展示垃圾的分类结果，还提供了垃圾分类的指导信息和教育视频。用户通过简洁的图形用户界面（</w:t>
      </w:r>
      <w:r>
        <w:rPr>
          <w:rFonts w:hint="eastAsia"/>
        </w:rPr>
        <w:t>GUI</w:t>
      </w:r>
      <w:r>
        <w:rPr>
          <w:rFonts w:hint="eastAsia"/>
        </w:rPr>
        <w:t>），可以快速理解如何进行垃圾分类，以及各类垃圾的正确投放方式。显示屏上的信息展示采用清晰的图标和文字说明，确保用户即使在匆忙或光线较暗的环境中也能轻松识别。</w:t>
      </w:r>
    </w:p>
    <w:p w:rsidR="00EB53A8" w:rsidRDefault="00000000">
      <w:pPr>
        <w:ind w:firstLine="480"/>
      </w:pPr>
      <w:r>
        <w:rPr>
          <w:rFonts w:hint="eastAsia"/>
        </w:rPr>
        <w:t>除了视觉反馈，智能垃圾分类箱还配备了语音提示功能，当用户正确分类垃圾或需要进行垃圾清理时，系统会发出相应的语音反馈。这种听觉反馈对于视力不佳或在嘈杂环境中的用户尤其有用，确保了信息传达的无障碍性。</w:t>
      </w:r>
    </w:p>
    <w:p w:rsidR="00EB53A8" w:rsidRDefault="00000000">
      <w:pPr>
        <w:ind w:firstLine="480"/>
      </w:pPr>
      <w:r>
        <w:rPr>
          <w:rFonts w:hint="eastAsia"/>
        </w:rPr>
        <w:t>在触觉反馈方面，智能垃圾分类箱设计了易于操作的物理按钮或触摸屏，用户可通过简单的点击或滑动来与系统交互。物理按钮具有明确的触感和反馈，确保用户即使在不看屏幕的情况下也能进行操作。触摸屏则提供了更为流畅和直观的交互体验。</w:t>
      </w:r>
    </w:p>
    <w:p w:rsidR="00EB53A8" w:rsidRDefault="00000000">
      <w:pPr>
        <w:ind w:firstLine="480"/>
      </w:pPr>
      <w:r>
        <w:rPr>
          <w:rFonts w:hint="eastAsia"/>
        </w:rPr>
        <w:t>智能垃圾分类箱还集成了先进的传感器技术，能够识别用户的接近和操作意图。例如，当用户的手接近投放口时，系统自动感应并打开垃圾桶盖，实现免提操作，提高了使用的便</w:t>
      </w:r>
      <w:r>
        <w:rPr>
          <w:rFonts w:hint="eastAsia"/>
        </w:rPr>
        <w:lastRenderedPageBreak/>
        <w:t>捷性。此外，系统还能够监测垃圾桶的满载状态，并通过显示屏和语音提示及时通知用户。</w:t>
      </w:r>
    </w:p>
    <w:p w:rsidR="00EB53A8" w:rsidRDefault="00000000">
      <w:pPr>
        <w:ind w:firstLine="480"/>
      </w:pPr>
      <w:r>
        <w:rPr>
          <w:rFonts w:hint="eastAsia"/>
        </w:rPr>
        <w:t>为了适应不同用户的需求，智能垃圾分类箱的用户交互设计还考虑了可访问性和个性化设置。系统提供了多种语言选项，适应不同语言背景的用户。同时，系统还允许用户根据个人偏好调整语音提示的音量和语速，以及显示屏的亮度和对比度。</w:t>
      </w:r>
    </w:p>
    <w:p w:rsidR="00EB53A8" w:rsidRDefault="00000000">
      <w:pPr>
        <w:ind w:firstLine="480"/>
      </w:pPr>
      <w:r>
        <w:rPr>
          <w:rFonts w:hint="eastAsia"/>
        </w:rPr>
        <w:t>在教育和引导方面，智能垃圾分类箱的显示屏定期播放垃圾分类的科普视频和动画，以生动直观的方式教育用户，提高他们的环保意识和参与度。这种教育功能的集成，不仅提升了用户的知识水平，也增强了用户与设备的互动性。</w:t>
      </w:r>
    </w:p>
    <w:p w:rsidR="00EB53A8" w:rsidRDefault="00000000">
      <w:pPr>
        <w:pStyle w:val="3"/>
      </w:pPr>
      <w:r>
        <w:rPr>
          <w:rFonts w:hint="eastAsia"/>
        </w:rPr>
        <w:t>3.5</w:t>
      </w:r>
      <w:r>
        <w:t>光电效应与太阳能转换</w:t>
      </w:r>
    </w:p>
    <w:p w:rsidR="00EB53A8" w:rsidRDefault="00000000">
      <w:pPr>
        <w:ind w:firstLine="480"/>
      </w:pPr>
      <w:r>
        <w:rPr>
          <w:rFonts w:hint="eastAsia"/>
        </w:rPr>
        <w:t>智能垃圾分类箱的能源供应系统中，光电效应与太阳能转换发挥着至关重要的作用。太阳能作为一种清洁、可再生的能源，在智能垃圾分类箱中的应用，不仅体现了绿色环保的设计理念，也是对其能源自给能力的重要提升。光电效应是太阳能转换技术的核心物理原理，它描述了光子与半导体材料相互作用的过程。当光子的能量大于半导体的带隙能时，光子被材料吸收，激发出电子—空穴对，从而在半导体中产生电流。</w:t>
      </w:r>
    </w:p>
    <w:p w:rsidR="00EB53A8" w:rsidRDefault="00000000">
      <w:pPr>
        <w:ind w:firstLine="480"/>
      </w:pPr>
      <w:r>
        <w:rPr>
          <w:rFonts w:hint="eastAsia"/>
        </w:rPr>
        <w:t>在智能垃圾分类箱的太阳能转换模块中，通常采用高效率的光伏电池，这些电池基于硅等半导体材料制成。在光照条件下，半导体材料内的电子吸收光子能量后，从价带跃迁到导带，形成自由电子和空穴。这些电子和空穴在内建电场的作用下分别向相反方向移动，形成光生电流。通过外部电路，这些电流可以被收集并用于为垃圾分类箱的控制系统、传感器和执行机构供电。</w:t>
      </w:r>
    </w:p>
    <w:p w:rsidR="00EB53A8" w:rsidRDefault="00000000">
      <w:pPr>
        <w:ind w:firstLine="480"/>
      </w:pPr>
      <w:r>
        <w:rPr>
          <w:rFonts w:hint="eastAsia"/>
        </w:rPr>
        <w:t>光电效应是指当光子能量大于半导体材料带隙能量时，光子能量会激发半导体中的电子，使其跃迁到导带，从而产生电子空穴对。这些电子和空穴可以在电场作用下分离并在外部电路中流动，形成电流。电池开路的情况下，</w:t>
      </w:r>
      <w:r>
        <w:rPr>
          <w:rFonts w:hint="eastAsia"/>
        </w:rPr>
        <w:t>pn</w:t>
      </w:r>
      <w:r>
        <w:rPr>
          <w:rFonts w:hint="eastAsia"/>
        </w:rPr>
        <w:t>结的正向偏压处在新的一点，此时，光生电流大小等于扩散电流大小，且方向相反，即总的电流为零。</w:t>
      </w:r>
    </w:p>
    <w:p w:rsidR="00EB53A8" w:rsidRDefault="00000000">
      <w:pPr>
        <w:ind w:firstLine="480"/>
      </w:pPr>
      <w:r>
        <w:rPr>
          <w:rFonts w:hint="eastAsia"/>
        </w:rPr>
        <w:t>电池短路的情况下，将不会出现电荷的聚集，因为载流子都参与了光生电流的流动，短路电流等于光生电流（同样等于开压状态下内部扩散电流）。</w:t>
      </w:r>
    </w:p>
    <w:p w:rsidR="00EB53A8" w:rsidRDefault="00000000">
      <w:pPr>
        <w:ind w:firstLine="480"/>
      </w:pPr>
      <w:r>
        <w:rPr>
          <w:rFonts w:hint="eastAsia"/>
        </w:rPr>
        <w:t>工作状态下，其电流等于光生电流减去太阳能电池内部扩散电流。</w:t>
      </w:r>
    </w:p>
    <w:p w:rsidR="00EB53A8" w:rsidRDefault="00000000">
      <w:pPr>
        <w:ind w:firstLine="480"/>
      </w:pPr>
      <w:r>
        <w:rPr>
          <w:rFonts w:hint="eastAsia"/>
        </w:rPr>
        <w:t>短路电流等于光生电流，且等于内建电场作用下的漂移电流，也是电池片能提供的最大的电流。开路电压下，光生载流子导致正向偏压从而消弱内建电场，增加扩散电流，光生电流等于扩散电流且方向相反。</w:t>
      </w:r>
    </w:p>
    <w:p w:rsidR="00EB53A8" w:rsidRDefault="00000000">
      <w:pPr>
        <w:ind w:firstLine="480"/>
      </w:pPr>
      <w:r>
        <w:rPr>
          <w:rFonts w:hint="eastAsia"/>
        </w:rPr>
        <w:t xml:space="preserve">                       </w:t>
      </w:r>
      <w:r>
        <w:rPr>
          <w:noProof/>
        </w:rPr>
        <w:drawing>
          <wp:inline distT="0" distB="0" distL="0" distR="0">
            <wp:extent cx="1678305" cy="381635"/>
            <wp:effectExtent l="0" t="0" r="0" b="0"/>
            <wp:docPr id="10169534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953406"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78305" cy="381635"/>
                    </a:xfrm>
                    <a:prstGeom prst="rect">
                      <a:avLst/>
                    </a:prstGeom>
                    <a:noFill/>
                    <a:ln>
                      <a:noFill/>
                    </a:ln>
                  </pic:spPr>
                </pic:pic>
              </a:graphicData>
            </a:graphic>
          </wp:inline>
        </w:drawing>
      </w:r>
      <w:r>
        <w:rPr>
          <w:rFonts w:hint="eastAsia"/>
        </w:rPr>
        <w:t xml:space="preserve">                  </w:t>
      </w:r>
      <w:r>
        <w:rPr>
          <w:rFonts w:hint="eastAsia"/>
        </w:rPr>
        <w:t>（</w:t>
      </w:r>
      <w:r>
        <w:rPr>
          <w:rFonts w:hint="eastAsia"/>
        </w:rPr>
        <w:t>1</w:t>
      </w:r>
      <w:r>
        <w:rPr>
          <w:rFonts w:hint="eastAsia"/>
        </w:rPr>
        <w:t>）</w:t>
      </w:r>
    </w:p>
    <w:p w:rsidR="00EB53A8" w:rsidRDefault="00000000">
      <w:pPr>
        <w:ind w:firstLine="480"/>
      </w:pPr>
      <w:r>
        <w:rPr>
          <w:rFonts w:hint="eastAsia"/>
        </w:rPr>
        <w:t>工作状态下，流出电池的电流大小就等于光生电流与扩散电流的差。</w:t>
      </w:r>
    </w:p>
    <w:p w:rsidR="00EB53A8" w:rsidRDefault="00000000">
      <w:pPr>
        <w:ind w:firstLine="480"/>
      </w:pPr>
      <w:r>
        <w:rPr>
          <w:rFonts w:hint="eastAsia"/>
        </w:rPr>
        <w:t>内建电场代表着对前置扩散电流的障碍，所以电场减小的同时也增大扩散电流。</w:t>
      </w:r>
    </w:p>
    <w:p w:rsidR="00EB53A8" w:rsidRDefault="00000000">
      <w:pPr>
        <w:ind w:firstLine="480"/>
      </w:pPr>
      <w:r>
        <w:rPr>
          <w:rFonts w:hint="eastAsia"/>
        </w:rPr>
        <w:t xml:space="preserve">                  </w:t>
      </w:r>
      <w:r>
        <w:rPr>
          <w:noProof/>
        </w:rPr>
        <w:drawing>
          <wp:inline distT="0" distB="0" distL="0" distR="0">
            <wp:extent cx="2248535" cy="408940"/>
            <wp:effectExtent l="0" t="0" r="0" b="0"/>
            <wp:docPr id="1818747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4799"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48535" cy="408940"/>
                    </a:xfrm>
                    <a:prstGeom prst="rect">
                      <a:avLst/>
                    </a:prstGeom>
                    <a:noFill/>
                    <a:ln>
                      <a:noFill/>
                    </a:ln>
                  </pic:spPr>
                </pic:pic>
              </a:graphicData>
            </a:graphic>
          </wp:inline>
        </w:drawing>
      </w:r>
      <w:r>
        <w:rPr>
          <w:rFonts w:hint="eastAsia"/>
        </w:rPr>
        <w:t xml:space="preserve">               </w:t>
      </w:r>
      <w:r>
        <w:rPr>
          <w:rFonts w:hint="eastAsia"/>
        </w:rPr>
        <w:t>（</w:t>
      </w:r>
      <w:r>
        <w:rPr>
          <w:rFonts w:hint="eastAsia"/>
        </w:rPr>
        <w:t>2</w:t>
      </w:r>
      <w:r>
        <w:rPr>
          <w:rFonts w:hint="eastAsia"/>
        </w:rPr>
        <w:t>）</w:t>
      </w:r>
    </w:p>
    <w:p w:rsidR="00EB53A8" w:rsidRDefault="00000000">
      <w:pPr>
        <w:ind w:firstLine="480"/>
      </w:pPr>
      <w:r>
        <w:rPr>
          <w:rFonts w:hint="eastAsia"/>
        </w:rPr>
        <w:t>转换的主要步骤如下。</w:t>
      </w:r>
    </w:p>
    <w:p w:rsidR="00EB53A8" w:rsidRDefault="00000000">
      <w:pPr>
        <w:ind w:firstLine="480"/>
      </w:pPr>
      <w:r>
        <w:rPr>
          <w:rFonts w:hint="eastAsia"/>
        </w:rPr>
        <w:t>（</w:t>
      </w:r>
      <w:r>
        <w:rPr>
          <w:rFonts w:hint="eastAsia"/>
        </w:rPr>
        <w:t>1</w:t>
      </w:r>
      <w:r>
        <w:rPr>
          <w:rFonts w:hint="eastAsia"/>
        </w:rPr>
        <w:t>）吸收光子</w:t>
      </w:r>
    </w:p>
    <w:p w:rsidR="00EB53A8" w:rsidRDefault="00000000">
      <w:pPr>
        <w:ind w:firstLine="480"/>
      </w:pPr>
      <w:r>
        <w:rPr>
          <w:rFonts w:hint="eastAsia"/>
        </w:rPr>
        <w:t>光子具有能量，其能量（</w:t>
      </w:r>
      <w:r>
        <w:rPr>
          <w:rFonts w:hint="eastAsia"/>
        </w:rPr>
        <w:t>E</w:t>
      </w:r>
      <w:r>
        <w:rPr>
          <w:rFonts w:hint="eastAsia"/>
        </w:rPr>
        <w:t>）与其波长（λ）成反比关系，由能量公式</w:t>
      </w:r>
      <w:r>
        <w:rPr>
          <w:rFonts w:hint="eastAsia"/>
        </w:rPr>
        <w:t xml:space="preserve"> E = hc/</w:t>
      </w:r>
      <w:r>
        <w:rPr>
          <w:rFonts w:hint="eastAsia"/>
        </w:rPr>
        <w:t>λ（</w:t>
      </w:r>
      <w:r>
        <w:rPr>
          <w:rFonts w:hint="eastAsia"/>
        </w:rPr>
        <w:t>h</w:t>
      </w:r>
      <w:r>
        <w:rPr>
          <w:rFonts w:hint="eastAsia"/>
        </w:rPr>
        <w:t>为普朗克常数，</w:t>
      </w:r>
      <w:r>
        <w:rPr>
          <w:rFonts w:hint="eastAsia"/>
        </w:rPr>
        <w:t>c</w:t>
      </w:r>
      <w:r>
        <w:rPr>
          <w:rFonts w:hint="eastAsia"/>
        </w:rPr>
        <w:t>为光速）描述。</w:t>
      </w:r>
    </w:p>
    <w:p w:rsidR="00EB53A8" w:rsidRDefault="00000000">
      <w:pPr>
        <w:ind w:firstLine="480"/>
      </w:pPr>
      <w:r>
        <w:rPr>
          <w:rFonts w:hint="eastAsia"/>
        </w:rPr>
        <w:t>当光子能量大于材料的带隙能量（即导带与价带之间的能隙），光子被吸收，激发出电子。</w:t>
      </w:r>
    </w:p>
    <w:p w:rsidR="00EB53A8" w:rsidRDefault="00000000">
      <w:pPr>
        <w:ind w:firstLine="480"/>
      </w:pPr>
      <w:r>
        <w:rPr>
          <w:rFonts w:hint="eastAsia"/>
        </w:rPr>
        <w:t>在太阳光波长为λ，照射在半导体材料上，其逸出功为</w:t>
      </w:r>
      <w:r>
        <w:rPr>
          <w:rFonts w:hint="eastAsia"/>
        </w:rPr>
        <w:t>W</w:t>
      </w:r>
      <w:r>
        <w:rPr>
          <w:rFonts w:hint="eastAsia"/>
        </w:rPr>
        <w:t>，根据爱因斯坦光电效应方程</w:t>
      </w:r>
      <w:r>
        <w:rPr>
          <w:rFonts w:hint="eastAsia"/>
        </w:rPr>
        <w:lastRenderedPageBreak/>
        <w:t>式可知</w:t>
      </w:r>
      <w:r>
        <w:rPr>
          <w:noProof/>
        </w:rPr>
        <w:drawing>
          <wp:inline distT="0" distB="0" distL="0" distR="0">
            <wp:extent cx="2382520" cy="387350"/>
            <wp:effectExtent l="0" t="0" r="0" b="0"/>
            <wp:docPr id="9022936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93636"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82520" cy="387350"/>
                    </a:xfrm>
                    <a:prstGeom prst="rect">
                      <a:avLst/>
                    </a:prstGeom>
                    <a:noFill/>
                    <a:ln>
                      <a:noFill/>
                    </a:ln>
                  </pic:spPr>
                </pic:pic>
              </a:graphicData>
            </a:graphic>
          </wp:inline>
        </w:drawing>
      </w:r>
      <w:r>
        <w:rPr>
          <w:rFonts w:hint="eastAsia"/>
        </w:rPr>
        <w:t>，等号两边互换整理后得到</w:t>
      </w:r>
      <w:r>
        <w:rPr>
          <w:noProof/>
        </w:rPr>
        <w:drawing>
          <wp:inline distT="0" distB="0" distL="0" distR="0">
            <wp:extent cx="1306830" cy="387350"/>
            <wp:effectExtent l="0" t="0" r="7620" b="0"/>
            <wp:docPr id="16392283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8367"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06830" cy="387350"/>
                    </a:xfrm>
                    <a:prstGeom prst="rect">
                      <a:avLst/>
                    </a:prstGeom>
                    <a:noFill/>
                    <a:ln>
                      <a:noFill/>
                    </a:ln>
                  </pic:spPr>
                </pic:pic>
              </a:graphicData>
            </a:graphic>
          </wp:inline>
        </w:drawing>
      </w:r>
      <w:r>
        <w:rPr>
          <w:rFonts w:hint="eastAsia"/>
        </w:rPr>
        <w:t>，即可得到光电子的能量</w:t>
      </w:r>
      <w:r>
        <w:rPr>
          <w:noProof/>
        </w:rPr>
        <w:drawing>
          <wp:inline distT="0" distB="0" distL="0" distR="0">
            <wp:extent cx="553720" cy="285115"/>
            <wp:effectExtent l="0" t="0" r="0" b="635"/>
            <wp:docPr id="2805520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52016"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3720" cy="285115"/>
                    </a:xfrm>
                    <a:prstGeom prst="rect">
                      <a:avLst/>
                    </a:prstGeom>
                    <a:noFill/>
                    <a:ln>
                      <a:noFill/>
                    </a:ln>
                  </pic:spPr>
                </pic:pic>
              </a:graphicData>
            </a:graphic>
          </wp:inline>
        </w:drawing>
      </w:r>
      <w:r>
        <w:rPr>
          <w:rFonts w:hint="eastAsia"/>
        </w:rPr>
        <w:t>，而其中</w:t>
      </w:r>
      <w:r>
        <w:rPr>
          <w:noProof/>
        </w:rPr>
        <w:drawing>
          <wp:inline distT="0" distB="0" distL="0" distR="0">
            <wp:extent cx="457200" cy="387350"/>
            <wp:effectExtent l="0" t="0" r="0" b="0"/>
            <wp:docPr id="1122524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4555"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 cy="387350"/>
                    </a:xfrm>
                    <a:prstGeom prst="rect">
                      <a:avLst/>
                    </a:prstGeom>
                    <a:noFill/>
                    <a:ln>
                      <a:noFill/>
                    </a:ln>
                  </pic:spPr>
                </pic:pic>
              </a:graphicData>
            </a:graphic>
          </wp:inline>
        </w:drawing>
      </w:r>
      <w:r>
        <w:rPr>
          <w:rFonts w:hint="eastAsia"/>
        </w:rPr>
        <w:t>值恒定，为</w:t>
      </w:r>
      <w:r>
        <w:rPr>
          <w:rFonts w:hint="eastAsia"/>
        </w:rPr>
        <w:t>6.63x10</w:t>
      </w:r>
      <w:r>
        <w:rPr>
          <w:rFonts w:hint="eastAsia"/>
          <w:vertAlign w:val="superscript"/>
        </w:rPr>
        <w:t>-34</w:t>
      </w:r>
      <w:r>
        <w:rPr>
          <w:rFonts w:hint="eastAsia"/>
        </w:rPr>
        <w:t>J</w:t>
      </w:r>
      <w:r>
        <w:rPr>
          <w:rFonts w:hint="eastAsia"/>
        </w:rPr>
        <w:t>·</w:t>
      </w:r>
      <w:r>
        <w:rPr>
          <w:rFonts w:hint="eastAsia"/>
        </w:rPr>
        <w:t>s</w:t>
      </w:r>
      <w:r>
        <w:rPr>
          <w:rFonts w:hint="eastAsia"/>
        </w:rPr>
        <w:t>。</w:t>
      </w:r>
    </w:p>
    <w:p w:rsidR="00EB53A8" w:rsidRDefault="00000000">
      <w:pPr>
        <w:ind w:firstLine="480"/>
      </w:pPr>
      <w:r>
        <w:rPr>
          <w:rFonts w:hint="eastAsia"/>
        </w:rPr>
        <w:t>此处举波长为</w:t>
      </w:r>
      <w:r>
        <w:rPr>
          <w:rFonts w:hint="eastAsia"/>
        </w:rPr>
        <w:t>450nm</w:t>
      </w:r>
      <w:r>
        <w:rPr>
          <w:rFonts w:hint="eastAsia"/>
        </w:rPr>
        <w:t>的单色光入射到光洁钠表面为例，试设其逸出功为</w:t>
      </w:r>
      <w:r>
        <w:rPr>
          <w:rFonts w:hint="eastAsia"/>
        </w:rPr>
        <w:t>W=3.70x10</w:t>
      </w:r>
      <w:r>
        <w:rPr>
          <w:rFonts w:hint="eastAsia"/>
          <w:vertAlign w:val="superscript"/>
        </w:rPr>
        <w:t>-19</w:t>
      </w:r>
      <w:r>
        <w:rPr>
          <w:rFonts w:hint="eastAsia"/>
        </w:rPr>
        <w:t>J=2.31eV</w:t>
      </w:r>
      <w:r>
        <w:rPr>
          <w:rFonts w:hint="eastAsia"/>
        </w:rPr>
        <w:t>，则可得其单色光中一个光电子的能量为</w:t>
      </w:r>
    </w:p>
    <w:p w:rsidR="00EB53A8" w:rsidRDefault="00000000">
      <w:pPr>
        <w:ind w:firstLine="480"/>
      </w:pPr>
      <w:r>
        <w:rPr>
          <w:noProof/>
        </w:rPr>
        <w:drawing>
          <wp:inline distT="0" distB="0" distL="0" distR="0">
            <wp:extent cx="4908550" cy="290195"/>
            <wp:effectExtent l="0" t="0" r="0" b="0"/>
            <wp:docPr id="679429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2918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75752" cy="294404"/>
                    </a:xfrm>
                    <a:prstGeom prst="rect">
                      <a:avLst/>
                    </a:prstGeom>
                    <a:noFill/>
                    <a:ln>
                      <a:noFill/>
                    </a:ln>
                  </pic:spPr>
                </pic:pic>
              </a:graphicData>
            </a:graphic>
          </wp:inline>
        </w:drawing>
      </w:r>
      <w:r>
        <w:rPr>
          <w:rFonts w:hint="eastAsia"/>
        </w:rPr>
        <w:t>（</w:t>
      </w:r>
      <w:r>
        <w:rPr>
          <w:rFonts w:hint="eastAsia"/>
        </w:rPr>
        <w:t>3</w:t>
      </w:r>
      <w:r>
        <w:rPr>
          <w:rFonts w:hint="eastAsia"/>
        </w:rPr>
        <w:t>）</w:t>
      </w:r>
    </w:p>
    <w:p w:rsidR="00EB53A8" w:rsidRDefault="00000000">
      <w:pPr>
        <w:ind w:firstLine="480"/>
      </w:pPr>
      <w:r>
        <w:rPr>
          <w:rFonts w:hint="eastAsia"/>
        </w:rPr>
        <w:t>（</w:t>
      </w:r>
      <w:r>
        <w:rPr>
          <w:rFonts w:hint="eastAsia"/>
        </w:rPr>
        <w:t>2</w:t>
      </w:r>
      <w:r>
        <w:rPr>
          <w:rFonts w:hint="eastAsia"/>
        </w:rPr>
        <w:t>）电子跃迁</w:t>
      </w:r>
    </w:p>
    <w:p w:rsidR="00EB53A8" w:rsidRDefault="00000000">
      <w:pPr>
        <w:ind w:firstLine="480"/>
      </w:pPr>
      <w:r>
        <w:rPr>
          <w:rFonts w:hint="eastAsia"/>
        </w:rPr>
        <w:t>被激发的电子跃迁到导带，成为自由电子，而原来的位置留下一个正电子空穴（电子从价带到导带的跃迁）。</w:t>
      </w:r>
      <w:r>
        <w:rPr>
          <w:rFonts w:hint="eastAsia"/>
        </w:rPr>
        <w:t>P</w:t>
      </w:r>
      <w:r>
        <w:rPr>
          <w:rFonts w:hint="eastAsia"/>
        </w:rPr>
        <w:t>型半导体中的部分原子因失去空穴而变成负离子，</w:t>
      </w:r>
      <w:r>
        <w:rPr>
          <w:rFonts w:ascii="Times New Roman" w:hAnsi="Times New Roman" w:cs="Times New Roman"/>
        </w:rPr>
        <w:t>‌</w:t>
      </w:r>
      <w:r>
        <w:rPr>
          <w:rFonts w:ascii="宋体" w:eastAsia="宋体" w:hAnsi="宋体" w:cs="宋体" w:hint="eastAsia"/>
        </w:rPr>
        <w:t>而</w:t>
      </w:r>
      <w:r>
        <w:rPr>
          <w:rFonts w:hint="eastAsia"/>
        </w:rPr>
        <w:t>N</w:t>
      </w:r>
      <w:r>
        <w:rPr>
          <w:rFonts w:hint="eastAsia"/>
        </w:rPr>
        <w:t>型半导体中的部分原子因失去电子而变成正离子。</w:t>
      </w:r>
      <w:r>
        <w:rPr>
          <w:rFonts w:ascii="Times New Roman" w:hAnsi="Times New Roman" w:cs="Times New Roman"/>
        </w:rPr>
        <w:t>‌</w:t>
      </w:r>
      <w:r>
        <w:rPr>
          <w:rFonts w:ascii="宋体" w:eastAsia="宋体" w:hAnsi="宋体" w:cs="宋体" w:hint="eastAsia"/>
        </w:rPr>
        <w:t>当</w:t>
      </w:r>
      <w:r>
        <w:rPr>
          <w:rFonts w:hint="eastAsia"/>
        </w:rPr>
        <w:t>P</w:t>
      </w:r>
      <w:r>
        <w:rPr>
          <w:rFonts w:hint="eastAsia"/>
        </w:rPr>
        <w:t>型和</w:t>
      </w:r>
      <w:r>
        <w:rPr>
          <w:rFonts w:hint="eastAsia"/>
        </w:rPr>
        <w:t>N</w:t>
      </w:r>
      <w:r>
        <w:rPr>
          <w:rFonts w:hint="eastAsia"/>
        </w:rPr>
        <w:t>型半导体接触时，</w:t>
      </w:r>
      <w:r>
        <w:rPr>
          <w:rFonts w:ascii="Times New Roman" w:hAnsi="Times New Roman" w:cs="Times New Roman"/>
        </w:rPr>
        <w:t>‌</w:t>
      </w:r>
      <w:r>
        <w:rPr>
          <w:rFonts w:ascii="宋体" w:eastAsia="宋体" w:hAnsi="宋体" w:cs="宋体" w:hint="eastAsia"/>
        </w:rPr>
        <w:t>它们之间会形成一个空间电荷区，</w:t>
      </w:r>
      <w:r>
        <w:rPr>
          <w:rFonts w:ascii="Times New Roman" w:hAnsi="Times New Roman" w:cs="Times New Roman"/>
        </w:rPr>
        <w:t>‌</w:t>
      </w:r>
      <w:r>
        <w:rPr>
          <w:rFonts w:ascii="宋体" w:eastAsia="宋体" w:hAnsi="宋体" w:cs="宋体" w:hint="eastAsia"/>
        </w:rPr>
        <w:t>即</w:t>
      </w:r>
      <w:r>
        <w:rPr>
          <w:rFonts w:hint="eastAsia"/>
        </w:rPr>
        <w:t>PN</w:t>
      </w:r>
      <w:r>
        <w:rPr>
          <w:rFonts w:hint="eastAsia"/>
        </w:rPr>
        <w:t>结。</w:t>
      </w:r>
      <w:r>
        <w:rPr>
          <w:rFonts w:ascii="Times New Roman" w:hAnsi="Times New Roman" w:cs="Times New Roman"/>
        </w:rPr>
        <w:t>‌</w:t>
      </w:r>
      <w:r>
        <w:rPr>
          <w:rFonts w:ascii="宋体" w:eastAsia="宋体" w:hAnsi="宋体" w:cs="宋体" w:hint="eastAsia"/>
        </w:rPr>
        <w:t>在光照条件下，</w:t>
      </w:r>
      <w:r>
        <w:rPr>
          <w:rFonts w:ascii="Times New Roman" w:hAnsi="Times New Roman" w:cs="Times New Roman"/>
        </w:rPr>
        <w:t>‌</w:t>
      </w:r>
      <w:r>
        <w:rPr>
          <w:rFonts w:ascii="宋体" w:eastAsia="宋体" w:hAnsi="宋体" w:cs="宋体" w:hint="eastAsia"/>
        </w:rPr>
        <w:t>半导体材料内的电子吸收光子能量后从价带跃迁到导带，</w:t>
      </w:r>
      <w:r>
        <w:rPr>
          <w:rFonts w:ascii="Times New Roman" w:hAnsi="Times New Roman" w:cs="Times New Roman"/>
        </w:rPr>
        <w:t>‌</w:t>
      </w:r>
      <w:r>
        <w:rPr>
          <w:rFonts w:ascii="宋体" w:eastAsia="宋体" w:hAnsi="宋体" w:cs="宋体" w:hint="eastAsia"/>
        </w:rPr>
        <w:t>形成电子</w:t>
      </w:r>
      <w:r>
        <w:rPr>
          <w:rFonts w:hint="eastAsia"/>
        </w:rPr>
        <w:t>-</w:t>
      </w:r>
      <w:r>
        <w:rPr>
          <w:rFonts w:hint="eastAsia"/>
        </w:rPr>
        <w:t>空穴对。</w:t>
      </w:r>
      <w:r>
        <w:rPr>
          <w:rFonts w:ascii="Times New Roman" w:hAnsi="Times New Roman" w:cs="Times New Roman"/>
        </w:rPr>
        <w:t>‌</w:t>
      </w:r>
      <w:r>
        <w:rPr>
          <w:rFonts w:ascii="宋体" w:eastAsia="宋体" w:hAnsi="宋体" w:cs="宋体" w:hint="eastAsia"/>
        </w:rPr>
        <w:t>这些电子和空穴在内建电场的作用下分别向相反方向移动，</w:t>
      </w:r>
      <w:r>
        <w:rPr>
          <w:rFonts w:ascii="Times New Roman" w:hAnsi="Times New Roman" w:cs="Times New Roman"/>
        </w:rPr>
        <w:t>‌</w:t>
      </w:r>
      <w:r>
        <w:rPr>
          <w:rFonts w:ascii="宋体" w:eastAsia="宋体" w:hAnsi="宋体" w:cs="宋体" w:hint="eastAsia"/>
        </w:rPr>
        <w:t>最终形成电动势，</w:t>
      </w:r>
      <w:r>
        <w:rPr>
          <w:rFonts w:ascii="Times New Roman" w:hAnsi="Times New Roman" w:cs="Times New Roman"/>
        </w:rPr>
        <w:t>‌</w:t>
      </w:r>
      <w:r>
        <w:rPr>
          <w:rFonts w:ascii="宋体" w:eastAsia="宋体" w:hAnsi="宋体" w:cs="宋体" w:hint="eastAsia"/>
        </w:rPr>
        <w:t>即开路电压。</w:t>
      </w:r>
      <w:r>
        <w:rPr>
          <w:rFonts w:ascii="Times New Roman" w:hAnsi="Times New Roman" w:cs="Times New Roman"/>
        </w:rPr>
        <w:t>‌</w:t>
      </w:r>
      <w:r>
        <w:rPr>
          <w:rFonts w:ascii="宋体" w:eastAsia="宋体" w:hAnsi="宋体" w:cs="宋体" w:hint="eastAsia"/>
        </w:rPr>
        <w:t>当用导线连接太阳能电池的两端并外接负载时，</w:t>
      </w:r>
      <w:r>
        <w:rPr>
          <w:rFonts w:ascii="Times New Roman" w:hAnsi="Times New Roman" w:cs="Times New Roman"/>
        </w:rPr>
        <w:t>‌</w:t>
      </w:r>
      <w:r>
        <w:rPr>
          <w:rFonts w:ascii="宋体" w:eastAsia="宋体" w:hAnsi="宋体" w:cs="宋体" w:hint="eastAsia"/>
        </w:rPr>
        <w:t>就可以对外输出电能。</w:t>
      </w:r>
    </w:p>
    <w:p w:rsidR="00EB53A8" w:rsidRDefault="00000000">
      <w:pPr>
        <w:ind w:firstLine="480"/>
      </w:pPr>
      <w:r>
        <w:rPr>
          <w:rFonts w:hint="eastAsia"/>
        </w:rPr>
        <w:t>（</w:t>
      </w:r>
      <w:r>
        <w:rPr>
          <w:rFonts w:hint="eastAsia"/>
        </w:rPr>
        <w:t>3</w:t>
      </w:r>
      <w:r>
        <w:rPr>
          <w:rFonts w:hint="eastAsia"/>
        </w:rPr>
        <w:t>）载流子分离</w:t>
      </w:r>
    </w:p>
    <w:p w:rsidR="00EB53A8" w:rsidRDefault="00000000">
      <w:pPr>
        <w:ind w:firstLine="480"/>
      </w:pPr>
      <w:r>
        <w:rPr>
          <w:rFonts w:hint="eastAsia"/>
        </w:rPr>
        <w:t>在光伏电池结构中，通常通过内建电场或外加电场促使电子和空穴分离，防止它们再结合成对。</w:t>
      </w:r>
    </w:p>
    <w:p w:rsidR="00EB53A8" w:rsidRDefault="00000000">
      <w:pPr>
        <w:ind w:firstLine="480"/>
      </w:pPr>
      <w:r>
        <w:rPr>
          <w:rFonts w:hint="eastAsia"/>
        </w:rPr>
        <w:t>关键在于选择合适的半导体材料和优化器件结构，以最大限度地吸收太阳光谱中的光子能量，并将其转化为电能</w:t>
      </w:r>
      <w:r>
        <w:rPr>
          <w:rFonts w:hint="eastAsia"/>
          <w:vertAlign w:val="superscript"/>
        </w:rPr>
        <w:t>[7]</w:t>
      </w:r>
      <w:r>
        <w:rPr>
          <w:rFonts w:hint="eastAsia"/>
        </w:rPr>
        <w:t>。在我们经过多次实验测试以后，我们得出了太阳能光伏发电板转换效率（太阳能光伏发电板转换效率为太阳能电池将太阳能辐射能转化为电能的比率）约为</w:t>
      </w:r>
      <w:r>
        <w:rPr>
          <w:rFonts w:hint="eastAsia"/>
        </w:rPr>
        <w:t>17%</w:t>
      </w:r>
      <w:r>
        <w:rPr>
          <w:rFonts w:hint="eastAsia"/>
        </w:rPr>
        <w:t>到</w:t>
      </w:r>
      <w:r>
        <w:rPr>
          <w:rFonts w:hint="eastAsia"/>
        </w:rPr>
        <w:t>21%</w:t>
      </w:r>
      <w:r>
        <w:rPr>
          <w:rFonts w:hint="eastAsia"/>
        </w:rPr>
        <w:t>左右，具体如下表格</w:t>
      </w:r>
      <w:r>
        <w:rPr>
          <w:rFonts w:hint="eastAsia"/>
        </w:rPr>
        <w:t>5</w:t>
      </w:r>
      <w:r>
        <w:rPr>
          <w:rFonts w:hint="eastAsia"/>
        </w:rPr>
        <w:t>，而影响其转换效率的主要因素有光伏材料、光伏板温度光伏板光谱响应以及光伏板的表面反射。</w:t>
      </w:r>
    </w:p>
    <w:p w:rsidR="00EB53A8" w:rsidRDefault="00000000">
      <w:pPr>
        <w:ind w:firstLineChars="0" w:firstLine="0"/>
        <w:jc w:val="center"/>
      </w:pPr>
      <w:r>
        <w:rPr>
          <w:rFonts w:ascii="黑体" w:eastAsia="黑体" w:hAnsi="黑体" w:hint="eastAsia"/>
          <w:sz w:val="18"/>
          <w:szCs w:val="18"/>
        </w:rPr>
        <w:t>表5 太阳能光伏发电板转换效率</w:t>
      </w:r>
    </w:p>
    <w:tbl>
      <w:tblPr>
        <w:tblStyle w:val="a4"/>
        <w:tblW w:w="0" w:type="auto"/>
        <w:tblLook w:val="04A0" w:firstRow="1" w:lastRow="0" w:firstColumn="1" w:lastColumn="0" w:noHBand="0" w:noVBand="1"/>
      </w:tblPr>
      <w:tblGrid>
        <w:gridCol w:w="2130"/>
        <w:gridCol w:w="2130"/>
        <w:gridCol w:w="2131"/>
        <w:gridCol w:w="2131"/>
      </w:tblGrid>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测试时间（</w:t>
            </w:r>
            <w:r>
              <w:rPr>
                <w:rFonts w:hint="eastAsia"/>
                <w:b/>
                <w:bCs/>
              </w:rPr>
              <w:t>TIME</w:t>
            </w:r>
            <w:r>
              <w:rPr>
                <w:rFonts w:hint="eastAsia"/>
                <w:b/>
                <w:bCs/>
              </w:rPr>
              <w:t>）</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单位面积太阳能辐射能（焦耳（</w:t>
            </w:r>
            <w:r>
              <w:rPr>
                <w:rFonts w:hint="eastAsia"/>
                <w:b/>
                <w:bCs/>
              </w:rPr>
              <w:t>J</w:t>
            </w:r>
            <w:r>
              <w:rPr>
                <w:rFonts w:hint="eastAsia"/>
                <w:b/>
                <w:bCs/>
              </w:rPr>
              <w:t>））</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产生的电能（焦耳（</w:t>
            </w:r>
            <w:r>
              <w:rPr>
                <w:rFonts w:hint="eastAsia"/>
                <w:b/>
                <w:bCs/>
              </w:rPr>
              <w:t>J</w:t>
            </w:r>
            <w:r>
              <w:rPr>
                <w:rFonts w:hint="eastAsia"/>
                <w:b/>
                <w:bCs/>
              </w:rPr>
              <w:t>））</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电能转换效率</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7:00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2780</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497.613</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17.9%</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9:00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13469</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2491.765</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18.5%</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11:00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42834</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8823.804</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20.6%</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12:00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66367</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13074.299</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19.7%</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13:00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60989</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11953.844</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19.6%</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15:00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45487</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9279.348</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20.4%</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17:00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25465</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4711.025</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18.5%</w:t>
            </w:r>
          </w:p>
        </w:tc>
      </w:tr>
      <w:tr w:rsidR="00EB53A8">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19:00</w:t>
            </w:r>
          </w:p>
        </w:tc>
        <w:tc>
          <w:tcPr>
            <w:tcW w:w="2130"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1690</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288.99</w:t>
            </w:r>
          </w:p>
        </w:tc>
        <w:tc>
          <w:tcPr>
            <w:tcW w:w="2131" w:type="dxa"/>
            <w:tcBorders>
              <w:top w:val="single" w:sz="4" w:space="0" w:color="auto"/>
              <w:left w:val="single" w:sz="4" w:space="0" w:color="auto"/>
              <w:bottom w:val="single" w:sz="4" w:space="0" w:color="auto"/>
              <w:right w:val="single" w:sz="4" w:space="0" w:color="auto"/>
            </w:tcBorders>
          </w:tcPr>
          <w:p w:rsidR="00EB53A8" w:rsidRDefault="00000000">
            <w:pPr>
              <w:ind w:firstLine="482"/>
              <w:rPr>
                <w:b/>
                <w:bCs/>
              </w:rPr>
            </w:pPr>
            <w:r>
              <w:rPr>
                <w:rFonts w:hint="eastAsia"/>
                <w:b/>
                <w:bCs/>
              </w:rPr>
              <w:t>17.1%</w:t>
            </w:r>
          </w:p>
        </w:tc>
      </w:tr>
    </w:tbl>
    <w:p w:rsidR="00EB53A8" w:rsidRDefault="00EB53A8">
      <w:pPr>
        <w:ind w:firstLineChars="0" w:firstLine="0"/>
        <w:rPr>
          <w:b/>
          <w:bCs/>
        </w:rPr>
      </w:pPr>
    </w:p>
    <w:p w:rsidR="00EB53A8" w:rsidRDefault="00000000">
      <w:pPr>
        <w:pStyle w:val="3"/>
      </w:pPr>
      <w:r>
        <w:rPr>
          <w:rFonts w:hint="eastAsia"/>
        </w:rPr>
        <w:t>3.6</w:t>
      </w:r>
      <w:r>
        <w:t>超声波测距原理</w:t>
      </w:r>
    </w:p>
    <w:p w:rsidR="00EB53A8" w:rsidRDefault="00000000">
      <w:pPr>
        <w:ind w:firstLine="480"/>
      </w:pPr>
      <w:r>
        <w:rPr>
          <w:rFonts w:hint="eastAsia"/>
        </w:rPr>
        <w:t>智能垃圾分类箱中超声波测距技术的应用，是实现垃圾桶满载预警功能的关键。超声波测距基于声波在介质中传播的特性，通过测量声波发射和接收之间的时间差来确定距离。该技术在智能垃圾分类箱中发挥着至关重要的作用，尤其是在监测垃圾填充水平并预防溢出的场景中。</w:t>
      </w:r>
    </w:p>
    <w:p w:rsidR="00EB53A8" w:rsidRDefault="00000000">
      <w:pPr>
        <w:ind w:firstLine="480"/>
      </w:pPr>
      <w:r>
        <w:rPr>
          <w:rFonts w:hint="eastAsia"/>
        </w:rPr>
        <w:lastRenderedPageBreak/>
        <w:t>超声波测距系统主要由发射器、接收器以及控制单元组成。发射器产生特定频率的超声波脉冲，当这些声波遇到垃圾桶内的垃圾或其他障碍物时，会反射回来并被接收器捕获。系统通过精确测量发射和接收之间的时间间隔，利用已知的声速在介质中（通常是空气）来计算距离。</w:t>
      </w:r>
    </w:p>
    <w:p w:rsidR="00EB53A8" w:rsidRDefault="00000000">
      <w:pPr>
        <w:ind w:firstLine="480"/>
      </w:pPr>
      <w:r>
        <w:t>长度的测量实际上是将标准长度与被测长度进行比较，从而获取被测长度与标准长度的关系。一般可用式</w:t>
      </w:r>
      <w:r>
        <w:rPr>
          <w:rFonts w:hint="eastAsia"/>
          <w:position w:val="-10"/>
        </w:rPr>
        <w:object w:dxaOrig="1482" w:dyaOrig="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16.1pt" o:ole="">
            <v:imagedata r:id="rId13" o:title=""/>
          </v:shape>
          <o:OLEObject Type="Embed" ProgID="Equation.3" ShapeID="_x0000_i1025" DrawAspect="Content" ObjectID="_1784215120" r:id="rId14"/>
        </w:object>
      </w:r>
      <w:r>
        <w:t>表示</w:t>
      </w:r>
      <w:r>
        <w:rPr>
          <w:rFonts w:hint="eastAsia"/>
        </w:rPr>
        <w:t>，式中</w:t>
      </w:r>
      <w:r>
        <w:rPr>
          <w:rFonts w:hint="eastAsia"/>
        </w:rPr>
        <w:t>L</w:t>
      </w:r>
      <w:r>
        <w:t>为被测长度，</w:t>
      </w:r>
      <w:r>
        <w:rPr>
          <w:rFonts w:hint="eastAsia"/>
        </w:rPr>
        <w:t>S</w:t>
      </w:r>
      <w:r>
        <w:t>为标准长度，</w:t>
      </w:r>
      <w:r>
        <w:t xml:space="preserve"> </w:t>
      </w:r>
      <w:r>
        <w:rPr>
          <w:rFonts w:hint="eastAsia"/>
        </w:rPr>
        <w:t>N</w:t>
      </w:r>
      <w:r>
        <w:t>为整数，</w:t>
      </w:r>
      <w:r>
        <w:rPr>
          <w:rFonts w:ascii="宋体" w:eastAsia="宋体" w:hAnsi="宋体" w:cs="宋体"/>
          <w:position w:val="-6"/>
        </w:rPr>
        <w:object w:dxaOrig="203" w:dyaOrig="220">
          <v:shape id="_x0000_i1026" type="#_x0000_t75" style="width:10.5pt;height:11.2pt" o:ole="">
            <v:imagedata r:id="rId15" o:title=""/>
          </v:shape>
          <o:OLEObject Type="Embed" ProgID="Equation.3" ShapeID="_x0000_i1026" DrawAspect="Content" ObjectID="_1784215121" r:id="rId16"/>
        </w:object>
      </w:r>
      <w:r>
        <w:t>为真分数。从式</w:t>
      </w:r>
      <w:r>
        <w:rPr>
          <w:rFonts w:hint="eastAsia"/>
        </w:rPr>
        <w:t>中</w:t>
      </w:r>
      <w:r>
        <w:t>可以看出，若要进行距离等长度测量，则必须有长度标准量，以及通过各种测试计量技术获得的</w:t>
      </w:r>
      <w:r>
        <w:rPr>
          <w:rFonts w:hint="eastAsia"/>
        </w:rPr>
        <w:t>N</w:t>
      </w:r>
      <w:r>
        <w:t>和</w:t>
      </w:r>
      <w:r>
        <w:rPr>
          <w:rFonts w:ascii="宋体" w:eastAsia="宋体" w:hAnsi="宋体" w:cs="宋体"/>
          <w:position w:val="-6"/>
        </w:rPr>
        <w:object w:dxaOrig="203" w:dyaOrig="220">
          <v:shape id="_x0000_i1027" type="#_x0000_t75" style="width:10.5pt;height:11.2pt" o:ole="">
            <v:imagedata r:id="rId15" o:title=""/>
          </v:shape>
          <o:OLEObject Type="Embed" ProgID="Equation.3" ShapeID="_x0000_i1027" DrawAspect="Content" ObjectID="_1784215122" r:id="rId17"/>
        </w:object>
      </w:r>
      <w:r>
        <w:t>。常用的测量方法主要有两种</w:t>
      </w:r>
      <w:r>
        <w:rPr>
          <w:rFonts w:hint="eastAsia"/>
        </w:rPr>
        <w:t>:</w:t>
      </w:r>
      <w:r>
        <w:t>一种是直接使用实物标准与被测长度进行比较，如日常生活中广泛使用的尺子另一种则是利用光波、声波等自然标准进行测量，通过人为的调制或预定波长，利用光速、声速的确定性，由光波、声波在被测距离中传播的时间得出测量长度。</w:t>
      </w:r>
      <w:r>
        <w:rPr>
          <w:rFonts w:hint="eastAsia"/>
        </w:rPr>
        <w:t>本项目</w:t>
      </w:r>
      <w:r>
        <w:t>即是采用后者，利用超声波在同一介质中在相当大频率范围内不随频率变化的特点，通过测量超声波在被测距离内传播的时间，从而得到需要的测</w:t>
      </w:r>
      <w:r>
        <w:t xml:space="preserve"> </w:t>
      </w:r>
      <w:r>
        <w:t>量值，这是一种典型的间接测量技术。超声波传播速度很快，在</w:t>
      </w:r>
      <w:r>
        <w:rPr>
          <w:rFonts w:hint="eastAsia"/>
        </w:rPr>
        <w:t>20</w:t>
      </w:r>
      <w:r>
        <w:t>℃</w:t>
      </w:r>
      <w:r>
        <w:t>时约为</w:t>
      </w:r>
      <w:r>
        <w:rPr>
          <w:rFonts w:hint="eastAsia"/>
        </w:rPr>
        <w:t>344m/s</w:t>
      </w:r>
      <w:r>
        <w:rPr>
          <w:rFonts w:hint="eastAsia"/>
        </w:rPr>
        <w:t>，</w:t>
      </w:r>
      <w:r>
        <w:t>若要求测距误差小于</w:t>
      </w:r>
      <w:r>
        <w:rPr>
          <w:rFonts w:hint="eastAsia"/>
        </w:rPr>
        <w:t>0.01m</w:t>
      </w:r>
      <w:r>
        <w:t>，忽略其它误差，那么时间最大测量误差</w:t>
      </w:r>
      <w:r>
        <w:rPr>
          <w:rFonts w:ascii="宋体" w:eastAsia="宋体" w:hAnsi="宋体" w:cs="宋体"/>
          <w:position w:val="-24"/>
        </w:rPr>
        <w:object w:dxaOrig="2321" w:dyaOrig="618">
          <v:shape id="_x0000_i1028" type="#_x0000_t75" style="width:116.05pt;height:30.75pt" o:ole="">
            <v:imagedata r:id="rId18" o:title=""/>
          </v:shape>
          <o:OLEObject Type="Embed" ProgID="Equation.3" ShapeID="_x0000_i1028" DrawAspect="Content" ObjectID="_1784215123" r:id="rId19"/>
        </w:object>
      </w:r>
      <w:r>
        <w:rPr>
          <w:rFonts w:hint="eastAsia"/>
        </w:rPr>
        <w:t>，</w:t>
      </w:r>
      <w:r>
        <w:t>不难看出，直接用钟表等计时器对时间进行测量，准确到</w:t>
      </w:r>
      <w:r>
        <w:rPr>
          <w:rFonts w:hint="eastAsia"/>
        </w:rPr>
        <w:t>0.00003</w:t>
      </w:r>
      <w:r>
        <w:rPr>
          <w:rFonts w:hint="eastAsia"/>
        </w:rPr>
        <w:t>是做不到</w:t>
      </w:r>
      <w:r>
        <w:t>的。因此为获得准确、实用的测量值就必须避开直接测量时间的方法。</w:t>
      </w:r>
    </w:p>
    <w:p w:rsidR="00EB53A8" w:rsidRDefault="00EB53A8">
      <w:pPr>
        <w:ind w:firstLine="480"/>
      </w:pPr>
    </w:p>
    <w:p w:rsidR="00EB53A8" w:rsidRDefault="00EB53A8">
      <w:pPr>
        <w:ind w:firstLine="480"/>
      </w:pPr>
    </w:p>
    <w:p w:rsidR="00EB53A8" w:rsidRDefault="00000000">
      <w:pPr>
        <w:ind w:firstLine="480"/>
      </w:pPr>
      <w:r>
        <w:rPr>
          <w:rFonts w:hint="eastAsia"/>
        </w:rPr>
        <w:t>在智能垃圾分类箱的应用中，超声波传感器被安装在垃圾桶的上沿，以便于对桶内垃圾量进行实时监测。当垃圾量达到预设的阈值，如</w:t>
      </w:r>
      <w:r>
        <w:rPr>
          <w:rFonts w:hint="eastAsia"/>
        </w:rPr>
        <w:t>75%</w:t>
      </w:r>
      <w:r>
        <w:rPr>
          <w:rFonts w:hint="eastAsia"/>
        </w:rPr>
        <w:t>的容量时，控制系统会触发预警机制，通过显示屏或声音信号提醒用户及时清理垃圾，从而避免垃圾溢出和可能伴随的环境污染问题。</w:t>
      </w:r>
    </w:p>
    <w:p w:rsidR="00EB53A8" w:rsidRDefault="00000000">
      <w:pPr>
        <w:ind w:firstLine="480"/>
      </w:pPr>
      <w:r>
        <w:rPr>
          <w:rFonts w:hint="eastAsia"/>
        </w:rPr>
        <w:t>此外，超声波测距技术的优势在于其稳定性和成本效益。超声波传感器具有高精度和快速响应的特点，能够在不同的环境条件下稳定工作，包括夜间或光线不足的情况。同时，超声波传感器对电磁干扰不敏感，保证了测量结果的可靠性。它们还具有结构简单、成本低廉的优点，使得智能垃圾分类箱的设计在经济上更为可行。</w:t>
      </w:r>
    </w:p>
    <w:p w:rsidR="00EB53A8" w:rsidRDefault="00000000">
      <w:pPr>
        <w:pStyle w:val="2"/>
        <w:spacing w:after="156"/>
      </w:pPr>
      <w:r>
        <w:rPr>
          <w:rFonts w:hint="eastAsia"/>
        </w:rPr>
        <w:t>4</w:t>
      </w:r>
      <w:r>
        <w:rPr>
          <w:rFonts w:hint="eastAsia"/>
        </w:rPr>
        <w:t>应用前景</w:t>
      </w:r>
    </w:p>
    <w:p w:rsidR="00EB53A8" w:rsidRDefault="00000000">
      <w:pPr>
        <w:pStyle w:val="3"/>
      </w:pPr>
      <w:r>
        <w:rPr>
          <w:rFonts w:hint="eastAsia"/>
        </w:rPr>
        <w:t>4.1</w:t>
      </w:r>
      <w:r>
        <w:rPr>
          <w:rFonts w:hint="eastAsia"/>
        </w:rPr>
        <w:t>环境可持续性</w:t>
      </w:r>
    </w:p>
    <w:p w:rsidR="00EB53A8" w:rsidRDefault="00000000">
      <w:pPr>
        <w:ind w:firstLine="480"/>
      </w:pPr>
      <w:r>
        <w:rPr>
          <w:rFonts w:hint="eastAsia"/>
        </w:rPr>
        <w:t>智能垃圾分类箱的设计和应用与环境可持续性的原则紧密相连。通过自动化和智能化的分类技术，该设备极大提升了垃圾分类的效率，减少了人工分拣的需求，从而节约了人力资源并减少了操作过程中的能耗。准确的分类有助于提高回收材料的纯度，促进资源的循环利用，减少对新原材料的需求，进而降低开采、生产等活动对环境的负面影响。此外，智能垃圾分类箱的长期使用能够减少垃圾填埋和焚烧带来的环境污染，为实现城市环境的可持续性贡献力量。</w:t>
      </w:r>
    </w:p>
    <w:p w:rsidR="00EB53A8" w:rsidRDefault="00000000">
      <w:pPr>
        <w:pStyle w:val="3"/>
      </w:pPr>
      <w:r>
        <w:rPr>
          <w:rFonts w:hint="eastAsia"/>
        </w:rPr>
        <w:t>4.2</w:t>
      </w:r>
      <w:r>
        <w:rPr>
          <w:rFonts w:hint="eastAsia"/>
        </w:rPr>
        <w:t>技术创新与集成</w:t>
      </w:r>
    </w:p>
    <w:p w:rsidR="00EB53A8" w:rsidRDefault="00000000">
      <w:pPr>
        <w:ind w:firstLine="480"/>
      </w:pPr>
      <w:r>
        <w:rPr>
          <w:rFonts w:hint="eastAsia"/>
        </w:rPr>
        <w:t>智能垃圾分类箱代表了技术创新与多学科集成的前沿。该设备融合了机械工程、电子工程、计算机视觉、深度学习、传感器技术以及物联网技术，形成了一个高度自动化的系统。这种集成不仅提升了垃圾分类的准确性和效率，而且为相关技术的研究和开发提供了新的应用场景和实验平台。随着技术的不断进步，智能垃圾分类箱有望进一步集成更先进的功能，如使用更高效的能源系统、集成更复杂的机器学习算法以提高识别准确率，以及通过物联网</w:t>
      </w:r>
      <w:r>
        <w:rPr>
          <w:rFonts w:hint="eastAsia"/>
        </w:rPr>
        <w:lastRenderedPageBreak/>
        <w:t>技术实现远程监控和数据分析。</w:t>
      </w:r>
    </w:p>
    <w:p w:rsidR="00EB53A8" w:rsidRDefault="00000000">
      <w:pPr>
        <w:pStyle w:val="3"/>
      </w:pPr>
      <w:r>
        <w:rPr>
          <w:rFonts w:hint="eastAsia"/>
        </w:rPr>
        <w:t>4.3</w:t>
      </w:r>
      <w:r>
        <w:rPr>
          <w:rFonts w:hint="eastAsia"/>
        </w:rPr>
        <w:t>公共健康与安全</w:t>
      </w:r>
    </w:p>
    <w:p w:rsidR="00EB53A8" w:rsidRDefault="00000000">
      <w:pPr>
        <w:ind w:firstLine="480"/>
      </w:pPr>
      <w:r>
        <w:rPr>
          <w:rFonts w:hint="eastAsia"/>
        </w:rPr>
        <w:t>智能垃圾分类箱通过减少人们与垃圾直接接触的机会，有助于改善公共健康和安全。自动化的垃圾分拣过程降低了由垃圾处理引起的事故风险，同时减少了因垃圾暴露而可能产生的病原体和有害物质对人类健康的威胁。特别是在流行病疫情期间，智能垃圾分类箱可以减少接触传播的风险，提供更加卫生的垃圾处理解决方案。此外，通过及时的垃圾清理和满载预警，智能垃圾分类箱有助于防止垃圾堆积，减少害虫和不良气味，进一步提升公共卫生水平。</w:t>
      </w:r>
    </w:p>
    <w:p w:rsidR="00EB53A8" w:rsidRDefault="00000000">
      <w:pPr>
        <w:pStyle w:val="3"/>
      </w:pPr>
      <w:r>
        <w:rPr>
          <w:rFonts w:hint="eastAsia"/>
        </w:rPr>
        <w:t>4.4</w:t>
      </w:r>
      <w:r>
        <w:rPr>
          <w:rFonts w:hint="eastAsia"/>
        </w:rPr>
        <w:t>市场潜力</w:t>
      </w:r>
    </w:p>
    <w:p w:rsidR="00EB53A8" w:rsidRDefault="00000000">
      <w:pPr>
        <w:ind w:firstLine="480"/>
      </w:pPr>
      <w:r>
        <w:rPr>
          <w:rFonts w:hint="eastAsia"/>
        </w:rPr>
        <w:t>智能垃圾分类箱在全球范围内拥有巨大的市场潜力。随着城市化进程的加速和环保法规的加强，越来越多的城市和社区需要高效的垃圾分类解决方案。智能垃圾分类箱以其高效、自动化的特点，满足了市场对于现代化垃圾管理的需求。此外，随着居民环保意识的提高，对于智能垃圾分类箱这类能够提升生活质量和环境保护的产品，市场接受度将逐渐增加。智能垃圾分类箱不仅可以应用于城市公共区域，还有望进入商业设施、办公楼、学校以及家庭等多样化的场景，开辟更广阔的市场空间。</w:t>
      </w:r>
    </w:p>
    <w:sectPr w:rsidR="00EB53A8">
      <w:headerReference w:type="even" r:id="rId20"/>
      <w:headerReference w:type="default" r:id="rId21"/>
      <w:footerReference w:type="even" r:id="rId22"/>
      <w:footerReference w:type="default" r:id="rId23"/>
      <w:headerReference w:type="first" r:id="rId24"/>
      <w:footerReference w:type="first" r:id="rId25"/>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753F" w:rsidRDefault="00FF753F">
      <w:pPr>
        <w:ind w:firstLine="480"/>
      </w:pPr>
      <w:r>
        <w:separator/>
      </w:r>
    </w:p>
  </w:endnote>
  <w:endnote w:type="continuationSeparator" w:id="0">
    <w:p w:rsidR="00FF753F" w:rsidRDefault="00FF753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753F" w:rsidRDefault="00FF753F">
      <w:pPr>
        <w:ind w:firstLine="480"/>
      </w:pPr>
      <w:r>
        <w:separator/>
      </w:r>
    </w:p>
  </w:footnote>
  <w:footnote w:type="continuationSeparator" w:id="0">
    <w:p w:rsidR="00FF753F" w:rsidRDefault="00FF753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F4D91" w:rsidRDefault="004F4D91">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I2OGJmZGIwOTliNWNiOGZlZjRkNjQ4ZGYzMzQxMzgifQ=="/>
  </w:docVars>
  <w:rsids>
    <w:rsidRoot w:val="4B192303"/>
    <w:rsid w:val="000D1090"/>
    <w:rsid w:val="00167F26"/>
    <w:rsid w:val="004F4D91"/>
    <w:rsid w:val="006B0B0C"/>
    <w:rsid w:val="0076539E"/>
    <w:rsid w:val="00C02A56"/>
    <w:rsid w:val="00C344B6"/>
    <w:rsid w:val="00CE3281"/>
    <w:rsid w:val="00EB53A8"/>
    <w:rsid w:val="00FF753F"/>
    <w:rsid w:val="0C257461"/>
    <w:rsid w:val="4B192303"/>
    <w:rsid w:val="4B2E73C2"/>
    <w:rsid w:val="5CDB2AA0"/>
    <w:rsid w:val="6BB61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8AFF04"/>
  <w15:docId w15:val="{BFB0CD4E-FC5D-44AB-BE42-59865C04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360" w:lineRule="auto"/>
      <w:ind w:firstLineChars="0" w:firstLine="0"/>
      <w:outlineLvl w:val="0"/>
    </w:pPr>
    <w:rPr>
      <w:rFonts w:eastAsia="黑体"/>
      <w:b/>
      <w:kern w:val="44"/>
      <w:sz w:val="72"/>
    </w:rPr>
  </w:style>
  <w:style w:type="paragraph" w:styleId="2">
    <w:name w:val="heading 2"/>
    <w:basedOn w:val="a"/>
    <w:next w:val="a"/>
    <w:link w:val="20"/>
    <w:unhideWhenUsed/>
    <w:qFormat/>
    <w:pPr>
      <w:keepNext/>
      <w:keepLines/>
      <w:spacing w:afterLines="50" w:after="50" w:line="360" w:lineRule="auto"/>
      <w:ind w:firstLineChars="0" w:firstLine="0"/>
      <w:outlineLvl w:val="1"/>
    </w:pPr>
    <w:rPr>
      <w:rFonts w:ascii="Arial" w:eastAsia="黑体" w:hAnsi="Arial"/>
      <w:b/>
    </w:rPr>
  </w:style>
  <w:style w:type="paragraph" w:styleId="3">
    <w:name w:val="heading 3"/>
    <w:basedOn w:val="a"/>
    <w:next w:val="a"/>
    <w:link w:val="30"/>
    <w:unhideWhenUsed/>
    <w:qFormat/>
    <w:pPr>
      <w:keepNext/>
      <w:keepLines/>
      <w:spacing w:before="100" w:line="360" w:lineRule="auto"/>
      <w:ind w:firstLineChars="0" w:firstLine="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rPr>
  </w:style>
  <w:style w:type="table" w:styleId="a4">
    <w:name w:val="Table Grid"/>
    <w:basedOn w:val="a1"/>
    <w:uiPriority w:val="99"/>
    <w:qFormat/>
    <w:pPr>
      <w:widowControl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customStyle="1" w:styleId="20">
    <w:name w:val="标题 2 字符"/>
    <w:link w:val="2"/>
    <w:qFormat/>
    <w:rPr>
      <w:rFonts w:ascii="Arial" w:eastAsia="黑体" w:hAnsi="Arial" w:cstheme="minorBidi"/>
      <w:b/>
      <w:kern w:val="2"/>
      <w:sz w:val="24"/>
      <w:szCs w:val="24"/>
    </w:rPr>
  </w:style>
  <w:style w:type="character" w:customStyle="1" w:styleId="30">
    <w:name w:val="标题 3 字符"/>
    <w:link w:val="3"/>
    <w:qFormat/>
    <w:rPr>
      <w:rFonts w:asciiTheme="minorHAnsi" w:eastAsia="黑体" w:hAnsiTheme="minorHAnsi" w:cstheme="minorBidi"/>
      <w:b/>
      <w:kern w:val="2"/>
      <w:sz w:val="24"/>
      <w:szCs w:val="24"/>
    </w:rPr>
  </w:style>
  <w:style w:type="paragraph" w:styleId="a6">
    <w:name w:val="header"/>
    <w:basedOn w:val="a"/>
    <w:link w:val="a7"/>
    <w:rsid w:val="004F4D91"/>
    <w:pPr>
      <w:tabs>
        <w:tab w:val="center" w:pos="4153"/>
        <w:tab w:val="right" w:pos="8306"/>
      </w:tabs>
      <w:snapToGrid w:val="0"/>
      <w:jc w:val="center"/>
    </w:pPr>
    <w:rPr>
      <w:sz w:val="18"/>
      <w:szCs w:val="18"/>
    </w:rPr>
  </w:style>
  <w:style w:type="character" w:customStyle="1" w:styleId="a7">
    <w:name w:val="页眉 字符"/>
    <w:basedOn w:val="a0"/>
    <w:link w:val="a6"/>
    <w:rsid w:val="004F4D91"/>
    <w:rPr>
      <w:rFonts w:asciiTheme="minorHAnsi" w:eastAsiaTheme="minorEastAsia" w:hAnsiTheme="minorHAnsi" w:cstheme="minorBidi"/>
      <w:kern w:val="2"/>
      <w:sz w:val="18"/>
      <w:szCs w:val="18"/>
    </w:rPr>
  </w:style>
  <w:style w:type="paragraph" w:styleId="a8">
    <w:name w:val="footer"/>
    <w:basedOn w:val="a"/>
    <w:link w:val="a9"/>
    <w:rsid w:val="004F4D91"/>
    <w:pPr>
      <w:tabs>
        <w:tab w:val="center" w:pos="4153"/>
        <w:tab w:val="right" w:pos="8306"/>
      </w:tabs>
      <w:snapToGrid w:val="0"/>
      <w:jc w:val="left"/>
    </w:pPr>
    <w:rPr>
      <w:sz w:val="18"/>
      <w:szCs w:val="18"/>
    </w:rPr>
  </w:style>
  <w:style w:type="character" w:customStyle="1" w:styleId="a9">
    <w:name w:val="页脚 字符"/>
    <w:basedOn w:val="a0"/>
    <w:link w:val="a8"/>
    <w:rsid w:val="004F4D9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0.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oleObject" Target="embeddings/oleObject3.bin"/><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oleObject" Target="embeddings/oleObject4.bin"/><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沈诗钇</dc:creator>
  <cp:lastModifiedBy>jiulong z</cp:lastModifiedBy>
  <cp:revision>3</cp:revision>
  <dcterms:created xsi:type="dcterms:W3CDTF">2024-08-03T10:30:00Z</dcterms:created>
  <dcterms:modified xsi:type="dcterms:W3CDTF">2024-08-03T10:32:00Z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2052-12.1.0.17468</vt:lpwstr>
  </property>
  <property fmtid="{D5CDD505-2E9C-101B-9397-08002B2CF9AE}" pid="3" name="ICV">
    <vt:lpwstr>0C063799D47D484F947CF5DB04A145A1_11</vt:lpwstr>
  </property>
</Properties>
</file>