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Add a PDF file REPORT.pdf about your pipeline. They must include at least the following: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Describe your design in terms of organization and operation.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designed a superscalar two-way 5 stage pipelined design with forwarding enabled as well as stalling. We changed our branch prediction, forwarding, and stalling logic to work for a superscalar two-way implementation. We used a two bit hysteresis counter for our branch history tables. Majority if not all of the registers were doubled for the superscalar two-way implementation. We also added a second decoder, alu, and multiplier.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Describe the critical path of your synthesized implementation. (Is it different than what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expected?) How does the clock frequency compare to your Lab 3 implementation?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critical path happens when we forward data back to the alu which is then used for bcond, branch prediction, and next pc logic.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Any special tricks you played that may not be obvious to the course staff?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check for no_op instructions without causing a weird compiler error, we checked whenever the pc value of the instruction was less than 1 as opposed to checking if it was 0 directly.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Estimate the number of hours spent on:  49 hours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planning the design in your mind or on paper: 2 hour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capturing the design (that is, actually hacking in Verilog): 15 hours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testing the design (not including debug time): 10 hours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debugging the design (actually fixing the bugs once found) 20 hours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analyzing the performance of the design (next item) 2 hours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