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0D532" w14:textId="709AE523" w:rsidR="007E51CC" w:rsidRPr="00570D62" w:rsidRDefault="00570D62" w:rsidP="0034115B">
      <w:pPr>
        <w:spacing w:after="0" w:line="240" w:lineRule="auto"/>
        <w:jc w:val="center"/>
        <w:rPr>
          <w:rFonts w:hint="cs"/>
          <w:b/>
          <w:bCs/>
          <w:cs/>
        </w:rPr>
      </w:pPr>
      <w:r w:rsidRPr="00570D62">
        <w:rPr>
          <w:b/>
          <w:bCs/>
          <w:cs/>
        </w:rPr>
        <w:t>สารบัญ</w:t>
      </w:r>
    </w:p>
    <w:p w14:paraId="430CFAA4" w14:textId="484615B4" w:rsidR="00570D62" w:rsidRPr="00570D62" w:rsidRDefault="00570D62" w:rsidP="0034115B">
      <w:pPr>
        <w:tabs>
          <w:tab w:val="right" w:pos="9360"/>
        </w:tabs>
        <w:spacing w:after="0" w:line="240" w:lineRule="auto"/>
        <w:ind w:right="8"/>
        <w:rPr>
          <w:b/>
          <w:bCs/>
        </w:rPr>
      </w:pPr>
      <w:r w:rsidRPr="00570D62">
        <w:rPr>
          <w:b/>
          <w:bCs/>
          <w:cs/>
        </w:rPr>
        <w:t>เรื่อง</w:t>
      </w:r>
      <w:r w:rsidR="0034115B">
        <w:rPr>
          <w:b/>
          <w:bCs/>
          <w:cs/>
        </w:rPr>
        <w:tab/>
      </w:r>
      <w:r w:rsidRPr="00570D62">
        <w:rPr>
          <w:b/>
          <w:bCs/>
          <w:cs/>
        </w:rPr>
        <w:t>หน้า</w:t>
      </w:r>
    </w:p>
    <w:p w14:paraId="33F0E3D7" w14:textId="331A0A71" w:rsidR="00570D62" w:rsidRPr="0034115B" w:rsidRDefault="00570D62" w:rsidP="00CF4204">
      <w:pPr>
        <w:tabs>
          <w:tab w:val="right" w:leader="dot" w:pos="9360"/>
        </w:tabs>
        <w:spacing w:after="0" w:line="240" w:lineRule="auto"/>
        <w:ind w:right="8"/>
        <w:rPr>
          <w:rFonts w:hint="cs"/>
          <w:b/>
          <w:bCs/>
          <w:cs/>
        </w:rPr>
      </w:pPr>
      <w:r w:rsidRPr="0034115B">
        <w:rPr>
          <w:b/>
          <w:bCs/>
          <w:cs/>
        </w:rPr>
        <w:t>คำนำ</w:t>
      </w:r>
      <w:r w:rsidR="0034115B">
        <w:rPr>
          <w:b/>
          <w:bCs/>
        </w:rPr>
        <w:tab/>
      </w:r>
      <w:r w:rsidR="0034115B">
        <w:rPr>
          <w:rFonts w:hint="cs"/>
          <w:b/>
          <w:bCs/>
          <w:cs/>
        </w:rPr>
        <w:t>ก</w:t>
      </w:r>
    </w:p>
    <w:p w14:paraId="29E335EC" w14:textId="590B9753" w:rsidR="00570D62" w:rsidRPr="00CF4204" w:rsidRDefault="00570D62" w:rsidP="00CF4204">
      <w:pPr>
        <w:tabs>
          <w:tab w:val="right" w:leader="dot" w:pos="9360"/>
        </w:tabs>
        <w:spacing w:after="0" w:line="240" w:lineRule="auto"/>
        <w:ind w:right="8"/>
        <w:rPr>
          <w:rFonts w:hint="cs"/>
          <w:b/>
          <w:bCs/>
          <w:cs/>
        </w:rPr>
      </w:pPr>
      <w:r w:rsidRPr="00CF4204">
        <w:rPr>
          <w:b/>
          <w:bCs/>
          <w:cs/>
        </w:rPr>
        <w:t>กิตติกรรมประกา</w:t>
      </w:r>
      <w:r w:rsidR="00AB41CB">
        <w:rPr>
          <w:rFonts w:hint="cs"/>
          <w:b/>
          <w:bCs/>
          <w:cs/>
        </w:rPr>
        <w:t>ศ</w:t>
      </w:r>
      <w:r w:rsidR="00AB41CB">
        <w:rPr>
          <w:b/>
          <w:bCs/>
          <w:cs/>
        </w:rPr>
        <w:tab/>
      </w:r>
      <w:r w:rsidR="00AB41CB">
        <w:rPr>
          <w:rFonts w:hint="cs"/>
          <w:b/>
          <w:bCs/>
          <w:cs/>
        </w:rPr>
        <w:t>ข</w:t>
      </w:r>
    </w:p>
    <w:p w14:paraId="3F88A9BD" w14:textId="48242535" w:rsidR="00570D62" w:rsidRPr="00CF4204" w:rsidRDefault="00570D62" w:rsidP="006A05D4">
      <w:pPr>
        <w:tabs>
          <w:tab w:val="left" w:pos="1080"/>
          <w:tab w:val="right" w:leader="dot" w:pos="9360"/>
        </w:tabs>
        <w:spacing w:after="0" w:line="240" w:lineRule="auto"/>
        <w:ind w:right="8"/>
        <w:rPr>
          <w:b/>
          <w:bCs/>
        </w:rPr>
      </w:pPr>
      <w:r w:rsidRPr="00CF4204">
        <w:rPr>
          <w:b/>
          <w:bCs/>
          <w:cs/>
        </w:rPr>
        <w:t xml:space="preserve">บทที่ 1 </w:t>
      </w:r>
      <w:r w:rsidR="00AB41CB">
        <w:rPr>
          <w:b/>
          <w:bCs/>
          <w:cs/>
        </w:rPr>
        <w:tab/>
      </w:r>
      <w:r w:rsidRPr="00CF4204">
        <w:rPr>
          <w:b/>
          <w:bCs/>
          <w:cs/>
        </w:rPr>
        <w:t>ประวัติคอมพิวเตอร์</w:t>
      </w:r>
      <w:r w:rsidR="00AB41CB">
        <w:rPr>
          <w:b/>
          <w:bCs/>
        </w:rPr>
        <w:tab/>
        <w:t>1</w:t>
      </w:r>
    </w:p>
    <w:p w14:paraId="692C7E37" w14:textId="5A971C41" w:rsidR="00570D62" w:rsidRPr="0015264A" w:rsidRDefault="00570D62" w:rsidP="0015264A">
      <w:pPr>
        <w:spacing w:after="0" w:line="240" w:lineRule="auto"/>
        <w:rPr>
          <w:rFonts w:hint="cs"/>
          <w:b/>
          <w:bCs/>
          <w:cs/>
        </w:rPr>
      </w:pPr>
      <w:r w:rsidRPr="0015264A">
        <w:rPr>
          <w:b/>
          <w:bCs/>
          <w:cs/>
        </w:rPr>
        <w:t>1.1 คอมพิวเตอร์ยุคที่ 1</w:t>
      </w:r>
    </w:p>
    <w:p w14:paraId="57219B9D" w14:textId="26B4D80D" w:rsidR="00570D62" w:rsidRPr="00570D62" w:rsidRDefault="00570D62" w:rsidP="0015264A">
      <w:pPr>
        <w:spacing w:after="0" w:line="240" w:lineRule="auto"/>
      </w:pPr>
      <w:r w:rsidRPr="00570D62">
        <w:rPr>
          <w:cs/>
        </w:rPr>
        <w:t>1.2 คอมพิวเตอร์ยุคที่ 2</w:t>
      </w:r>
    </w:p>
    <w:p w14:paraId="2F2C23E8" w14:textId="02ABFB71" w:rsidR="00570D62" w:rsidRPr="00570D62" w:rsidRDefault="00570D62" w:rsidP="0034115B">
      <w:pPr>
        <w:spacing w:after="0" w:line="240" w:lineRule="auto"/>
      </w:pPr>
      <w:r w:rsidRPr="00570D62">
        <w:rPr>
          <w:cs/>
        </w:rPr>
        <w:t>บทที่ 2 ส่วนประกอบ</w:t>
      </w:r>
    </w:p>
    <w:p w14:paraId="7C5E9C71" w14:textId="6E379B2D" w:rsidR="00570D62" w:rsidRPr="00570D62" w:rsidRDefault="00570D62" w:rsidP="0034115B">
      <w:pPr>
        <w:spacing w:after="0" w:line="240" w:lineRule="auto"/>
      </w:pPr>
      <w:r w:rsidRPr="00570D62">
        <w:rPr>
          <w:cs/>
        </w:rPr>
        <w:t>2.1 ฮาร์ดแวร์</w:t>
      </w:r>
    </w:p>
    <w:p w14:paraId="17E516A6" w14:textId="11BFB5BE" w:rsidR="00570D62" w:rsidRDefault="00570D62" w:rsidP="0034115B">
      <w:pPr>
        <w:spacing w:after="0" w:line="240" w:lineRule="auto"/>
      </w:pPr>
      <w:r w:rsidRPr="00570D62">
        <w:rPr>
          <w:cs/>
        </w:rPr>
        <w:t>อ้างอิง</w:t>
      </w:r>
    </w:p>
    <w:p w14:paraId="71592349" w14:textId="77777777" w:rsidR="00AB41CB" w:rsidRDefault="00AB41CB" w:rsidP="0034115B">
      <w:pPr>
        <w:spacing w:after="0" w:line="240" w:lineRule="auto"/>
      </w:pPr>
    </w:p>
    <w:p w14:paraId="6768C2C1" w14:textId="77777777" w:rsidR="00AB41CB" w:rsidRDefault="00AB41CB" w:rsidP="0034115B">
      <w:pPr>
        <w:spacing w:after="0" w:line="240" w:lineRule="auto"/>
      </w:pPr>
    </w:p>
    <w:p w14:paraId="48FCFB9D" w14:textId="77777777" w:rsidR="0015264A" w:rsidRDefault="0015264A" w:rsidP="0015264A">
      <w:pPr>
        <w:spacing w:after="0" w:line="240" w:lineRule="auto"/>
        <w:ind w:left="630" w:hanging="630"/>
        <w:rPr>
          <w:rFonts w:hint="cs"/>
        </w:rPr>
      </w:pPr>
      <w:r>
        <w:t>Chen, W., &amp; Huang, Y. (</w:t>
      </w:r>
      <w:r>
        <w:rPr>
          <w:cs/>
        </w:rPr>
        <w:t xml:space="preserve">2018). </w:t>
      </w:r>
      <w:r>
        <w:t xml:space="preserve">Renewable energy adoption in Southeast Asia: Challenges and opportunities. Energy Policy, </w:t>
      </w:r>
      <w:r>
        <w:rPr>
          <w:cs/>
        </w:rPr>
        <w:t>115</w:t>
      </w:r>
      <w:r>
        <w:t xml:space="preserve">, </w:t>
      </w:r>
      <w:r>
        <w:rPr>
          <w:cs/>
        </w:rPr>
        <w:t xml:space="preserve">212–221. </w:t>
      </w:r>
      <w:r>
        <w:t>https://doi.org/</w:t>
      </w:r>
      <w:r>
        <w:rPr>
          <w:cs/>
        </w:rPr>
        <w:t>10.1016/</w:t>
      </w:r>
      <w:proofErr w:type="spellStart"/>
      <w:r>
        <w:t>j.enpol</w:t>
      </w:r>
      <w:proofErr w:type="spellEnd"/>
      <w:r>
        <w:t>.</w:t>
      </w:r>
      <w:r>
        <w:rPr>
          <w:cs/>
        </w:rPr>
        <w:t>2018.02.045</w:t>
      </w:r>
    </w:p>
    <w:p w14:paraId="2C4D81B7" w14:textId="77777777" w:rsidR="0015264A" w:rsidRDefault="0015264A" w:rsidP="0015264A">
      <w:pPr>
        <w:spacing w:after="0" w:line="240" w:lineRule="auto"/>
        <w:ind w:left="630" w:hanging="630"/>
        <w:rPr>
          <w:rFonts w:hint="cs"/>
        </w:rPr>
      </w:pPr>
      <w:r>
        <w:t>Johnson, R. T., &amp; Lee, S. H. (</w:t>
      </w:r>
      <w:r>
        <w:rPr>
          <w:cs/>
        </w:rPr>
        <w:t xml:space="preserve">2019). </w:t>
      </w:r>
      <w:r>
        <w:t xml:space="preserve">Active learning strategies in higher education: Effects on student engagement and performance. Educational Research Quarterly, </w:t>
      </w:r>
      <w:r>
        <w:rPr>
          <w:cs/>
        </w:rPr>
        <w:t>42(2)</w:t>
      </w:r>
      <w:r>
        <w:t xml:space="preserve">, </w:t>
      </w:r>
      <w:r>
        <w:rPr>
          <w:cs/>
        </w:rPr>
        <w:t>15–29.</w:t>
      </w:r>
    </w:p>
    <w:p w14:paraId="34760E7E" w14:textId="77777777" w:rsidR="0015264A" w:rsidRDefault="0015264A" w:rsidP="0015264A">
      <w:pPr>
        <w:spacing w:after="0" w:line="240" w:lineRule="auto"/>
        <w:ind w:left="630" w:hanging="630"/>
        <w:rPr>
          <w:rFonts w:hint="cs"/>
        </w:rPr>
      </w:pPr>
      <w:r>
        <w:t>Martinez, P., &amp; Thompson, G. (</w:t>
      </w:r>
      <w:r>
        <w:rPr>
          <w:cs/>
        </w:rPr>
        <w:t xml:space="preserve">2021). </w:t>
      </w:r>
      <w:r>
        <w:t xml:space="preserve">Climate change impacts on coastal ecosystems: A review. Environmental Science &amp; Technology, </w:t>
      </w:r>
      <w:r>
        <w:rPr>
          <w:cs/>
        </w:rPr>
        <w:t>55(6)</w:t>
      </w:r>
      <w:r>
        <w:t xml:space="preserve">, </w:t>
      </w:r>
      <w:r>
        <w:rPr>
          <w:cs/>
        </w:rPr>
        <w:t>3450–3462.</w:t>
      </w:r>
    </w:p>
    <w:p w14:paraId="3016B66A" w14:textId="77777777" w:rsidR="0015264A" w:rsidRPr="00570D62" w:rsidRDefault="0015264A" w:rsidP="0015264A">
      <w:pPr>
        <w:spacing w:after="0" w:line="240" w:lineRule="auto"/>
        <w:ind w:left="630" w:hanging="630"/>
        <w:rPr>
          <w:rFonts w:hint="cs"/>
          <w:cs/>
        </w:rPr>
      </w:pPr>
      <w:r>
        <w:t>Nguyen, T. H., &amp; Kim, J. (</w:t>
      </w:r>
      <w:r>
        <w:rPr>
          <w:cs/>
        </w:rPr>
        <w:t xml:space="preserve">2017). </w:t>
      </w:r>
      <w:r>
        <w:t xml:space="preserve">Machine learning applications in healthcare: Current trends and future directions. Journal of Biomedical Informatics, </w:t>
      </w:r>
      <w:r>
        <w:rPr>
          <w:cs/>
        </w:rPr>
        <w:t>75</w:t>
      </w:r>
      <w:r>
        <w:t xml:space="preserve">, </w:t>
      </w:r>
      <w:r>
        <w:rPr>
          <w:cs/>
        </w:rPr>
        <w:t xml:space="preserve">34–47. </w:t>
      </w:r>
      <w:r>
        <w:t>https://doi.org/</w:t>
      </w:r>
      <w:r>
        <w:rPr>
          <w:cs/>
        </w:rPr>
        <w:t>10.1016/</w:t>
      </w:r>
      <w:proofErr w:type="spellStart"/>
      <w:r>
        <w:t>j.jbi</w:t>
      </w:r>
      <w:proofErr w:type="spellEnd"/>
      <w:r>
        <w:t>.</w:t>
      </w:r>
      <w:r>
        <w:rPr>
          <w:cs/>
        </w:rPr>
        <w:t>2017.08.002</w:t>
      </w:r>
    </w:p>
    <w:p w14:paraId="7260D4A6" w14:textId="20D16EE9" w:rsidR="0015264A" w:rsidRDefault="0015264A" w:rsidP="0015264A">
      <w:pPr>
        <w:spacing w:after="0" w:line="240" w:lineRule="auto"/>
        <w:ind w:left="630" w:hanging="630"/>
      </w:pPr>
      <w:r>
        <w:t>Smith, J. A., &amp; Brown, L. M. (</w:t>
      </w:r>
      <w:r>
        <w:rPr>
          <w:cs/>
        </w:rPr>
        <w:t xml:space="preserve">2020). </w:t>
      </w:r>
      <w:r>
        <w:t xml:space="preserve">The impact of social media on mental health: A systematic review. Journal of Psychology, </w:t>
      </w:r>
      <w:r>
        <w:rPr>
          <w:cs/>
        </w:rPr>
        <w:t>45(3)</w:t>
      </w:r>
      <w:r>
        <w:t xml:space="preserve">, </w:t>
      </w:r>
      <w:r>
        <w:rPr>
          <w:cs/>
        </w:rPr>
        <w:t xml:space="preserve">234–250. </w:t>
      </w:r>
      <w:hyperlink r:id="rId5" w:history="1">
        <w:r w:rsidRPr="00562B2A">
          <w:rPr>
            <w:rStyle w:val="Hyperlink"/>
          </w:rPr>
          <w:t>https://doi.org/</w:t>
        </w:r>
        <w:r w:rsidRPr="00562B2A">
          <w:rPr>
            <w:rStyle w:val="Hyperlink"/>
            <w:cs/>
          </w:rPr>
          <w:t>10.1234/</w:t>
        </w:r>
        <w:r w:rsidRPr="00562B2A">
          <w:rPr>
            <w:rStyle w:val="Hyperlink"/>
          </w:rPr>
          <w:t>jpsych.</w:t>
        </w:r>
        <w:r w:rsidRPr="00562B2A">
          <w:rPr>
            <w:rStyle w:val="Hyperlink"/>
            <w:cs/>
          </w:rPr>
          <w:t>2020.04503</w:t>
        </w:r>
      </w:hyperlink>
    </w:p>
    <w:p w14:paraId="54768513" w14:textId="77777777" w:rsidR="0015264A" w:rsidRDefault="0015264A">
      <w:r>
        <w:br w:type="page"/>
      </w:r>
    </w:p>
    <w:p w14:paraId="08DF6A17" w14:textId="1520EAEF" w:rsidR="0015264A" w:rsidRPr="006A05D4" w:rsidRDefault="0015264A" w:rsidP="006A05D4">
      <w:pPr>
        <w:tabs>
          <w:tab w:val="center" w:pos="4500"/>
        </w:tabs>
        <w:spacing w:after="0" w:line="240" w:lineRule="auto"/>
        <w:ind w:left="630" w:hanging="630"/>
        <w:rPr>
          <w:b/>
          <w:bCs/>
          <w:sz w:val="44"/>
          <w:szCs w:val="44"/>
        </w:rPr>
      </w:pPr>
      <w:r w:rsidRPr="006C01C1">
        <w:rPr>
          <w:noProof/>
          <w:sz w:val="28"/>
          <w:szCs w:val="28"/>
        </w:rPr>
        <w:lastRenderedPageBreak/>
        <w:drawing>
          <wp:inline distT="0" distB="0" distL="0" distR="0" wp14:anchorId="7E96F043" wp14:editId="3A841CF1">
            <wp:extent cx="516502" cy="516502"/>
            <wp:effectExtent l="0" t="0" r="0" b="0"/>
            <wp:docPr id="78711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96" cy="525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A05D4">
        <w:rPr>
          <w:b/>
          <w:bCs/>
          <w:sz w:val="44"/>
          <w:szCs w:val="44"/>
        </w:rPr>
        <w:tab/>
      </w:r>
      <w:r w:rsidRPr="006A05D4">
        <w:rPr>
          <w:rFonts w:hint="cs"/>
          <w:b/>
          <w:bCs/>
          <w:sz w:val="44"/>
          <w:szCs w:val="44"/>
          <w:cs/>
        </w:rPr>
        <w:t>บันทึกข้อความ</w:t>
      </w:r>
    </w:p>
    <w:p w14:paraId="44059E3D" w14:textId="7A9A1657" w:rsidR="0015264A" w:rsidRPr="006C01C1" w:rsidRDefault="0015264A" w:rsidP="0015264A">
      <w:pPr>
        <w:spacing w:after="0" w:line="240" w:lineRule="auto"/>
        <w:ind w:left="630" w:hanging="630"/>
        <w:rPr>
          <w:rFonts w:hint="cs"/>
          <w:sz w:val="28"/>
          <w:szCs w:val="28"/>
        </w:rPr>
      </w:pPr>
      <w:r w:rsidRPr="006A05D4">
        <w:rPr>
          <w:rFonts w:hint="cs"/>
          <w:b/>
          <w:bCs/>
          <w:sz w:val="28"/>
          <w:szCs w:val="28"/>
          <w:cs/>
        </w:rPr>
        <w:t>ส่วนราชการ</w:t>
      </w:r>
      <w:r w:rsidRPr="006C01C1">
        <w:rPr>
          <w:rFonts w:hint="cs"/>
          <w:sz w:val="28"/>
          <w:szCs w:val="28"/>
          <w:cs/>
        </w:rPr>
        <w:t xml:space="preserve"> สาขาเทคโนโลยีสารสนเทศ คณะวิทยาศาสตร์ มหาวิทยาลัยราชภัฏบุรีรัมย์ </w:t>
      </w:r>
      <w:r w:rsidR="003916D6">
        <w:rPr>
          <w:sz w:val="28"/>
          <w:szCs w:val="28"/>
          <w:cs/>
        </w:rPr>
        <w:tab/>
      </w:r>
      <w:r w:rsidR="003916D6">
        <w:rPr>
          <w:sz w:val="28"/>
          <w:szCs w:val="28"/>
          <w:cs/>
        </w:rPr>
        <w:tab/>
      </w:r>
      <w:r w:rsidRPr="006C01C1">
        <w:rPr>
          <w:rFonts w:hint="cs"/>
          <w:sz w:val="28"/>
          <w:szCs w:val="28"/>
          <w:cs/>
        </w:rPr>
        <w:t>โทร6621</w:t>
      </w:r>
    </w:p>
    <w:p w14:paraId="19E6E839" w14:textId="3DBADE32" w:rsidR="0015264A" w:rsidRPr="006C01C1" w:rsidRDefault="0015264A" w:rsidP="003916D6">
      <w:pPr>
        <w:tabs>
          <w:tab w:val="center" w:pos="4500"/>
        </w:tabs>
        <w:spacing w:after="0" w:line="240" w:lineRule="auto"/>
        <w:ind w:left="630" w:hanging="630"/>
        <w:rPr>
          <w:rFonts w:hint="cs"/>
          <w:sz w:val="28"/>
          <w:szCs w:val="28"/>
          <w:cs/>
        </w:rPr>
      </w:pPr>
      <w:r w:rsidRPr="006A05D4">
        <w:rPr>
          <w:rFonts w:hint="cs"/>
          <w:b/>
          <w:bCs/>
          <w:sz w:val="28"/>
          <w:szCs w:val="28"/>
          <w:cs/>
        </w:rPr>
        <w:t>ที่</w:t>
      </w:r>
      <w:r w:rsidRPr="006C01C1">
        <w:rPr>
          <w:rFonts w:hint="cs"/>
          <w:sz w:val="28"/>
          <w:szCs w:val="28"/>
          <w:cs/>
        </w:rPr>
        <w:t xml:space="preserve"> อว. 123/45</w:t>
      </w:r>
      <w:r w:rsidR="006A05D4">
        <w:rPr>
          <w:sz w:val="28"/>
          <w:szCs w:val="28"/>
        </w:rPr>
        <w:t xml:space="preserve"> </w:t>
      </w:r>
      <w:r w:rsidR="003916D6">
        <w:rPr>
          <w:sz w:val="28"/>
          <w:szCs w:val="28"/>
        </w:rPr>
        <w:tab/>
      </w:r>
      <w:r w:rsidR="006A05D4" w:rsidRPr="003916D6">
        <w:rPr>
          <w:rFonts w:hint="cs"/>
          <w:b/>
          <w:bCs/>
          <w:sz w:val="28"/>
          <w:szCs w:val="28"/>
          <w:cs/>
        </w:rPr>
        <w:t>วันที่</w:t>
      </w:r>
      <w:r w:rsidR="006A05D4">
        <w:rPr>
          <w:rFonts w:hint="cs"/>
          <w:sz w:val="28"/>
          <w:szCs w:val="28"/>
          <w:cs/>
        </w:rPr>
        <w:t xml:space="preserve"> 14 กรกฎาคม </w:t>
      </w:r>
      <w:r w:rsidR="003916D6">
        <w:rPr>
          <w:rFonts w:hint="cs"/>
          <w:sz w:val="28"/>
          <w:szCs w:val="28"/>
          <w:cs/>
        </w:rPr>
        <w:t>2568</w:t>
      </w:r>
    </w:p>
    <w:p w14:paraId="1A183B49" w14:textId="7D5F94E8" w:rsidR="0015264A" w:rsidRPr="006C01C1" w:rsidRDefault="0015264A" w:rsidP="0015264A">
      <w:pPr>
        <w:spacing w:after="0" w:line="240" w:lineRule="auto"/>
        <w:ind w:left="630" w:hanging="630"/>
        <w:rPr>
          <w:sz w:val="28"/>
          <w:szCs w:val="28"/>
        </w:rPr>
      </w:pPr>
      <w:r w:rsidRPr="006A05D4">
        <w:rPr>
          <w:rFonts w:hint="cs"/>
          <w:b/>
          <w:bCs/>
          <w:sz w:val="28"/>
          <w:szCs w:val="28"/>
          <w:cs/>
        </w:rPr>
        <w:t>เรื่อง</w:t>
      </w:r>
      <w:r w:rsidRPr="006C01C1">
        <w:rPr>
          <w:rFonts w:hint="cs"/>
          <w:sz w:val="28"/>
          <w:szCs w:val="28"/>
          <w:cs/>
        </w:rPr>
        <w:t xml:space="preserve"> </w:t>
      </w:r>
      <w:r w:rsidR="006C01C1" w:rsidRPr="006C01C1">
        <w:rPr>
          <w:rFonts w:hint="cs"/>
          <w:sz w:val="28"/>
          <w:szCs w:val="28"/>
          <w:cs/>
        </w:rPr>
        <w:t>ขอความอนุเคราะห์เวลาเรียน</w:t>
      </w:r>
    </w:p>
    <w:p w14:paraId="7FAFC57B" w14:textId="65FAF4BB" w:rsidR="006C01C1" w:rsidRPr="006C01C1" w:rsidRDefault="006C01C1" w:rsidP="0015264A">
      <w:pPr>
        <w:spacing w:after="0" w:line="240" w:lineRule="auto"/>
        <w:ind w:left="630" w:hanging="630"/>
        <w:rPr>
          <w:sz w:val="28"/>
          <w:szCs w:val="28"/>
        </w:rPr>
      </w:pPr>
      <w:r w:rsidRPr="006A05D4">
        <w:rPr>
          <w:rFonts w:hint="cs"/>
          <w:b/>
          <w:bCs/>
          <w:sz w:val="28"/>
          <w:szCs w:val="28"/>
          <w:cs/>
        </w:rPr>
        <w:t>เรียน</w:t>
      </w:r>
      <w:r w:rsidRPr="006C01C1">
        <w:rPr>
          <w:rFonts w:hint="cs"/>
          <w:sz w:val="28"/>
          <w:szCs w:val="28"/>
          <w:cs/>
        </w:rPr>
        <w:t xml:space="preserve"> อาจารย์ประจำรายวิชา</w:t>
      </w:r>
    </w:p>
    <w:p w14:paraId="7380D897" w14:textId="15D66145" w:rsidR="006C01C1" w:rsidRDefault="006C01C1" w:rsidP="006C01C1">
      <w:pPr>
        <w:spacing w:before="240" w:after="0" w:line="240" w:lineRule="auto"/>
        <w:ind w:firstLine="720"/>
        <w:rPr>
          <w:sz w:val="28"/>
          <w:szCs w:val="28"/>
        </w:rPr>
      </w:pPr>
      <w:r w:rsidRPr="006C01C1">
        <w:rPr>
          <w:rFonts w:hint="cs"/>
          <w:sz w:val="28"/>
          <w:szCs w:val="28"/>
          <w:cs/>
        </w:rPr>
        <w:t>ด้วยข้าพเจ้า นางสาววีระ</w:t>
      </w:r>
      <w:proofErr w:type="spellStart"/>
      <w:r w:rsidRPr="006C01C1">
        <w:rPr>
          <w:rFonts w:hint="cs"/>
          <w:sz w:val="28"/>
          <w:szCs w:val="28"/>
          <w:cs/>
        </w:rPr>
        <w:t>วรร</w:t>
      </w:r>
      <w:proofErr w:type="spellEnd"/>
      <w:r w:rsidRPr="006C01C1">
        <w:rPr>
          <w:rFonts w:hint="cs"/>
          <w:sz w:val="28"/>
          <w:szCs w:val="28"/>
          <w:cs/>
        </w:rPr>
        <w:t>ณ กองคำ นักศึกษาสาขาวิชาเทคโนโลยีสารสนเทศ ชั้นปีที่ 1 มีความประสงค์เข้าร่วมกิจกรรม</w:t>
      </w:r>
      <w:r>
        <w:rPr>
          <w:rFonts w:hint="cs"/>
          <w:sz w:val="28"/>
          <w:szCs w:val="28"/>
          <w:cs/>
        </w:rPr>
        <w:t>ทำบุญสาขาวิชา ในวันที่ 18 กรกฎาคม 2568 เวลา 9.00 น. ซึ่งวันและเวลาดังกล่าวอยู่ในคาบสอนของกายวิชา</w:t>
      </w:r>
    </w:p>
    <w:p w14:paraId="2BFEE239" w14:textId="394C6379" w:rsidR="006C01C1" w:rsidRDefault="006C01C1" w:rsidP="006C01C1">
      <w:pPr>
        <w:tabs>
          <w:tab w:val="center" w:pos="4500"/>
        </w:tabs>
        <w:spacing w:before="240" w:after="0" w:line="240" w:lineRule="auto"/>
        <w:ind w:firstLine="72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จึงเรียนมาเพื่อขอความอนุเคราะห์เวลาเรียนดังกล่าว</w:t>
      </w:r>
    </w:p>
    <w:p w14:paraId="4B49CA1A" w14:textId="77777777" w:rsidR="006C01C1" w:rsidRDefault="006C01C1" w:rsidP="006C01C1">
      <w:pPr>
        <w:tabs>
          <w:tab w:val="center" w:pos="4500"/>
        </w:tabs>
        <w:spacing w:after="0" w:line="240" w:lineRule="auto"/>
        <w:rPr>
          <w:sz w:val="28"/>
          <w:szCs w:val="28"/>
        </w:rPr>
      </w:pPr>
    </w:p>
    <w:p w14:paraId="3C8CBD2E" w14:textId="77777777" w:rsidR="006C01C1" w:rsidRDefault="006C01C1" w:rsidP="006C01C1">
      <w:pPr>
        <w:tabs>
          <w:tab w:val="center" w:pos="4500"/>
        </w:tabs>
        <w:spacing w:after="0" w:line="240" w:lineRule="auto"/>
        <w:rPr>
          <w:sz w:val="28"/>
          <w:szCs w:val="28"/>
        </w:rPr>
      </w:pPr>
    </w:p>
    <w:p w14:paraId="53074F5A" w14:textId="74AB7A3C" w:rsidR="006C01C1" w:rsidRPr="006A05D4" w:rsidRDefault="006A05D4" w:rsidP="006A05D4">
      <w:pPr>
        <w:tabs>
          <w:tab w:val="center" w:pos="5760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cs/>
        </w:rPr>
        <w:tab/>
      </w:r>
      <w:r w:rsidR="006C01C1" w:rsidRPr="006A05D4">
        <w:rPr>
          <w:rFonts w:hint="cs"/>
          <w:b/>
          <w:bCs/>
          <w:sz w:val="28"/>
          <w:szCs w:val="28"/>
          <w:cs/>
        </w:rPr>
        <w:t>นางสาววีระ</w:t>
      </w:r>
      <w:proofErr w:type="spellStart"/>
      <w:r w:rsidR="006C01C1" w:rsidRPr="006A05D4">
        <w:rPr>
          <w:rFonts w:hint="cs"/>
          <w:b/>
          <w:bCs/>
          <w:sz w:val="28"/>
          <w:szCs w:val="28"/>
          <w:cs/>
        </w:rPr>
        <w:t>วรร</w:t>
      </w:r>
      <w:proofErr w:type="spellEnd"/>
      <w:r w:rsidR="006C01C1" w:rsidRPr="006A05D4">
        <w:rPr>
          <w:rFonts w:hint="cs"/>
          <w:b/>
          <w:bCs/>
          <w:sz w:val="28"/>
          <w:szCs w:val="28"/>
          <w:cs/>
        </w:rPr>
        <w:t>ณ กองคำ</w:t>
      </w:r>
    </w:p>
    <w:p w14:paraId="27822578" w14:textId="717D4AE7" w:rsidR="006C01C1" w:rsidRPr="006A05D4" w:rsidRDefault="006A05D4" w:rsidP="006A05D4">
      <w:pPr>
        <w:tabs>
          <w:tab w:val="center" w:pos="5760"/>
        </w:tabs>
        <w:spacing w:after="0" w:line="240" w:lineRule="auto"/>
        <w:rPr>
          <w:rFonts w:hint="cs"/>
          <w:b/>
          <w:bCs/>
          <w:sz w:val="28"/>
          <w:szCs w:val="28"/>
          <w:cs/>
        </w:rPr>
      </w:pPr>
      <w:r>
        <w:rPr>
          <w:b/>
          <w:bCs/>
          <w:sz w:val="28"/>
          <w:szCs w:val="28"/>
          <w:cs/>
        </w:rPr>
        <w:tab/>
      </w:r>
      <w:r w:rsidRPr="006A05D4">
        <w:rPr>
          <w:rFonts w:hint="cs"/>
          <w:b/>
          <w:bCs/>
          <w:sz w:val="28"/>
          <w:szCs w:val="28"/>
          <w:cs/>
        </w:rPr>
        <w:t>นักศึกษา เทคโนโลยีสารสนเทศ</w:t>
      </w:r>
    </w:p>
    <w:sectPr w:rsidR="006C01C1" w:rsidRPr="006A05D4" w:rsidSect="00CF4204">
      <w:pgSz w:w="11906" w:h="16838"/>
      <w:pgMar w:top="1440" w:right="1106" w:bottom="2160" w:left="144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62"/>
    <w:rsid w:val="0015264A"/>
    <w:rsid w:val="0034115B"/>
    <w:rsid w:val="003916D6"/>
    <w:rsid w:val="003B6C75"/>
    <w:rsid w:val="00570D62"/>
    <w:rsid w:val="005E6D0C"/>
    <w:rsid w:val="006A05D4"/>
    <w:rsid w:val="006C01C1"/>
    <w:rsid w:val="007E51CC"/>
    <w:rsid w:val="009313E5"/>
    <w:rsid w:val="00AB41CB"/>
    <w:rsid w:val="00C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1A9"/>
  <w15:chartTrackingRefBased/>
  <w15:docId w15:val="{20D4D895-8196-42F2-8A5A-31F1CE34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6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D6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D62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D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D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D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D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D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D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6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D62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D62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D62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D62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D62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D62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D62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D62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70D6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0D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D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70D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70D62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570D62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570D62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570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D62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570D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2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oi.org/10.1234/jpsych.2020.045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E49EE-73DF-4094-996B-25335693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2025-07-13T21:07:00Z</dcterms:created>
  <dcterms:modified xsi:type="dcterms:W3CDTF">2025-07-13T22:22:00Z</dcterms:modified>
</cp:coreProperties>
</file>