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008A4B7B" w:rsidRPr="009950AB">
              <w:rPr>
                <w:rStyle w:val="aff1"/>
                <w:noProof/>
              </w:rPr>
              <w:t>1. НАЗВАНИЕ КНИГИ ЕККЛЕСИАСТ И ЕЕ АВТОР</w:t>
            </w:r>
            <w:r w:rsidR="008A4B7B">
              <w:rPr>
                <w:noProof/>
                <w:webHidden/>
              </w:rPr>
              <w:tab/>
            </w:r>
            <w:r w:rsidR="008A4B7B">
              <w:rPr>
                <w:noProof/>
                <w:webHidden/>
              </w:rPr>
              <w:fldChar w:fldCharType="begin"/>
            </w:r>
            <w:r w:rsidR="008A4B7B">
              <w:rPr>
                <w:noProof/>
                <w:webHidden/>
              </w:rPr>
              <w:instrText xml:space="preserve"> PAGEREF _Toc74130728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008A4B7B" w:rsidRPr="009950AB">
              <w:rPr>
                <w:rStyle w:val="aff1"/>
                <w:noProof/>
              </w:rPr>
              <w:t>1.1. Название книги</w:t>
            </w:r>
            <w:r w:rsidR="008A4B7B">
              <w:rPr>
                <w:noProof/>
                <w:webHidden/>
              </w:rPr>
              <w:tab/>
            </w:r>
            <w:r w:rsidR="008A4B7B">
              <w:rPr>
                <w:noProof/>
                <w:webHidden/>
              </w:rPr>
              <w:fldChar w:fldCharType="begin"/>
            </w:r>
            <w:r w:rsidR="008A4B7B">
              <w:rPr>
                <w:noProof/>
                <w:webHidden/>
              </w:rPr>
              <w:instrText xml:space="preserve"> PAGEREF _Toc74130729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008A4B7B" w:rsidRPr="009950AB">
              <w:rPr>
                <w:rStyle w:val="aff1"/>
                <w:noProof/>
              </w:rPr>
              <w:t>1.2. Писатель книги</w:t>
            </w:r>
            <w:r w:rsidR="008A4B7B">
              <w:rPr>
                <w:noProof/>
                <w:webHidden/>
              </w:rPr>
              <w:tab/>
            </w:r>
            <w:r w:rsidR="008A4B7B">
              <w:rPr>
                <w:noProof/>
                <w:webHidden/>
              </w:rPr>
              <w:fldChar w:fldCharType="begin"/>
            </w:r>
            <w:r w:rsidR="008A4B7B">
              <w:rPr>
                <w:noProof/>
                <w:webHidden/>
              </w:rPr>
              <w:instrText xml:space="preserve"> PAGEREF _Toc74130730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008A4B7B" w:rsidRPr="009950AB">
              <w:rPr>
                <w:rStyle w:val="aff1"/>
                <w:noProof/>
              </w:rPr>
              <w:t>1.2.1. Традиция</w:t>
            </w:r>
            <w:r w:rsidR="008A4B7B">
              <w:rPr>
                <w:noProof/>
                <w:webHidden/>
              </w:rPr>
              <w:tab/>
            </w:r>
            <w:r w:rsidR="008A4B7B">
              <w:rPr>
                <w:noProof/>
                <w:webHidden/>
              </w:rPr>
              <w:fldChar w:fldCharType="begin"/>
            </w:r>
            <w:r w:rsidR="008A4B7B">
              <w:rPr>
                <w:noProof/>
                <w:webHidden/>
              </w:rPr>
              <w:instrText xml:space="preserve"> PAGEREF _Toc74130731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008A4B7B" w:rsidRPr="009950AB">
              <w:rPr>
                <w:rStyle w:val="aff1"/>
                <w:noProof/>
              </w:rPr>
              <w:t>1.2.2. Реформация и последующие толкователи</w:t>
            </w:r>
            <w:r w:rsidR="008A4B7B">
              <w:rPr>
                <w:noProof/>
                <w:webHidden/>
              </w:rPr>
              <w:tab/>
            </w:r>
            <w:r w:rsidR="008A4B7B">
              <w:rPr>
                <w:noProof/>
                <w:webHidden/>
              </w:rPr>
              <w:fldChar w:fldCharType="begin"/>
            </w:r>
            <w:r w:rsidR="008A4B7B">
              <w:rPr>
                <w:noProof/>
                <w:webHidden/>
              </w:rPr>
              <w:instrText xml:space="preserve"> PAGEREF _Toc74130732 \h </w:instrText>
            </w:r>
            <w:r w:rsidR="008A4B7B">
              <w:rPr>
                <w:noProof/>
                <w:webHidden/>
              </w:rPr>
            </w:r>
            <w:r w:rsidR="008A4B7B">
              <w:rPr>
                <w:noProof/>
                <w:webHidden/>
              </w:rPr>
              <w:fldChar w:fldCharType="separate"/>
            </w:r>
            <w:r w:rsidR="008A4B7B">
              <w:rPr>
                <w:noProof/>
                <w:webHidden/>
              </w:rPr>
              <w:t>11</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008A4B7B" w:rsidRPr="009950AB">
              <w:rPr>
                <w:rStyle w:val="aff1"/>
                <w:noProof/>
              </w:rPr>
              <w:t>1.2.3. Современные исследования происхождения книги</w:t>
            </w:r>
            <w:r w:rsidR="008A4B7B">
              <w:rPr>
                <w:noProof/>
                <w:webHidden/>
              </w:rPr>
              <w:tab/>
            </w:r>
            <w:r w:rsidR="008A4B7B">
              <w:rPr>
                <w:noProof/>
                <w:webHidden/>
              </w:rPr>
              <w:fldChar w:fldCharType="begin"/>
            </w:r>
            <w:r w:rsidR="008A4B7B">
              <w:rPr>
                <w:noProof/>
                <w:webHidden/>
              </w:rPr>
              <w:instrText xml:space="preserve"> PAGEREF _Toc74130733 \h </w:instrText>
            </w:r>
            <w:r w:rsidR="008A4B7B">
              <w:rPr>
                <w:noProof/>
                <w:webHidden/>
              </w:rPr>
            </w:r>
            <w:r w:rsidR="008A4B7B">
              <w:rPr>
                <w:noProof/>
                <w:webHidden/>
              </w:rPr>
              <w:fldChar w:fldCharType="separate"/>
            </w:r>
            <w:r w:rsidR="008A4B7B">
              <w:rPr>
                <w:noProof/>
                <w:webHidden/>
              </w:rPr>
              <w:t>16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008A4B7B" w:rsidRPr="009950AB">
              <w:rPr>
                <w:rStyle w:val="aff1"/>
                <w:noProof/>
              </w:rPr>
              <w:t>1.3. Каноническое достоинство книги Екклесиаст</w:t>
            </w:r>
            <w:r w:rsidR="008A4B7B">
              <w:rPr>
                <w:noProof/>
                <w:webHidden/>
              </w:rPr>
              <w:tab/>
            </w:r>
            <w:r w:rsidR="008A4B7B">
              <w:rPr>
                <w:noProof/>
                <w:webHidden/>
              </w:rPr>
              <w:fldChar w:fldCharType="begin"/>
            </w:r>
            <w:r w:rsidR="008A4B7B">
              <w:rPr>
                <w:noProof/>
                <w:webHidden/>
              </w:rPr>
              <w:instrText xml:space="preserve"> PAGEREF _Toc74130734 \h </w:instrText>
            </w:r>
            <w:r w:rsidR="008A4B7B">
              <w:rPr>
                <w:noProof/>
                <w:webHidden/>
              </w:rPr>
            </w:r>
            <w:r w:rsidR="008A4B7B">
              <w:rPr>
                <w:noProof/>
                <w:webHidden/>
              </w:rPr>
              <w:fldChar w:fldCharType="separate"/>
            </w:r>
            <w:r w:rsidR="008A4B7B">
              <w:rPr>
                <w:noProof/>
                <w:webHidden/>
              </w:rPr>
              <w:t>18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008A4B7B" w:rsidRPr="009950AB">
              <w:rPr>
                <w:rStyle w:val="aff1"/>
                <w:noProof/>
              </w:rPr>
              <w:t>2. ТЕКСТОЛОГИЯ КНИГИ ЕККЛЕСИАСТ</w:t>
            </w:r>
            <w:r w:rsidR="008A4B7B">
              <w:rPr>
                <w:noProof/>
                <w:webHidden/>
              </w:rPr>
              <w:tab/>
            </w:r>
            <w:r w:rsidR="008A4B7B">
              <w:rPr>
                <w:noProof/>
                <w:webHidden/>
              </w:rPr>
              <w:fldChar w:fldCharType="begin"/>
            </w:r>
            <w:r w:rsidR="008A4B7B">
              <w:rPr>
                <w:noProof/>
                <w:webHidden/>
              </w:rPr>
              <w:instrText xml:space="preserve"> PAGEREF _Toc74130735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008A4B7B" w:rsidRPr="009950AB">
              <w:rPr>
                <w:rStyle w:val="aff1"/>
                <w:noProof/>
              </w:rPr>
              <w:t>2.1. Положение книги в каноне</w:t>
            </w:r>
            <w:r w:rsidR="008A4B7B">
              <w:rPr>
                <w:noProof/>
                <w:webHidden/>
              </w:rPr>
              <w:tab/>
            </w:r>
            <w:r w:rsidR="008A4B7B">
              <w:rPr>
                <w:noProof/>
                <w:webHidden/>
              </w:rPr>
              <w:fldChar w:fldCharType="begin"/>
            </w:r>
            <w:r w:rsidR="008A4B7B">
              <w:rPr>
                <w:noProof/>
                <w:webHidden/>
              </w:rPr>
              <w:instrText xml:space="preserve"> PAGEREF _Toc74130736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008A4B7B" w:rsidRPr="009950AB">
              <w:rPr>
                <w:rStyle w:val="aff1"/>
                <w:noProof/>
              </w:rPr>
              <w:t>2.2. Текстовые особенности книги Екклесиаста</w:t>
            </w:r>
            <w:r w:rsidR="008A4B7B">
              <w:rPr>
                <w:noProof/>
                <w:webHidden/>
              </w:rPr>
              <w:tab/>
            </w:r>
            <w:r w:rsidR="008A4B7B">
              <w:rPr>
                <w:noProof/>
                <w:webHidden/>
              </w:rPr>
              <w:fldChar w:fldCharType="begin"/>
            </w:r>
            <w:r w:rsidR="008A4B7B">
              <w:rPr>
                <w:noProof/>
                <w:webHidden/>
              </w:rPr>
              <w:instrText xml:space="preserve"> PAGEREF _Toc74130737 \h </w:instrText>
            </w:r>
            <w:r w:rsidR="008A4B7B">
              <w:rPr>
                <w:noProof/>
                <w:webHidden/>
              </w:rPr>
            </w:r>
            <w:r w:rsidR="008A4B7B">
              <w:rPr>
                <w:noProof/>
                <w:webHidden/>
              </w:rPr>
              <w:fldChar w:fldCharType="separate"/>
            </w:r>
            <w:r w:rsidR="008A4B7B">
              <w:rPr>
                <w:noProof/>
                <w:webHidden/>
              </w:rPr>
              <w:t>21</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008A4B7B" w:rsidRPr="009950AB">
              <w:rPr>
                <w:rStyle w:val="aff1"/>
                <w:noProof/>
              </w:rPr>
              <w:t>2.3. Характер личности и исторические указания</w:t>
            </w:r>
            <w:r w:rsidR="008A4B7B">
              <w:rPr>
                <w:noProof/>
                <w:webHidden/>
              </w:rPr>
              <w:tab/>
            </w:r>
            <w:r w:rsidR="008A4B7B">
              <w:rPr>
                <w:noProof/>
                <w:webHidden/>
              </w:rPr>
              <w:fldChar w:fldCharType="begin"/>
            </w:r>
            <w:r w:rsidR="008A4B7B">
              <w:rPr>
                <w:noProof/>
                <w:webHidden/>
              </w:rPr>
              <w:instrText xml:space="preserve"> PAGEREF _Toc74130738 \h </w:instrText>
            </w:r>
            <w:r w:rsidR="008A4B7B">
              <w:rPr>
                <w:noProof/>
                <w:webHidden/>
              </w:rPr>
            </w:r>
            <w:r w:rsidR="008A4B7B">
              <w:rPr>
                <w:noProof/>
                <w:webHidden/>
              </w:rPr>
              <w:fldChar w:fldCharType="separate"/>
            </w:r>
            <w:r w:rsidR="008A4B7B">
              <w:rPr>
                <w:noProof/>
                <w:webHidden/>
              </w:rPr>
              <w:t>24</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008A4B7B" w:rsidRPr="009950AB">
              <w:rPr>
                <w:rStyle w:val="aff1"/>
                <w:noProof/>
              </w:rPr>
              <w:t>2.4. Политическое состояние иудейского царства</w:t>
            </w:r>
            <w:r w:rsidR="008A4B7B">
              <w:rPr>
                <w:noProof/>
                <w:webHidden/>
              </w:rPr>
              <w:tab/>
            </w:r>
            <w:r w:rsidR="008A4B7B">
              <w:rPr>
                <w:noProof/>
                <w:webHidden/>
              </w:rPr>
              <w:fldChar w:fldCharType="begin"/>
            </w:r>
            <w:r w:rsidR="008A4B7B">
              <w:rPr>
                <w:noProof/>
                <w:webHidden/>
              </w:rPr>
              <w:instrText xml:space="preserve"> PAGEREF _Toc74130739 \h </w:instrText>
            </w:r>
            <w:r w:rsidR="008A4B7B">
              <w:rPr>
                <w:noProof/>
                <w:webHidden/>
              </w:rPr>
            </w:r>
            <w:r w:rsidR="008A4B7B">
              <w:rPr>
                <w:noProof/>
                <w:webHidden/>
              </w:rPr>
              <w:fldChar w:fldCharType="separate"/>
            </w:r>
            <w:r w:rsidR="008A4B7B">
              <w:rPr>
                <w:noProof/>
                <w:webHidden/>
              </w:rPr>
              <w:t>25</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008A4B7B" w:rsidRPr="009950AB">
              <w:rPr>
                <w:rStyle w:val="aff1"/>
                <w:noProof/>
              </w:rPr>
              <w:t>2.5. Сведения Екклесиаста о самом себе и своих современниках</w:t>
            </w:r>
            <w:r w:rsidR="008A4B7B">
              <w:rPr>
                <w:noProof/>
                <w:webHidden/>
              </w:rPr>
              <w:tab/>
            </w:r>
            <w:r w:rsidR="008A4B7B">
              <w:rPr>
                <w:noProof/>
                <w:webHidden/>
              </w:rPr>
              <w:fldChar w:fldCharType="begin"/>
            </w:r>
            <w:r w:rsidR="008A4B7B">
              <w:rPr>
                <w:noProof/>
                <w:webHidden/>
              </w:rPr>
              <w:instrText xml:space="preserve"> PAGEREF _Toc74130740 \h </w:instrText>
            </w:r>
            <w:r w:rsidR="008A4B7B">
              <w:rPr>
                <w:noProof/>
                <w:webHidden/>
              </w:rPr>
            </w:r>
            <w:r w:rsidR="008A4B7B">
              <w:rPr>
                <w:noProof/>
                <w:webHidden/>
              </w:rPr>
              <w:fldChar w:fldCharType="separate"/>
            </w:r>
            <w:r w:rsidR="008A4B7B">
              <w:rPr>
                <w:noProof/>
                <w:webHidden/>
              </w:rPr>
              <w:t>28</w:t>
            </w:r>
            <w:r w:rsidR="008A4B7B">
              <w:rPr>
                <w:noProof/>
                <w:webHidden/>
              </w:rPr>
              <w:fldChar w:fldCharType="end"/>
            </w:r>
          </w:hyperlink>
        </w:p>
        <w:p w:rsidR="008A4B7B" w:rsidRDefault="00C13EAE"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008A4B7B" w:rsidRPr="009950AB">
              <w:rPr>
                <w:rStyle w:val="aff1"/>
                <w:noProof/>
              </w:rPr>
              <w:t>2.6. Сходство книги Екклесиаст с другими произведениями Соломона</w:t>
            </w:r>
            <w:r w:rsidR="008A4B7B">
              <w:rPr>
                <w:noProof/>
                <w:webHidden/>
              </w:rPr>
              <w:tab/>
            </w:r>
            <w:r w:rsidR="008A4B7B">
              <w:rPr>
                <w:noProof/>
                <w:webHidden/>
              </w:rPr>
              <w:fldChar w:fldCharType="begin"/>
            </w:r>
            <w:r w:rsidR="008A4B7B">
              <w:rPr>
                <w:noProof/>
                <w:webHidden/>
              </w:rPr>
              <w:instrText xml:space="preserve"> PAGEREF _Toc74130741 \h </w:instrText>
            </w:r>
            <w:r w:rsidR="008A4B7B">
              <w:rPr>
                <w:noProof/>
                <w:webHidden/>
              </w:rPr>
            </w:r>
            <w:r w:rsidR="008A4B7B">
              <w:rPr>
                <w:noProof/>
                <w:webHidden/>
              </w:rPr>
              <w:fldChar w:fldCharType="separate"/>
            </w:r>
            <w:r w:rsidR="008A4B7B">
              <w:rPr>
                <w:noProof/>
                <w:webHidden/>
              </w:rPr>
              <w:t>30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008A4B7B" w:rsidRPr="009950AB">
              <w:rPr>
                <w:rStyle w:val="aff1"/>
                <w:noProof/>
              </w:rPr>
              <w:t>3. ИСТОРИЯ ВЕТХОЗАВЕТНОЙ МУДРОСТИ</w:t>
            </w:r>
            <w:r w:rsidR="008A4B7B">
              <w:rPr>
                <w:noProof/>
                <w:webHidden/>
              </w:rPr>
              <w:tab/>
            </w:r>
            <w:r w:rsidR="008A4B7B">
              <w:rPr>
                <w:noProof/>
                <w:webHidden/>
              </w:rPr>
              <w:fldChar w:fldCharType="begin"/>
            </w:r>
            <w:r w:rsidR="008A4B7B">
              <w:rPr>
                <w:noProof/>
                <w:webHidden/>
              </w:rPr>
              <w:instrText xml:space="preserve"> PAGEREF _Toc74130742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008A4B7B" w:rsidRPr="009950AB">
              <w:rPr>
                <w:rStyle w:val="aff1"/>
                <w:noProof/>
              </w:rPr>
              <w:t>3.1 Философия хокмы</w:t>
            </w:r>
            <w:r w:rsidR="008A4B7B">
              <w:rPr>
                <w:noProof/>
                <w:webHidden/>
              </w:rPr>
              <w:tab/>
            </w:r>
            <w:r w:rsidR="008A4B7B">
              <w:rPr>
                <w:noProof/>
                <w:webHidden/>
              </w:rPr>
              <w:fldChar w:fldCharType="begin"/>
            </w:r>
            <w:r w:rsidR="008A4B7B">
              <w:rPr>
                <w:noProof/>
                <w:webHidden/>
              </w:rPr>
              <w:instrText xml:space="preserve"> PAGEREF _Toc74130743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008A4B7B" w:rsidRPr="009950AB">
              <w:rPr>
                <w:rStyle w:val="aff1"/>
                <w:noProof/>
              </w:rPr>
              <w:t>3.2 Екклесиаст и литература хокмы</w:t>
            </w:r>
            <w:r w:rsidR="008A4B7B">
              <w:rPr>
                <w:noProof/>
                <w:webHidden/>
              </w:rPr>
              <w:tab/>
            </w:r>
            <w:r w:rsidR="008A4B7B">
              <w:rPr>
                <w:noProof/>
                <w:webHidden/>
              </w:rPr>
              <w:fldChar w:fldCharType="begin"/>
            </w:r>
            <w:r w:rsidR="008A4B7B">
              <w:rPr>
                <w:noProof/>
                <w:webHidden/>
              </w:rPr>
              <w:instrText xml:space="preserve"> PAGEREF _Toc74130744 \h </w:instrText>
            </w:r>
            <w:r w:rsidR="008A4B7B">
              <w:rPr>
                <w:noProof/>
                <w:webHidden/>
              </w:rPr>
            </w:r>
            <w:r w:rsidR="008A4B7B">
              <w:rPr>
                <w:noProof/>
                <w:webHidden/>
              </w:rPr>
              <w:fldChar w:fldCharType="separate"/>
            </w:r>
            <w:r w:rsidR="008A4B7B">
              <w:rPr>
                <w:noProof/>
                <w:webHidden/>
              </w:rPr>
              <w:t>37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008A4B7B" w:rsidRPr="009950AB">
              <w:rPr>
                <w:rStyle w:val="aff1"/>
                <w:noProof/>
              </w:rPr>
              <w:t>3.3 Внутренняя связь книги Екклесиаст</w:t>
            </w:r>
            <w:r w:rsidR="008A4B7B">
              <w:rPr>
                <w:noProof/>
                <w:webHidden/>
              </w:rPr>
              <w:tab/>
            </w:r>
            <w:r w:rsidR="008A4B7B">
              <w:rPr>
                <w:noProof/>
                <w:webHidden/>
              </w:rPr>
              <w:fldChar w:fldCharType="begin"/>
            </w:r>
            <w:r w:rsidR="008A4B7B">
              <w:rPr>
                <w:noProof/>
                <w:webHidden/>
              </w:rPr>
              <w:instrText xml:space="preserve"> PAGEREF _Toc74130745 \h </w:instrText>
            </w:r>
            <w:r w:rsidR="008A4B7B">
              <w:rPr>
                <w:noProof/>
                <w:webHidden/>
              </w:rPr>
            </w:r>
            <w:r w:rsidR="008A4B7B">
              <w:rPr>
                <w:noProof/>
                <w:webHidden/>
              </w:rPr>
              <w:fldChar w:fldCharType="separate"/>
            </w:r>
            <w:r w:rsidR="008A4B7B">
              <w:rPr>
                <w:noProof/>
                <w:webHidden/>
              </w:rPr>
              <w:t>42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008A4B7B" w:rsidRPr="009950AB">
              <w:rPr>
                <w:rStyle w:val="aff1"/>
                <w:noProof/>
              </w:rPr>
              <w:t>3.4 Книга Екклесиаст, как поэтическая книга</w:t>
            </w:r>
            <w:r w:rsidR="008A4B7B">
              <w:rPr>
                <w:noProof/>
                <w:webHidden/>
              </w:rPr>
              <w:tab/>
            </w:r>
            <w:r w:rsidR="008A4B7B">
              <w:rPr>
                <w:noProof/>
                <w:webHidden/>
              </w:rPr>
              <w:fldChar w:fldCharType="begin"/>
            </w:r>
            <w:r w:rsidR="008A4B7B">
              <w:rPr>
                <w:noProof/>
                <w:webHidden/>
              </w:rPr>
              <w:instrText xml:space="preserve"> PAGEREF _Toc74130746 \h </w:instrText>
            </w:r>
            <w:r w:rsidR="008A4B7B">
              <w:rPr>
                <w:noProof/>
                <w:webHidden/>
              </w:rPr>
            </w:r>
            <w:r w:rsidR="008A4B7B">
              <w:rPr>
                <w:noProof/>
                <w:webHidden/>
              </w:rPr>
              <w:fldChar w:fldCharType="separate"/>
            </w:r>
            <w:r w:rsidR="008A4B7B">
              <w:rPr>
                <w:noProof/>
                <w:webHidden/>
              </w:rPr>
              <w:t>48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008A4B7B" w:rsidRPr="009950AB">
              <w:rPr>
                <w:rStyle w:val="aff1"/>
                <w:noProof/>
              </w:rPr>
              <w:t>4. КНИГА ЕККЛЕСИАСТ КАК ЛИТЕРАТУРА МУДРОСТИ</w:t>
            </w:r>
            <w:r w:rsidR="008A4B7B">
              <w:rPr>
                <w:noProof/>
                <w:webHidden/>
              </w:rPr>
              <w:tab/>
            </w:r>
            <w:r w:rsidR="008A4B7B">
              <w:rPr>
                <w:noProof/>
                <w:webHidden/>
              </w:rPr>
              <w:fldChar w:fldCharType="begin"/>
            </w:r>
            <w:r w:rsidR="008A4B7B">
              <w:rPr>
                <w:noProof/>
                <w:webHidden/>
              </w:rPr>
              <w:instrText xml:space="preserve"> PAGEREF _Toc74130747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008A4B7B" w:rsidRPr="009950AB">
              <w:rPr>
                <w:rStyle w:val="aff1"/>
                <w:noProof/>
              </w:rPr>
              <w:t>4.1. Екклесиаст и литература мудрости Древнего Шумера</w:t>
            </w:r>
            <w:r w:rsidR="008A4B7B">
              <w:rPr>
                <w:noProof/>
                <w:webHidden/>
              </w:rPr>
              <w:tab/>
            </w:r>
            <w:r w:rsidR="008A4B7B">
              <w:rPr>
                <w:noProof/>
                <w:webHidden/>
              </w:rPr>
              <w:fldChar w:fldCharType="begin"/>
            </w:r>
            <w:r w:rsidR="008A4B7B">
              <w:rPr>
                <w:noProof/>
                <w:webHidden/>
              </w:rPr>
              <w:instrText xml:space="preserve"> PAGEREF _Toc74130748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008A4B7B" w:rsidRPr="009950AB">
              <w:rPr>
                <w:rStyle w:val="aff1"/>
                <w:noProof/>
              </w:rPr>
              <w:t>Пословицы и поговорки</w:t>
            </w:r>
            <w:r w:rsidR="008A4B7B">
              <w:rPr>
                <w:noProof/>
                <w:webHidden/>
              </w:rPr>
              <w:tab/>
            </w:r>
            <w:r w:rsidR="008A4B7B">
              <w:rPr>
                <w:noProof/>
                <w:webHidden/>
              </w:rPr>
              <w:fldChar w:fldCharType="begin"/>
            </w:r>
            <w:r w:rsidR="008A4B7B">
              <w:rPr>
                <w:noProof/>
                <w:webHidden/>
              </w:rPr>
              <w:instrText xml:space="preserve"> PAGEREF _Toc74130749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008A4B7B" w:rsidRPr="009950AB">
              <w:rPr>
                <w:rStyle w:val="aff1"/>
                <w:noProof/>
              </w:rPr>
              <w:t>Мир окружающий, последствия поступков в нем, вопросы о мудрости и возможностях слова</w:t>
            </w:r>
            <w:r w:rsidR="008A4B7B">
              <w:rPr>
                <w:noProof/>
                <w:webHidden/>
              </w:rPr>
              <w:tab/>
            </w:r>
            <w:r w:rsidR="008A4B7B">
              <w:rPr>
                <w:noProof/>
                <w:webHidden/>
              </w:rPr>
              <w:fldChar w:fldCharType="begin"/>
            </w:r>
            <w:r w:rsidR="008A4B7B">
              <w:rPr>
                <w:noProof/>
                <w:webHidden/>
              </w:rPr>
              <w:instrText xml:space="preserve"> PAGEREF _Toc74130750 \h </w:instrText>
            </w:r>
            <w:r w:rsidR="008A4B7B">
              <w:rPr>
                <w:noProof/>
                <w:webHidden/>
              </w:rPr>
            </w:r>
            <w:r w:rsidR="008A4B7B">
              <w:rPr>
                <w:noProof/>
                <w:webHidden/>
              </w:rPr>
              <w:fldChar w:fldCharType="separate"/>
            </w:r>
            <w:r w:rsidR="008A4B7B">
              <w:rPr>
                <w:noProof/>
                <w:webHidden/>
              </w:rPr>
              <w:t>59</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008A4B7B" w:rsidRPr="009950AB">
              <w:rPr>
                <w:rStyle w:val="aff1"/>
                <w:noProof/>
              </w:rPr>
              <w:t>Общество и его установления. Принуждение человека и вопросы его смирения</w:t>
            </w:r>
            <w:r w:rsidR="008A4B7B">
              <w:rPr>
                <w:noProof/>
                <w:webHidden/>
              </w:rPr>
              <w:tab/>
            </w:r>
            <w:r w:rsidR="008A4B7B">
              <w:rPr>
                <w:noProof/>
                <w:webHidden/>
              </w:rPr>
              <w:fldChar w:fldCharType="begin"/>
            </w:r>
            <w:r w:rsidR="008A4B7B">
              <w:rPr>
                <w:noProof/>
                <w:webHidden/>
              </w:rPr>
              <w:instrText xml:space="preserve"> PAGEREF _Toc74130751 \h </w:instrText>
            </w:r>
            <w:r w:rsidR="008A4B7B">
              <w:rPr>
                <w:noProof/>
                <w:webHidden/>
              </w:rPr>
            </w:r>
            <w:r w:rsidR="008A4B7B">
              <w:rPr>
                <w:noProof/>
                <w:webHidden/>
              </w:rPr>
              <w:fldChar w:fldCharType="separate"/>
            </w:r>
            <w:r w:rsidR="008A4B7B">
              <w:rPr>
                <w:noProof/>
                <w:webHidden/>
              </w:rPr>
              <w:t>62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008A4B7B" w:rsidRPr="009950AB">
              <w:rPr>
                <w:rStyle w:val="aff1"/>
                <w:noProof/>
              </w:rPr>
              <w:t>Богатство и бедность</w:t>
            </w:r>
            <w:r w:rsidR="008A4B7B">
              <w:rPr>
                <w:noProof/>
                <w:webHidden/>
              </w:rPr>
              <w:tab/>
            </w:r>
            <w:r w:rsidR="008A4B7B">
              <w:rPr>
                <w:noProof/>
                <w:webHidden/>
              </w:rPr>
              <w:fldChar w:fldCharType="begin"/>
            </w:r>
            <w:r w:rsidR="008A4B7B">
              <w:rPr>
                <w:noProof/>
                <w:webHidden/>
              </w:rPr>
              <w:instrText xml:space="preserve"> PAGEREF _Toc74130752 \h </w:instrText>
            </w:r>
            <w:r w:rsidR="008A4B7B">
              <w:rPr>
                <w:noProof/>
                <w:webHidden/>
              </w:rPr>
            </w:r>
            <w:r w:rsidR="008A4B7B">
              <w:rPr>
                <w:noProof/>
                <w:webHidden/>
              </w:rPr>
              <w:fldChar w:fldCharType="separate"/>
            </w:r>
            <w:r w:rsidR="008A4B7B">
              <w:rPr>
                <w:noProof/>
                <w:webHidden/>
              </w:rPr>
              <w:t>66</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008A4B7B" w:rsidRPr="009950AB">
              <w:rPr>
                <w:rStyle w:val="aff1"/>
                <w:noProof/>
              </w:rPr>
              <w:t>Противоречия человеческой жизи. Зыбкость земного порядка</w:t>
            </w:r>
            <w:r w:rsidR="008A4B7B">
              <w:rPr>
                <w:noProof/>
                <w:webHidden/>
              </w:rPr>
              <w:tab/>
            </w:r>
            <w:r w:rsidR="008A4B7B">
              <w:rPr>
                <w:noProof/>
                <w:webHidden/>
              </w:rPr>
              <w:fldChar w:fldCharType="begin"/>
            </w:r>
            <w:r w:rsidR="008A4B7B">
              <w:rPr>
                <w:noProof/>
                <w:webHidden/>
              </w:rPr>
              <w:instrText xml:space="preserve"> PAGEREF _Toc74130753 \h </w:instrText>
            </w:r>
            <w:r w:rsidR="008A4B7B">
              <w:rPr>
                <w:noProof/>
                <w:webHidden/>
              </w:rPr>
            </w:r>
            <w:r w:rsidR="008A4B7B">
              <w:rPr>
                <w:noProof/>
                <w:webHidden/>
              </w:rPr>
              <w:fldChar w:fldCharType="separate"/>
            </w:r>
            <w:r w:rsidR="008A4B7B">
              <w:rPr>
                <w:noProof/>
                <w:webHidden/>
              </w:rPr>
              <w:t>70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008A4B7B" w:rsidRPr="009950AB">
              <w:rPr>
                <w:rStyle w:val="aff1"/>
                <w:noProof/>
              </w:rPr>
              <w:t>4.2 Екклесиаст и литература мудрости Древнего Египта</w:t>
            </w:r>
            <w:r w:rsidR="008A4B7B">
              <w:rPr>
                <w:noProof/>
                <w:webHidden/>
              </w:rPr>
              <w:tab/>
            </w:r>
            <w:r w:rsidR="008A4B7B">
              <w:rPr>
                <w:noProof/>
                <w:webHidden/>
              </w:rPr>
              <w:fldChar w:fldCharType="begin"/>
            </w:r>
            <w:r w:rsidR="008A4B7B">
              <w:rPr>
                <w:noProof/>
                <w:webHidden/>
              </w:rPr>
              <w:instrText xml:space="preserve"> PAGEREF _Toc74130754 \h </w:instrText>
            </w:r>
            <w:r w:rsidR="008A4B7B">
              <w:rPr>
                <w:noProof/>
                <w:webHidden/>
              </w:rPr>
            </w:r>
            <w:r w:rsidR="008A4B7B">
              <w:rPr>
                <w:noProof/>
                <w:webHidden/>
              </w:rPr>
              <w:fldChar w:fldCharType="separate"/>
            </w:r>
            <w:r w:rsidR="008A4B7B">
              <w:rPr>
                <w:noProof/>
                <w:webHidden/>
              </w:rPr>
              <w:t>73</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008A4B7B" w:rsidRPr="009950AB">
              <w:rPr>
                <w:rStyle w:val="aff1"/>
                <w:noProof/>
              </w:rPr>
              <w:t>Древнеегипетская «Песнь арфиста» и библейская Книг Екклесиаста</w:t>
            </w:r>
            <w:r w:rsidR="008A4B7B">
              <w:rPr>
                <w:noProof/>
                <w:webHidden/>
              </w:rPr>
              <w:tab/>
            </w:r>
            <w:r w:rsidR="008A4B7B">
              <w:rPr>
                <w:noProof/>
                <w:webHidden/>
              </w:rPr>
              <w:fldChar w:fldCharType="begin"/>
            </w:r>
            <w:r w:rsidR="008A4B7B">
              <w:rPr>
                <w:noProof/>
                <w:webHidden/>
              </w:rPr>
              <w:instrText xml:space="preserve"> PAGEREF _Toc74130755 \h </w:instrText>
            </w:r>
            <w:r w:rsidR="008A4B7B">
              <w:rPr>
                <w:noProof/>
                <w:webHidden/>
              </w:rPr>
            </w:r>
            <w:r w:rsidR="008A4B7B">
              <w:rPr>
                <w:noProof/>
                <w:webHidden/>
              </w:rPr>
              <w:fldChar w:fldCharType="separate"/>
            </w:r>
            <w:r w:rsidR="008A4B7B">
              <w:rPr>
                <w:noProof/>
                <w:webHidden/>
              </w:rPr>
              <w:t>74</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008A4B7B" w:rsidRPr="009950AB">
              <w:rPr>
                <w:rStyle w:val="aff1"/>
                <w:noProof/>
              </w:rPr>
              <w:t>«Разговор разочарованного со своим Ба» и Книга Екклесиаста</w:t>
            </w:r>
            <w:r w:rsidR="008A4B7B">
              <w:rPr>
                <w:noProof/>
                <w:webHidden/>
              </w:rPr>
              <w:tab/>
            </w:r>
            <w:r w:rsidR="008A4B7B">
              <w:rPr>
                <w:noProof/>
                <w:webHidden/>
              </w:rPr>
              <w:fldChar w:fldCharType="begin"/>
            </w:r>
            <w:r w:rsidR="008A4B7B">
              <w:rPr>
                <w:noProof/>
                <w:webHidden/>
              </w:rPr>
              <w:instrText xml:space="preserve"> PAGEREF _Toc74130756 \h </w:instrText>
            </w:r>
            <w:r w:rsidR="008A4B7B">
              <w:rPr>
                <w:noProof/>
                <w:webHidden/>
              </w:rPr>
            </w:r>
            <w:r w:rsidR="008A4B7B">
              <w:rPr>
                <w:noProof/>
                <w:webHidden/>
              </w:rPr>
              <w:fldChar w:fldCharType="separate"/>
            </w:r>
            <w:r w:rsidR="008A4B7B">
              <w:rPr>
                <w:noProof/>
                <w:webHidden/>
              </w:rPr>
              <w:t>75</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008A4B7B" w:rsidRPr="009950AB">
              <w:rPr>
                <w:rStyle w:val="aff1"/>
                <w:noProof/>
              </w:rPr>
              <w:t>Размышления Хахаперрасенеба со своим сердцем» и библейская Книга Екклесиаста</w:t>
            </w:r>
            <w:r w:rsidR="008A4B7B">
              <w:rPr>
                <w:noProof/>
                <w:webHidden/>
              </w:rPr>
              <w:tab/>
            </w:r>
            <w:r w:rsidR="008A4B7B">
              <w:rPr>
                <w:noProof/>
                <w:webHidden/>
              </w:rPr>
              <w:fldChar w:fldCharType="begin"/>
            </w:r>
            <w:r w:rsidR="008A4B7B">
              <w:rPr>
                <w:noProof/>
                <w:webHidden/>
              </w:rPr>
              <w:instrText xml:space="preserve"> PAGEREF _Toc74130757 \h </w:instrText>
            </w:r>
            <w:r w:rsidR="008A4B7B">
              <w:rPr>
                <w:noProof/>
                <w:webHidden/>
              </w:rPr>
            </w:r>
            <w:r w:rsidR="008A4B7B">
              <w:rPr>
                <w:noProof/>
                <w:webHidden/>
              </w:rPr>
              <w:fldChar w:fldCharType="separate"/>
            </w:r>
            <w:r w:rsidR="008A4B7B">
              <w:rPr>
                <w:noProof/>
                <w:webHidden/>
              </w:rPr>
              <w:t>78</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008A4B7B" w:rsidRPr="009950AB">
              <w:rPr>
                <w:rStyle w:val="aff1"/>
                <w:noProof/>
              </w:rPr>
              <w:t>Обличения поселянина</w:t>
            </w:r>
            <w:r w:rsidR="008A4B7B">
              <w:rPr>
                <w:noProof/>
                <w:webHidden/>
              </w:rPr>
              <w:tab/>
            </w:r>
            <w:r w:rsidR="008A4B7B">
              <w:rPr>
                <w:noProof/>
                <w:webHidden/>
              </w:rPr>
              <w:fldChar w:fldCharType="begin"/>
            </w:r>
            <w:r w:rsidR="008A4B7B">
              <w:rPr>
                <w:noProof/>
                <w:webHidden/>
              </w:rPr>
              <w:instrText xml:space="preserve"> PAGEREF _Toc74130758 \h </w:instrText>
            </w:r>
            <w:r w:rsidR="008A4B7B">
              <w:rPr>
                <w:noProof/>
                <w:webHidden/>
              </w:rPr>
            </w:r>
            <w:r w:rsidR="008A4B7B">
              <w:rPr>
                <w:noProof/>
                <w:webHidden/>
              </w:rPr>
              <w:fldChar w:fldCharType="separate"/>
            </w:r>
            <w:r w:rsidR="008A4B7B">
              <w:rPr>
                <w:noProof/>
                <w:webHidden/>
              </w:rPr>
              <w:t>80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008A4B7B" w:rsidRPr="009950AB">
              <w:rPr>
                <w:rStyle w:val="aff1"/>
                <w:noProof/>
              </w:rPr>
              <w:t>ЗАКЛЮЧЕНИЕ</w:t>
            </w:r>
            <w:r w:rsidR="008A4B7B">
              <w:rPr>
                <w:noProof/>
                <w:webHidden/>
              </w:rPr>
              <w:tab/>
            </w:r>
            <w:r w:rsidR="008A4B7B">
              <w:rPr>
                <w:noProof/>
                <w:webHidden/>
              </w:rPr>
              <w:fldChar w:fldCharType="begin"/>
            </w:r>
            <w:r w:rsidR="008A4B7B">
              <w:rPr>
                <w:noProof/>
                <w:webHidden/>
              </w:rPr>
              <w:instrText xml:space="preserve"> PAGEREF _Toc74130759 \h </w:instrText>
            </w:r>
            <w:r w:rsidR="008A4B7B">
              <w:rPr>
                <w:noProof/>
                <w:webHidden/>
              </w:rPr>
            </w:r>
            <w:r w:rsidR="008A4B7B">
              <w:rPr>
                <w:noProof/>
                <w:webHidden/>
              </w:rPr>
              <w:fldChar w:fldCharType="separate"/>
            </w:r>
            <w:r w:rsidR="008A4B7B">
              <w:rPr>
                <w:noProof/>
                <w:webHidden/>
              </w:rPr>
              <w:t>85</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008A4B7B" w:rsidRPr="009950AB">
              <w:rPr>
                <w:rStyle w:val="aff1"/>
                <w:noProof/>
              </w:rPr>
              <w:t>БИБЛИОГРАФИЧЕСКИЙ СПИСОК</w:t>
            </w:r>
            <w:r w:rsidR="008A4B7B">
              <w:rPr>
                <w:noProof/>
                <w:webHidden/>
              </w:rPr>
              <w:tab/>
            </w:r>
            <w:r w:rsidR="008A4B7B">
              <w:rPr>
                <w:noProof/>
                <w:webHidden/>
              </w:rPr>
              <w:fldChar w:fldCharType="begin"/>
            </w:r>
            <w:r w:rsidR="008A4B7B">
              <w:rPr>
                <w:noProof/>
                <w:webHidden/>
              </w:rPr>
              <w:instrText xml:space="preserve"> PAGEREF _Toc74130760 \h </w:instrText>
            </w:r>
            <w:r w:rsidR="008A4B7B">
              <w:rPr>
                <w:noProof/>
                <w:webHidden/>
              </w:rPr>
            </w:r>
            <w:r w:rsidR="008A4B7B">
              <w:rPr>
                <w:noProof/>
                <w:webHidden/>
              </w:rPr>
              <w:fldChar w:fldCharType="separate"/>
            </w:r>
            <w:r w:rsidR="008A4B7B">
              <w:rPr>
                <w:noProof/>
                <w:webHidden/>
              </w:rPr>
              <w:t>86</w:t>
            </w:r>
            <w:r w:rsidR="008A4B7B">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130729"/>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7" w:name="_Ref73972974"/>
      <w:r w:rsidR="00896FB0" w:rsidRPr="00896FB0">
        <w:rPr>
          <w:rStyle w:val="afc"/>
          <w:vertAlign w:val="baseline"/>
        </w:rPr>
        <w:endnoteReference w:id="4"/>
      </w:r>
      <w:bookmarkEnd w:id="7"/>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5"/>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w:t>
      </w:r>
      <w:r w:rsidR="00F273BB">
        <w:t>и</w:t>
      </w:r>
      <w:r w:rsidR="00F273BB">
        <w:t>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6"/>
      </w:r>
      <w:bookmarkEnd w:id="9"/>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130730"/>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130731"/>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8"/>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130732"/>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w:t>
      </w:r>
      <w:proofErr w:type="gramStart"/>
      <w:r>
        <w:rPr>
          <w:lang w:bidi="he-IL"/>
        </w:rPr>
        <w:t>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w:t>
      </w:r>
      <w:proofErr w:type="gramEnd"/>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proofErr w:type="gramStart"/>
      <w:r w:rsidR="008F77D5">
        <w:rPr>
          <w:lang w:bidi="he-IL"/>
        </w:rPr>
        <w:t xml:space="preserve">» </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0" w:name="_Toc72499214"/>
      <w:bookmarkStart w:id="21" w:name="_Toc74130733"/>
      <w:r>
        <w:rPr>
          <w:lang w:bidi="he-IL"/>
        </w:rPr>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2" w:name="_Ref74590978"/>
      <w:r w:rsidRPr="00C90D7A">
        <w:rPr>
          <w:rStyle w:val="afc"/>
          <w:vertAlign w:val="baseline"/>
          <w:lang w:bidi="he-IL"/>
        </w:rPr>
        <w:endnoteReference w:id="18"/>
      </w:r>
      <w:bookmarkEnd w:id="22"/>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ем перевода 70-ти толковников, он сумел сохранить в составе свяще</w:t>
      </w:r>
      <w:r w:rsidR="00E20A3E">
        <w:rPr>
          <w:lang w:bidi="he-IL"/>
        </w:rPr>
        <w:t>н</w:t>
      </w:r>
      <w:r w:rsidR="00E20A3E">
        <w:rPr>
          <w:lang w:bidi="he-IL"/>
        </w:rPr>
        <w:t xml:space="preserve">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3" w:name="_Toc72499216"/>
      <w:bookmarkStart w:id="24" w:name="_Toc74130734"/>
      <w:bookmarkStart w:id="25" w:name="_Toc72499215"/>
      <w:r>
        <w:t>1.3</w:t>
      </w:r>
      <w:r w:rsidR="00570580">
        <w:t xml:space="preserve">. </w:t>
      </w:r>
      <w:r>
        <w:t>Каноническое достоинство книги Екклесиаст</w:t>
      </w:r>
      <w:bookmarkEnd w:id="23"/>
      <w:bookmarkEnd w:id="24"/>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Default="004B4468" w:rsidP="004B4468">
      <w:pPr>
        <w:rPr>
          <w:lang w:val="en-US" w:bidi="he-IL"/>
        </w:rPr>
      </w:pPr>
      <w:r>
        <w:rPr>
          <w:lang w:bidi="he-IL"/>
        </w:rPr>
        <w:t xml:space="preserve">Из христианских толкователей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w:t>
      </w:r>
      <w:r w:rsidR="00570580" w:rsidRPr="0031249E">
        <w:rPr>
          <w:lang w:bidi="he-IL"/>
        </w:rPr>
        <w:t>и</w:t>
      </w:r>
      <w:r w:rsidR="00570580" w:rsidRPr="0031249E">
        <w:rPr>
          <w:lang w:bidi="he-IL"/>
        </w:rPr>
        <w:t>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 xml:space="preserve">] </w:t>
      </w:r>
      <w:r>
        <w:rPr>
          <w:lang w:bidi="he-IL"/>
        </w:rPr>
        <w:t>Далее, отмеч</w:t>
      </w:r>
      <w:r>
        <w:rPr>
          <w:lang w:bidi="he-IL"/>
        </w:rPr>
        <w:t>а</w:t>
      </w:r>
      <w:r>
        <w:rPr>
          <w:lang w:bidi="he-IL"/>
        </w:rPr>
        <w:t xml:space="preserve">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богодухнове</w:t>
      </w:r>
      <w:r w:rsidR="00570580" w:rsidRPr="0031249E">
        <w:rPr>
          <w:lang w:bidi="he-IL"/>
        </w:rPr>
        <w:t>н</w:t>
      </w:r>
      <w:r w:rsidR="00570580" w:rsidRPr="0031249E">
        <w:rPr>
          <w:lang w:bidi="he-IL"/>
        </w:rPr>
        <w:t>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r w:rsidR="00570580" w:rsidRPr="0031249E">
        <w:rPr>
          <w:lang w:bidi="he-IL"/>
        </w:rPr>
        <w:t>Ориген находил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легкомыслию.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w:t>
      </w:r>
      <w:r w:rsidR="00570580" w:rsidRPr="0031249E">
        <w:rPr>
          <w:lang w:bidi="he-IL"/>
        </w:rPr>
        <w:t>а</w:t>
      </w:r>
      <w:r w:rsidR="00570580" w:rsidRPr="0031249E">
        <w:rPr>
          <w:lang w:bidi="he-IL"/>
        </w:rPr>
        <w:t>гробную жизнь</w:t>
      </w:r>
      <w:r w:rsidR="005E5468">
        <w:rPr>
          <w:lang w:bidi="he-IL"/>
        </w:rPr>
        <w:t xml:space="preserve">» </w:t>
      </w:r>
      <w:r w:rsidR="005E5468">
        <w:rPr>
          <w:lang w:val="en-US" w:bidi="he-IL"/>
        </w:rPr>
        <w:t>[</w:t>
      </w:r>
      <w:r w:rsidR="005E5468">
        <w:rPr>
          <w:lang w:val="en-US" w:bidi="he-IL"/>
        </w:rPr>
        <w:fldChar w:fldCharType="begin"/>
      </w:r>
      <w:r w:rsidR="005E5468">
        <w:rPr>
          <w:lang w:val="en-US" w:bidi="he-IL"/>
        </w:rPr>
        <w:instrText xml:space="preserve"> NOTEREF _Ref74593239 \h </w:instrText>
      </w:r>
      <w:r w:rsidR="005E5468">
        <w:rPr>
          <w:lang w:val="en-US" w:bidi="he-IL"/>
        </w:rPr>
      </w:r>
      <w:r w:rsidR="005E5468">
        <w:rPr>
          <w:lang w:val="en-US" w:bidi="he-IL"/>
        </w:rPr>
        <w:fldChar w:fldCharType="separate"/>
      </w:r>
      <w:r w:rsidR="005E5468">
        <w:rPr>
          <w:lang w:val="en-US" w:bidi="he-IL"/>
        </w:rPr>
        <w:t>6</w:t>
      </w:r>
      <w:r w:rsidR="005E5468">
        <w:rPr>
          <w:lang w:val="en-US" w:bidi="he-IL"/>
        </w:rPr>
        <w:fldChar w:fldCharType="end"/>
      </w:r>
      <w:r w:rsidR="005E5468">
        <w:rPr>
          <w:lang w:val="en-US"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тыре. Паралипоменон, (то есть остатков от книги дней), две. Ездры две. Есфирь о</w:t>
      </w:r>
      <w:r w:rsidR="002D1C6A" w:rsidRPr="002D1C6A">
        <w:rPr>
          <w:lang w:bidi="he-IL"/>
        </w:rPr>
        <w:t>д</w:t>
      </w:r>
      <w:r w:rsidR="002D1C6A" w:rsidRPr="002D1C6A">
        <w:rPr>
          <w:lang w:bidi="he-IL"/>
        </w:rPr>
        <w:t xml:space="preserve">на. Маккавейских три. Иова одна. Псалтирь одна. Соломоновых три: Притчи, </w:t>
      </w:r>
      <w:proofErr w:type="spellStart"/>
      <w:r w:rsidR="002D1C6A" w:rsidRPr="002D1C6A">
        <w:rPr>
          <w:b/>
          <w:bCs/>
          <w:lang w:bidi="he-IL"/>
        </w:rPr>
        <w:t>Еккл</w:t>
      </w:r>
      <w:r w:rsidR="002D1C6A" w:rsidRPr="002D1C6A">
        <w:rPr>
          <w:b/>
          <w:bCs/>
          <w:lang w:bidi="he-IL"/>
        </w:rPr>
        <w:t>и</w:t>
      </w:r>
      <w:r w:rsidR="002D1C6A" w:rsidRPr="002D1C6A">
        <w:rPr>
          <w:b/>
          <w:bCs/>
          <w:lang w:bidi="he-IL"/>
        </w:rPr>
        <w:t>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9"/>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20"/>
      </w:r>
      <w:r w:rsidR="00097DFC" w:rsidRPr="00097DFC">
        <w:rPr>
          <w:lang w:bidi="he-IL"/>
        </w:rPr>
        <w:t>]</w:t>
      </w:r>
      <w:r w:rsidR="00097DFC">
        <w:rPr>
          <w:lang w:bidi="he-IL"/>
        </w:rPr>
        <w:t xml:space="preserve">. </w:t>
      </w:r>
      <w:r w:rsidR="00AD398B">
        <w:rPr>
          <w:lang w:bidi="he-IL"/>
        </w:rPr>
        <w:t xml:space="preserve">Мелитон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xml:space="preserve">: «Мелитон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w:t>
      </w:r>
      <w:r w:rsidR="00AD398B" w:rsidRPr="00AD398B">
        <w:rPr>
          <w:lang w:bidi="he-IL"/>
        </w:rPr>
        <w:t>е</w:t>
      </w:r>
      <w:r w:rsidR="00AD398B" w:rsidRPr="00AD398B">
        <w:rPr>
          <w:lang w:bidi="he-IL"/>
        </w:rPr>
        <w:t>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w:t>
      </w:r>
      <w:r w:rsidR="00AD398B" w:rsidRPr="00AD398B">
        <w:rPr>
          <w:lang w:bidi="he-IL"/>
        </w:rPr>
        <w:t>о</w:t>
      </w:r>
      <w:r w:rsidR="00AD398B" w:rsidRPr="00AD398B">
        <w:rPr>
          <w:lang w:bidi="he-IL"/>
        </w:rPr>
        <w:t>сток и дойдя до того места, где было проповедано и исполнено [Пис</w:t>
      </w:r>
      <w:r w:rsidR="00AD398B" w:rsidRPr="00AD398B">
        <w:rPr>
          <w:lang w:bidi="he-IL"/>
        </w:rPr>
        <w:t>а</w:t>
      </w:r>
      <w:r w:rsidR="00AD398B" w:rsidRPr="00AD398B">
        <w:rPr>
          <w:lang w:bidi="he-IL"/>
        </w:rPr>
        <w:t>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w:t>
      </w:r>
      <w:r w:rsidR="00AD398B" w:rsidRPr="00AD398B">
        <w:rPr>
          <w:lang w:bidi="he-IL"/>
        </w:rPr>
        <w:t>е</w:t>
      </w:r>
      <w:r w:rsidR="00AD398B" w:rsidRPr="00AD398B">
        <w:rPr>
          <w:lang w:bidi="he-IL"/>
        </w:rPr>
        <w:t>вит 19, Второзаконие; Иисус Навин, Судьи, Руфь, Царств четыре, Паралип</w:t>
      </w:r>
      <w:r w:rsidR="00AD398B" w:rsidRPr="00AD398B">
        <w:rPr>
          <w:lang w:bidi="he-IL"/>
        </w:rPr>
        <w:t>о</w:t>
      </w:r>
      <w:r w:rsidR="00AD398B" w:rsidRPr="00AD398B">
        <w:rPr>
          <w:lang w:bidi="he-IL"/>
        </w:rPr>
        <w:t>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1"/>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2"/>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6" w:name="_Toc74130735"/>
      <w:r>
        <w:rPr>
          <w:lang w:bidi="he-IL"/>
        </w:rPr>
        <w:lastRenderedPageBreak/>
        <w:t>2</w:t>
      </w:r>
      <w:r w:rsidR="00A54C4A">
        <w:rPr>
          <w:lang w:bidi="he-IL"/>
        </w:rPr>
        <w:t xml:space="preserve">. </w:t>
      </w:r>
      <w:bookmarkEnd w:id="25"/>
      <w:r w:rsidR="00570580">
        <w:t>ТЕКСТОЛОГИЯ КНИГИ ЕККЛЕСИАСТ</w:t>
      </w:r>
      <w:bookmarkEnd w:id="26"/>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7" w:name="_Toc74130736"/>
      <w:r>
        <w:rPr>
          <w:lang w:bidi="he-IL"/>
        </w:rPr>
        <w:t xml:space="preserve">2.1. </w:t>
      </w:r>
      <w:r w:rsidR="0025601E">
        <w:rPr>
          <w:lang w:bidi="he-IL"/>
        </w:rPr>
        <w:t xml:space="preserve">Положение книги в </w:t>
      </w:r>
      <w:r w:rsidR="0025601E" w:rsidRPr="00A54C4A">
        <w:t>каноне</w:t>
      </w:r>
      <w:bookmarkEnd w:id="27"/>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w:t>
      </w:r>
      <w:r>
        <w:t>с</w:t>
      </w:r>
      <w:r>
        <w:t>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28" w:name="_Toc74130737"/>
      <w:r>
        <w:rPr>
          <w:lang w:bidi="he-IL"/>
        </w:rPr>
        <w:t xml:space="preserve">2.2. </w:t>
      </w:r>
      <w:r w:rsidR="00BA7312">
        <w:rPr>
          <w:lang w:bidi="he-IL"/>
        </w:rPr>
        <w:t>Текстовые особенности книги Екклесиаста</w:t>
      </w:r>
      <w:bookmarkEnd w:id="28"/>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bookmarkStart w:id="29" w:name="_GoBack"/>
      <w:bookmarkEnd w:id="29"/>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r w:rsidR="00375056">
        <w:rPr>
          <w:lang w:bidi="he-IL"/>
        </w:rPr>
        <w:t xml:space="preserve">Еккл.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t>тины записаны им верно» (</w:t>
      </w:r>
      <w:r w:rsidR="00375056">
        <w:rPr>
          <w:lang w:bidi="he-IL"/>
        </w:rPr>
        <w:t xml:space="preserve">Еккл.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 xml:space="preserve">Изрек </w:t>
      </w:r>
      <w:r w:rsidRPr="00A501FA">
        <w:rPr>
          <w:lang w:bidi="he-IL"/>
        </w:rPr>
        <w:lastRenderedPageBreak/>
        <w:t>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3"/>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lastRenderedPageBreak/>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4"/>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lastRenderedPageBreak/>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30" w:name="_Toc74130738"/>
      <w:r>
        <w:rPr>
          <w:lang w:bidi="he-IL"/>
        </w:rPr>
        <w:t xml:space="preserve">2.3. </w:t>
      </w:r>
      <w:r w:rsidR="00554F3E">
        <w:rPr>
          <w:lang w:bidi="he-IL"/>
        </w:rPr>
        <w:t>Характер личности и исторические указания</w:t>
      </w:r>
      <w:bookmarkEnd w:id="30"/>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31" w:name="_Toc74130739"/>
      <w:r>
        <w:rPr>
          <w:lang w:bidi="he-IL"/>
        </w:rPr>
        <w:lastRenderedPageBreak/>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lastRenderedPageBreak/>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lastRenderedPageBreak/>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2" w:name="_Toc74130740"/>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lastRenderedPageBreak/>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 xml:space="preserve">а стоит и </w:t>
      </w:r>
      <w:r w:rsidRPr="00D82EC7">
        <w:rPr>
          <w:lang w:bidi="he-IL"/>
        </w:rPr>
        <w:lastRenderedPageBreak/>
        <w:t>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w:t>
      </w:r>
      <w:r w:rsidRPr="00D82EC7">
        <w:rPr>
          <w:lang w:bidi="he-IL"/>
        </w:rPr>
        <w:lastRenderedPageBreak/>
        <w:t xml:space="preserve">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3"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3"/>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 xml:space="preserve">О бессмертии и значении </w:t>
            </w:r>
            <w:r w:rsidRPr="00603486">
              <w:rPr>
                <w:lang w:bidi="he-IL"/>
              </w:rPr>
              <w:lastRenderedPageBreak/>
              <w:t>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4130742"/>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4130743"/>
      <w:r>
        <w:t>3</w:t>
      </w:r>
      <w:r w:rsidR="00E466CD">
        <w:t>.1 Философия хокмы</w:t>
      </w:r>
      <w:bookmarkEnd w:id="37"/>
      <w:bookmarkEnd w:id="38"/>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9" w:name="_Toc72499231"/>
      <w:bookmarkStart w:id="40" w:name="_Toc74130744"/>
      <w:r>
        <w:t>3</w:t>
      </w:r>
      <w:r w:rsidR="00E466CD">
        <w:t>.2 Екклесиаст и литература хокмы</w:t>
      </w:r>
      <w:bookmarkEnd w:id="39"/>
      <w:bookmarkEnd w:id="40"/>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41" w:name="_Toc72499232"/>
      <w:bookmarkStart w:id="42" w:name="_Toc74130745"/>
      <w:r>
        <w:lastRenderedPageBreak/>
        <w:t>3</w:t>
      </w:r>
      <w:r w:rsidR="00E466CD">
        <w:t>.3 Внутренняя связь книги Екклесиаст</w:t>
      </w:r>
      <w:bookmarkEnd w:id="41"/>
      <w:bookmarkEnd w:id="42"/>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3" w:name="_Toc72499233"/>
      <w:bookmarkStart w:id="44" w:name="_Toc74130746"/>
      <w:r>
        <w:lastRenderedPageBreak/>
        <w:t>3</w:t>
      </w:r>
      <w:r w:rsidR="00E466CD">
        <w:t>.4 Книга Екклесиаст, как поэтическая книга</w:t>
      </w:r>
      <w:bookmarkEnd w:id="43"/>
      <w:bookmarkEnd w:id="44"/>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w:t>
      </w:r>
      <w:r>
        <w:lastRenderedPageBreak/>
        <w:t xml:space="preserve">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w:t>
      </w:r>
      <w:r>
        <w:lastRenderedPageBreak/>
        <w:t>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 xml:space="preserve">линность эпилога. Во-первых, говорят, что эпилог излишен и бесцелен. </w:t>
      </w:r>
      <w:r>
        <w:lastRenderedPageBreak/>
        <w:t>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w:t>
      </w:r>
      <w:r>
        <w:lastRenderedPageBreak/>
        <w:t>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lastRenderedPageBreak/>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5" w:name="_Ref73982305"/>
      <w:bookmarkStart w:id="46" w:name="_Toc74130747"/>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5"/>
      <w:bookmarkEnd w:id="46"/>
    </w:p>
    <w:p w:rsidR="003E6A60" w:rsidRDefault="00C47AAA" w:rsidP="00E466CD">
      <w:pPr>
        <w:pStyle w:val="2"/>
        <w:ind w:left="708" w:firstLine="1"/>
      </w:pPr>
      <w:bookmarkStart w:id="47" w:name="_Toc72499218"/>
      <w:bookmarkStart w:id="48"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7"/>
      <w:bookmarkEnd w:id="48"/>
    </w:p>
    <w:p w:rsidR="001266CC" w:rsidRPr="001266CC" w:rsidRDefault="001266CC" w:rsidP="007A46C0">
      <w:pPr>
        <w:pStyle w:val="3"/>
        <w:ind w:left="708" w:firstLine="1"/>
      </w:pPr>
      <w:bookmarkStart w:id="49" w:name="_Toc72499219"/>
      <w:bookmarkStart w:id="50" w:name="_Toc74130749"/>
      <w:r w:rsidRPr="001E79EA">
        <w:t>Пословицы и поговорки</w:t>
      </w:r>
      <w:bookmarkEnd w:id="49"/>
      <w:bookmarkEnd w:id="50"/>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6"/>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7"/>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8"/>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9"/>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8A4B7B" w:rsidP="007A46C0">
      <w:pPr>
        <w:pStyle w:val="3"/>
        <w:ind w:left="708" w:firstLine="1"/>
      </w:pPr>
      <w:bookmarkStart w:id="51" w:name="_Toc74130750"/>
      <w:r>
        <w:t>Мир окружающий, последствия поступков в нем, вопросы о мудрости и возможностях слова</w:t>
      </w:r>
      <w:bookmarkEnd w:id="51"/>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8A4B7B" w:rsidP="007A46C0">
      <w:pPr>
        <w:pStyle w:val="3"/>
        <w:ind w:left="708" w:firstLine="1"/>
      </w:pPr>
      <w:bookmarkStart w:id="52" w:name="_Toc74130751"/>
      <w:r>
        <w:lastRenderedPageBreak/>
        <w:t>Общество и его установления. Принуждение человека и вопросы его смирения</w:t>
      </w:r>
      <w:bookmarkEnd w:id="52"/>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30"/>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3" w:name="_Toc72499222"/>
      <w:bookmarkStart w:id="54" w:name="_Toc74130752"/>
      <w:r w:rsidRPr="000C3FE4">
        <w:t>Богатство и бедность</w:t>
      </w:r>
      <w:bookmarkEnd w:id="53"/>
      <w:bookmarkEnd w:id="54"/>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31"/>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32"/>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5" w:name="_Toc72499223"/>
      <w:bookmarkStart w:id="56" w:name="_Toc7413075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5"/>
      <w:bookmarkEnd w:id="56"/>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33"/>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4"/>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5"/>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6"/>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7"/>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7" w:name="_Toc72499224"/>
      <w:bookmarkStart w:id="58" w:name="_Toc74130754"/>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7"/>
      <w:bookmarkEnd w:id="58"/>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9" w:name="_Toc72499225"/>
      <w:bookmarkStart w:id="60"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9"/>
      <w:bookmarkEnd w:id="60"/>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1" w:name="_Toc72499226"/>
      <w:bookmarkStart w:id="62"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1"/>
      <w:bookmarkEnd w:id="62"/>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lastRenderedPageBreak/>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lastRenderedPageBreak/>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 xml:space="preserve">иска смысла человеческой жизни и деятельности, с проблемой понимания места человека в огромном мире. Сомнения в особой значимости человека, </w:t>
      </w:r>
      <w:r>
        <w:lastRenderedPageBreak/>
        <w:t>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3" w:name="_Toc72499227"/>
      <w:bookmarkStart w:id="64" w:name="_Toc74130757"/>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3"/>
      <w:bookmarkEnd w:id="64"/>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 xml:space="preserve">а, что в мире нет ничего нового, </w:t>
      </w:r>
      <w:r>
        <w:lastRenderedPageBreak/>
        <w:t>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lastRenderedPageBreak/>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5" w:name="_Toc72499228"/>
      <w:bookmarkStart w:id="66" w:name="_Toc74130758"/>
      <w:r w:rsidRPr="00FB7BFE">
        <w:t>Обличения поселянина</w:t>
      </w:r>
      <w:bookmarkEnd w:id="65"/>
      <w:bookmarkEnd w:id="66"/>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lastRenderedPageBreak/>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w:t>
      </w:r>
      <w:r>
        <w:lastRenderedPageBreak/>
        <w:t xml:space="preserve">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w:t>
      </w:r>
      <w:r>
        <w:lastRenderedPageBreak/>
        <w:t>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lastRenderedPageBreak/>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7" w:name="_Toc72499234"/>
      <w:bookmarkStart w:id="68" w:name="_Toc74130759"/>
      <w:r>
        <w:lastRenderedPageBreak/>
        <w:t>ЗАКЛЮЧЕНИЕ</w:t>
      </w:r>
      <w:bookmarkEnd w:id="67"/>
      <w:bookmarkEnd w:id="68"/>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9" w:name="_Toc72499235"/>
      <w:bookmarkStart w:id="70" w:name="_Toc74130760"/>
      <w:r>
        <w:lastRenderedPageBreak/>
        <w:t>БИБЛИОГРАФИЧЕСКИЙ СПИСОК</w:t>
      </w:r>
      <w:bookmarkEnd w:id="69"/>
      <w:bookmarkEnd w:id="70"/>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C3D" w:rsidRDefault="00575C3D" w:rsidP="00CE7BDA">
      <w:r>
        <w:separator/>
      </w:r>
    </w:p>
  </w:endnote>
  <w:endnote w:type="continuationSeparator" w:id="0">
    <w:p w:rsidR="00575C3D" w:rsidRDefault="00575C3D" w:rsidP="00CE7BDA">
      <w:r>
        <w:continuationSeparator/>
      </w:r>
    </w:p>
  </w:endnote>
  <w:endnote w:id="1">
    <w:p w:rsidR="00C13EAE" w:rsidRPr="00600D58" w:rsidRDefault="00C13EAE">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C13EAE" w:rsidRPr="0081158C"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C13EAE" w:rsidRPr="0081158C"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C13EAE" w:rsidRPr="0081158C" w:rsidRDefault="00C13EAE"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C13EAE" w:rsidRPr="00647A25" w:rsidRDefault="00C13EAE"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2D1C6A" w:rsidRPr="002D1C6A" w:rsidRDefault="002D1C6A">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20">
    <w:p w:rsidR="00097DFC" w:rsidRPr="00AD398B" w:rsidRDefault="00097DFC">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1">
    <w:p w:rsidR="00AD398B" w:rsidRPr="00AD398B" w:rsidRDefault="00AD398B">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2">
    <w:p w:rsidR="00965574" w:rsidRPr="00965574" w:rsidRDefault="00965574">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3">
    <w:p w:rsidR="00C13EAE" w:rsidRDefault="00C13EAE"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4">
    <w:p w:rsidR="00C13EAE" w:rsidRDefault="00C13EAE">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5">
    <w:p w:rsidR="00C13EAE" w:rsidRPr="008B499B" w:rsidRDefault="00C13EAE">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7">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8">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9">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30">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1">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3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3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7">
    <w:p w:rsidR="00C13EAE" w:rsidRPr="00F43FE0" w:rsidRDefault="00C13EAE"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C13EAE" w:rsidRDefault="00C13EAE">
        <w:pPr>
          <w:pStyle w:val="af7"/>
          <w:jc w:val="center"/>
        </w:pPr>
        <w:r>
          <w:fldChar w:fldCharType="begin"/>
        </w:r>
        <w:r>
          <w:instrText>PAGE   \* MERGEFORMAT</w:instrText>
        </w:r>
        <w:r>
          <w:fldChar w:fldCharType="separate"/>
        </w:r>
        <w:r w:rsidR="001869BF">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C3D" w:rsidRDefault="00575C3D" w:rsidP="00CE7BDA">
      <w:r>
        <w:separator/>
      </w:r>
    </w:p>
  </w:footnote>
  <w:footnote w:type="continuationSeparator" w:id="0">
    <w:p w:rsidR="00575C3D" w:rsidRDefault="00575C3D"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3506E"/>
    <w:rsid w:val="00044B87"/>
    <w:rsid w:val="00062509"/>
    <w:rsid w:val="000711DB"/>
    <w:rsid w:val="000718EF"/>
    <w:rsid w:val="00073362"/>
    <w:rsid w:val="00080CE2"/>
    <w:rsid w:val="000918F7"/>
    <w:rsid w:val="00097DFC"/>
    <w:rsid w:val="000A5BE4"/>
    <w:rsid w:val="000B04FB"/>
    <w:rsid w:val="000B0E54"/>
    <w:rsid w:val="000F3B6C"/>
    <w:rsid w:val="00117453"/>
    <w:rsid w:val="0012495A"/>
    <w:rsid w:val="001266CC"/>
    <w:rsid w:val="00126A7F"/>
    <w:rsid w:val="00131B78"/>
    <w:rsid w:val="00140474"/>
    <w:rsid w:val="00145116"/>
    <w:rsid w:val="001869BF"/>
    <w:rsid w:val="001A3A58"/>
    <w:rsid w:val="001B029E"/>
    <w:rsid w:val="001B4D97"/>
    <w:rsid w:val="001C0FC5"/>
    <w:rsid w:val="001C366B"/>
    <w:rsid w:val="001C3E1F"/>
    <w:rsid w:val="001E0726"/>
    <w:rsid w:val="001E1C5D"/>
    <w:rsid w:val="001E270A"/>
    <w:rsid w:val="001E7B8D"/>
    <w:rsid w:val="00201022"/>
    <w:rsid w:val="002233BC"/>
    <w:rsid w:val="0023537C"/>
    <w:rsid w:val="00243199"/>
    <w:rsid w:val="00254012"/>
    <w:rsid w:val="0025601E"/>
    <w:rsid w:val="002653E6"/>
    <w:rsid w:val="002718D4"/>
    <w:rsid w:val="0027308B"/>
    <w:rsid w:val="00275FCF"/>
    <w:rsid w:val="00287173"/>
    <w:rsid w:val="002A2FB3"/>
    <w:rsid w:val="002B3140"/>
    <w:rsid w:val="002C63B8"/>
    <w:rsid w:val="002D1C6A"/>
    <w:rsid w:val="002D523A"/>
    <w:rsid w:val="002D5B37"/>
    <w:rsid w:val="002F03A8"/>
    <w:rsid w:val="002F334E"/>
    <w:rsid w:val="002F77F0"/>
    <w:rsid w:val="0031249E"/>
    <w:rsid w:val="00333159"/>
    <w:rsid w:val="00333F5B"/>
    <w:rsid w:val="00344F5E"/>
    <w:rsid w:val="00346BA3"/>
    <w:rsid w:val="00350016"/>
    <w:rsid w:val="00352043"/>
    <w:rsid w:val="0035664A"/>
    <w:rsid w:val="0036599F"/>
    <w:rsid w:val="00371B00"/>
    <w:rsid w:val="00375056"/>
    <w:rsid w:val="00385254"/>
    <w:rsid w:val="003A3AE2"/>
    <w:rsid w:val="003B50BF"/>
    <w:rsid w:val="003B5606"/>
    <w:rsid w:val="003B5F8E"/>
    <w:rsid w:val="003C4F31"/>
    <w:rsid w:val="003E6A60"/>
    <w:rsid w:val="003F0B00"/>
    <w:rsid w:val="00400D0C"/>
    <w:rsid w:val="00410259"/>
    <w:rsid w:val="00434E87"/>
    <w:rsid w:val="00450B6B"/>
    <w:rsid w:val="004660D1"/>
    <w:rsid w:val="004747F9"/>
    <w:rsid w:val="004A0E7A"/>
    <w:rsid w:val="004B4468"/>
    <w:rsid w:val="004D0C7F"/>
    <w:rsid w:val="00520E9C"/>
    <w:rsid w:val="00524E46"/>
    <w:rsid w:val="005379F7"/>
    <w:rsid w:val="0054196E"/>
    <w:rsid w:val="0054316A"/>
    <w:rsid w:val="005511E4"/>
    <w:rsid w:val="00554F3E"/>
    <w:rsid w:val="00564EC2"/>
    <w:rsid w:val="00570580"/>
    <w:rsid w:val="00572D2E"/>
    <w:rsid w:val="00575C3D"/>
    <w:rsid w:val="00581548"/>
    <w:rsid w:val="00594F79"/>
    <w:rsid w:val="005A78A3"/>
    <w:rsid w:val="005B0E64"/>
    <w:rsid w:val="005B7DF2"/>
    <w:rsid w:val="005C6CC7"/>
    <w:rsid w:val="005E202D"/>
    <w:rsid w:val="005E5468"/>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F0FA9"/>
    <w:rsid w:val="0081158C"/>
    <w:rsid w:val="00827EFF"/>
    <w:rsid w:val="0083157A"/>
    <w:rsid w:val="00831F38"/>
    <w:rsid w:val="00836F38"/>
    <w:rsid w:val="00837D45"/>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F77D5"/>
    <w:rsid w:val="00901232"/>
    <w:rsid w:val="009031AF"/>
    <w:rsid w:val="00926DBA"/>
    <w:rsid w:val="00943611"/>
    <w:rsid w:val="009453D4"/>
    <w:rsid w:val="009470E1"/>
    <w:rsid w:val="00965574"/>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B3DA9"/>
    <w:rsid w:val="00AB7616"/>
    <w:rsid w:val="00AC0535"/>
    <w:rsid w:val="00AC2A3A"/>
    <w:rsid w:val="00AD398B"/>
    <w:rsid w:val="00AD7BC1"/>
    <w:rsid w:val="00AE66BC"/>
    <w:rsid w:val="00AF245E"/>
    <w:rsid w:val="00B07D07"/>
    <w:rsid w:val="00B24FDF"/>
    <w:rsid w:val="00B34B07"/>
    <w:rsid w:val="00B55067"/>
    <w:rsid w:val="00B573F3"/>
    <w:rsid w:val="00B85D77"/>
    <w:rsid w:val="00B901BE"/>
    <w:rsid w:val="00BA2237"/>
    <w:rsid w:val="00BA7312"/>
    <w:rsid w:val="00BD2C21"/>
    <w:rsid w:val="00BE098D"/>
    <w:rsid w:val="00BE0B95"/>
    <w:rsid w:val="00BE2690"/>
    <w:rsid w:val="00BF404D"/>
    <w:rsid w:val="00C13EAE"/>
    <w:rsid w:val="00C165F0"/>
    <w:rsid w:val="00C24A96"/>
    <w:rsid w:val="00C43818"/>
    <w:rsid w:val="00C47AAA"/>
    <w:rsid w:val="00C637B4"/>
    <w:rsid w:val="00C74B01"/>
    <w:rsid w:val="00C8227B"/>
    <w:rsid w:val="00C90D7A"/>
    <w:rsid w:val="00CB4057"/>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62150"/>
    <w:rsid w:val="00D82EC7"/>
    <w:rsid w:val="00D86266"/>
    <w:rsid w:val="00D9495E"/>
    <w:rsid w:val="00D970E3"/>
    <w:rsid w:val="00DA24B9"/>
    <w:rsid w:val="00DC7462"/>
    <w:rsid w:val="00DE1433"/>
    <w:rsid w:val="00DE1D25"/>
    <w:rsid w:val="00DF01AB"/>
    <w:rsid w:val="00DF3BDB"/>
    <w:rsid w:val="00E017DE"/>
    <w:rsid w:val="00E05F33"/>
    <w:rsid w:val="00E0763B"/>
    <w:rsid w:val="00E15B27"/>
    <w:rsid w:val="00E17651"/>
    <w:rsid w:val="00E20A3E"/>
    <w:rsid w:val="00E23A67"/>
    <w:rsid w:val="00E30AF3"/>
    <w:rsid w:val="00E466CD"/>
    <w:rsid w:val="00E62033"/>
    <w:rsid w:val="00E775A8"/>
    <w:rsid w:val="00E77DCF"/>
    <w:rsid w:val="00E83FF1"/>
    <w:rsid w:val="00E87EA0"/>
    <w:rsid w:val="00E9398C"/>
    <w:rsid w:val="00E95BA9"/>
    <w:rsid w:val="00EA296D"/>
    <w:rsid w:val="00EB591C"/>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9F64C-E9D3-43D6-84AB-83A992B4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10676</TotalTime>
  <Pages>87</Pages>
  <Words>22065</Words>
  <Characters>125772</Characters>
  <Application>Microsoft Office Word</Application>
  <DocSecurity>0</DocSecurity>
  <Lines>1048</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149</cp:revision>
  <dcterms:created xsi:type="dcterms:W3CDTF">2021-05-05T23:11:00Z</dcterms:created>
  <dcterms:modified xsi:type="dcterms:W3CDTF">2021-06-15T03:11:00Z</dcterms:modified>
</cp:coreProperties>
</file>