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8A4B7B"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4130727" w:history="1">
            <w:r w:rsidR="008A4B7B" w:rsidRPr="009950AB">
              <w:rPr>
                <w:rStyle w:val="aff1"/>
                <w:noProof/>
              </w:rPr>
              <w:t>ВВЕДЕНИЕ</w:t>
            </w:r>
            <w:r w:rsidR="008A4B7B">
              <w:rPr>
                <w:noProof/>
                <w:webHidden/>
              </w:rPr>
              <w:tab/>
            </w:r>
            <w:r w:rsidR="008A4B7B">
              <w:rPr>
                <w:noProof/>
                <w:webHidden/>
              </w:rPr>
              <w:fldChar w:fldCharType="begin"/>
            </w:r>
            <w:r w:rsidR="008A4B7B">
              <w:rPr>
                <w:noProof/>
                <w:webHidden/>
              </w:rPr>
              <w:instrText xml:space="preserve"> PAGEREF _Toc74130727 \h </w:instrText>
            </w:r>
            <w:r w:rsidR="008A4B7B">
              <w:rPr>
                <w:noProof/>
                <w:webHidden/>
              </w:rPr>
            </w:r>
            <w:r w:rsidR="008A4B7B">
              <w:rPr>
                <w:noProof/>
                <w:webHidden/>
              </w:rPr>
              <w:fldChar w:fldCharType="separate"/>
            </w:r>
            <w:r w:rsidR="008A4B7B">
              <w:rPr>
                <w:noProof/>
                <w:webHidden/>
              </w:rPr>
              <w:t>3</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28" w:history="1">
            <w:r w:rsidR="008A4B7B" w:rsidRPr="009950AB">
              <w:rPr>
                <w:rStyle w:val="aff1"/>
                <w:noProof/>
              </w:rPr>
              <w:t>1. НАЗВАНИЕ КНИГИ ЕККЛЕСИАСТ И ЕЕ АВТОР</w:t>
            </w:r>
            <w:r w:rsidR="008A4B7B">
              <w:rPr>
                <w:noProof/>
                <w:webHidden/>
              </w:rPr>
              <w:tab/>
            </w:r>
            <w:r w:rsidR="008A4B7B">
              <w:rPr>
                <w:noProof/>
                <w:webHidden/>
              </w:rPr>
              <w:fldChar w:fldCharType="begin"/>
            </w:r>
            <w:r w:rsidR="008A4B7B">
              <w:rPr>
                <w:noProof/>
                <w:webHidden/>
              </w:rPr>
              <w:instrText xml:space="preserve"> PAGEREF _Toc74130728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29" w:history="1">
            <w:r w:rsidR="008A4B7B" w:rsidRPr="009950AB">
              <w:rPr>
                <w:rStyle w:val="aff1"/>
                <w:noProof/>
              </w:rPr>
              <w:t>1.1. Название книги</w:t>
            </w:r>
            <w:r w:rsidR="008A4B7B">
              <w:rPr>
                <w:noProof/>
                <w:webHidden/>
              </w:rPr>
              <w:tab/>
            </w:r>
            <w:r w:rsidR="008A4B7B">
              <w:rPr>
                <w:noProof/>
                <w:webHidden/>
              </w:rPr>
              <w:fldChar w:fldCharType="begin"/>
            </w:r>
            <w:r w:rsidR="008A4B7B">
              <w:rPr>
                <w:noProof/>
                <w:webHidden/>
              </w:rPr>
              <w:instrText xml:space="preserve"> PAGEREF _Toc74130729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0" w:history="1">
            <w:r w:rsidR="008A4B7B" w:rsidRPr="009950AB">
              <w:rPr>
                <w:rStyle w:val="aff1"/>
                <w:noProof/>
              </w:rPr>
              <w:t>1.2. Писатель книги</w:t>
            </w:r>
            <w:r w:rsidR="008A4B7B">
              <w:rPr>
                <w:noProof/>
                <w:webHidden/>
              </w:rPr>
              <w:tab/>
            </w:r>
            <w:r w:rsidR="008A4B7B">
              <w:rPr>
                <w:noProof/>
                <w:webHidden/>
              </w:rPr>
              <w:fldChar w:fldCharType="begin"/>
            </w:r>
            <w:r w:rsidR="008A4B7B">
              <w:rPr>
                <w:noProof/>
                <w:webHidden/>
              </w:rPr>
              <w:instrText xml:space="preserve"> PAGEREF _Toc74130730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1" w:history="1">
            <w:r w:rsidR="008A4B7B" w:rsidRPr="009950AB">
              <w:rPr>
                <w:rStyle w:val="aff1"/>
                <w:noProof/>
              </w:rPr>
              <w:t>1.2.1. Традиция</w:t>
            </w:r>
            <w:r w:rsidR="008A4B7B">
              <w:rPr>
                <w:noProof/>
                <w:webHidden/>
              </w:rPr>
              <w:tab/>
            </w:r>
            <w:r w:rsidR="008A4B7B">
              <w:rPr>
                <w:noProof/>
                <w:webHidden/>
              </w:rPr>
              <w:fldChar w:fldCharType="begin"/>
            </w:r>
            <w:r w:rsidR="008A4B7B">
              <w:rPr>
                <w:noProof/>
                <w:webHidden/>
              </w:rPr>
              <w:instrText xml:space="preserve"> PAGEREF _Toc74130731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2" w:history="1">
            <w:r w:rsidR="008A4B7B" w:rsidRPr="009950AB">
              <w:rPr>
                <w:rStyle w:val="aff1"/>
                <w:noProof/>
              </w:rPr>
              <w:t>1.2.2. Реформация и последующие толкователи</w:t>
            </w:r>
            <w:r w:rsidR="008A4B7B">
              <w:rPr>
                <w:noProof/>
                <w:webHidden/>
              </w:rPr>
              <w:tab/>
            </w:r>
            <w:r w:rsidR="008A4B7B">
              <w:rPr>
                <w:noProof/>
                <w:webHidden/>
              </w:rPr>
              <w:fldChar w:fldCharType="begin"/>
            </w:r>
            <w:r w:rsidR="008A4B7B">
              <w:rPr>
                <w:noProof/>
                <w:webHidden/>
              </w:rPr>
              <w:instrText xml:space="preserve"> PAGEREF _Toc74130732 \h </w:instrText>
            </w:r>
            <w:r w:rsidR="008A4B7B">
              <w:rPr>
                <w:noProof/>
                <w:webHidden/>
              </w:rPr>
            </w:r>
            <w:r w:rsidR="008A4B7B">
              <w:rPr>
                <w:noProof/>
                <w:webHidden/>
              </w:rPr>
              <w:fldChar w:fldCharType="separate"/>
            </w:r>
            <w:r w:rsidR="008A4B7B">
              <w:rPr>
                <w:noProof/>
                <w:webHidden/>
              </w:rPr>
              <w:t>11</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3" w:history="1">
            <w:r w:rsidR="008A4B7B" w:rsidRPr="009950AB">
              <w:rPr>
                <w:rStyle w:val="aff1"/>
                <w:noProof/>
              </w:rPr>
              <w:t>1.2.3. Современные исследования происхождения книги</w:t>
            </w:r>
            <w:r w:rsidR="008A4B7B">
              <w:rPr>
                <w:noProof/>
                <w:webHidden/>
              </w:rPr>
              <w:tab/>
            </w:r>
            <w:r w:rsidR="008A4B7B">
              <w:rPr>
                <w:noProof/>
                <w:webHidden/>
              </w:rPr>
              <w:fldChar w:fldCharType="begin"/>
            </w:r>
            <w:r w:rsidR="008A4B7B">
              <w:rPr>
                <w:noProof/>
                <w:webHidden/>
              </w:rPr>
              <w:instrText xml:space="preserve"> PAGEREF _Toc74130733 \h </w:instrText>
            </w:r>
            <w:r w:rsidR="008A4B7B">
              <w:rPr>
                <w:noProof/>
                <w:webHidden/>
              </w:rPr>
            </w:r>
            <w:r w:rsidR="008A4B7B">
              <w:rPr>
                <w:noProof/>
                <w:webHidden/>
              </w:rPr>
              <w:fldChar w:fldCharType="separate"/>
            </w:r>
            <w:r w:rsidR="008A4B7B">
              <w:rPr>
                <w:noProof/>
                <w:webHidden/>
              </w:rPr>
              <w:t>16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4" w:history="1">
            <w:r w:rsidR="008A4B7B" w:rsidRPr="009950AB">
              <w:rPr>
                <w:rStyle w:val="aff1"/>
                <w:noProof/>
              </w:rPr>
              <w:t>1.3. Каноническое достоинство книги Екклесиаст</w:t>
            </w:r>
            <w:r w:rsidR="008A4B7B">
              <w:rPr>
                <w:noProof/>
                <w:webHidden/>
              </w:rPr>
              <w:tab/>
            </w:r>
            <w:r w:rsidR="008A4B7B">
              <w:rPr>
                <w:noProof/>
                <w:webHidden/>
              </w:rPr>
              <w:fldChar w:fldCharType="begin"/>
            </w:r>
            <w:r w:rsidR="008A4B7B">
              <w:rPr>
                <w:noProof/>
                <w:webHidden/>
              </w:rPr>
              <w:instrText xml:space="preserve"> PAGEREF _Toc74130734 \h </w:instrText>
            </w:r>
            <w:r w:rsidR="008A4B7B">
              <w:rPr>
                <w:noProof/>
                <w:webHidden/>
              </w:rPr>
            </w:r>
            <w:r w:rsidR="008A4B7B">
              <w:rPr>
                <w:noProof/>
                <w:webHidden/>
              </w:rPr>
              <w:fldChar w:fldCharType="separate"/>
            </w:r>
            <w:r w:rsidR="008A4B7B">
              <w:rPr>
                <w:noProof/>
                <w:webHidden/>
              </w:rPr>
              <w:t>18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35" w:history="1">
            <w:r w:rsidR="008A4B7B" w:rsidRPr="009950AB">
              <w:rPr>
                <w:rStyle w:val="aff1"/>
                <w:noProof/>
              </w:rPr>
              <w:t>2. ТЕКСТОЛОГИЯ КНИГИ ЕККЛЕСИАСТ</w:t>
            </w:r>
            <w:r w:rsidR="008A4B7B">
              <w:rPr>
                <w:noProof/>
                <w:webHidden/>
              </w:rPr>
              <w:tab/>
            </w:r>
            <w:r w:rsidR="008A4B7B">
              <w:rPr>
                <w:noProof/>
                <w:webHidden/>
              </w:rPr>
              <w:fldChar w:fldCharType="begin"/>
            </w:r>
            <w:r w:rsidR="008A4B7B">
              <w:rPr>
                <w:noProof/>
                <w:webHidden/>
              </w:rPr>
              <w:instrText xml:space="preserve"> PAGEREF _Toc74130735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6" w:history="1">
            <w:r w:rsidR="008A4B7B" w:rsidRPr="009950AB">
              <w:rPr>
                <w:rStyle w:val="aff1"/>
                <w:noProof/>
              </w:rPr>
              <w:t>2.1. Положение книги в каноне</w:t>
            </w:r>
            <w:r w:rsidR="008A4B7B">
              <w:rPr>
                <w:noProof/>
                <w:webHidden/>
              </w:rPr>
              <w:tab/>
            </w:r>
            <w:r w:rsidR="008A4B7B">
              <w:rPr>
                <w:noProof/>
                <w:webHidden/>
              </w:rPr>
              <w:fldChar w:fldCharType="begin"/>
            </w:r>
            <w:r w:rsidR="008A4B7B">
              <w:rPr>
                <w:noProof/>
                <w:webHidden/>
              </w:rPr>
              <w:instrText xml:space="preserve"> PAGEREF _Toc74130736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7" w:history="1">
            <w:r w:rsidR="008A4B7B" w:rsidRPr="009950AB">
              <w:rPr>
                <w:rStyle w:val="aff1"/>
                <w:noProof/>
              </w:rPr>
              <w:t>2.2. Текстовые особенности книги Екклесиаста</w:t>
            </w:r>
            <w:r w:rsidR="008A4B7B">
              <w:rPr>
                <w:noProof/>
                <w:webHidden/>
              </w:rPr>
              <w:tab/>
            </w:r>
            <w:r w:rsidR="008A4B7B">
              <w:rPr>
                <w:noProof/>
                <w:webHidden/>
              </w:rPr>
              <w:fldChar w:fldCharType="begin"/>
            </w:r>
            <w:r w:rsidR="008A4B7B">
              <w:rPr>
                <w:noProof/>
                <w:webHidden/>
              </w:rPr>
              <w:instrText xml:space="preserve"> PAGEREF _Toc74130737 \h </w:instrText>
            </w:r>
            <w:r w:rsidR="008A4B7B">
              <w:rPr>
                <w:noProof/>
                <w:webHidden/>
              </w:rPr>
            </w:r>
            <w:r w:rsidR="008A4B7B">
              <w:rPr>
                <w:noProof/>
                <w:webHidden/>
              </w:rPr>
              <w:fldChar w:fldCharType="separate"/>
            </w:r>
            <w:r w:rsidR="008A4B7B">
              <w:rPr>
                <w:noProof/>
                <w:webHidden/>
              </w:rPr>
              <w:t>21</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8" w:history="1">
            <w:r w:rsidR="008A4B7B" w:rsidRPr="009950AB">
              <w:rPr>
                <w:rStyle w:val="aff1"/>
                <w:noProof/>
              </w:rPr>
              <w:t>2.3. Характер личности и исторические указания</w:t>
            </w:r>
            <w:r w:rsidR="008A4B7B">
              <w:rPr>
                <w:noProof/>
                <w:webHidden/>
              </w:rPr>
              <w:tab/>
            </w:r>
            <w:r w:rsidR="008A4B7B">
              <w:rPr>
                <w:noProof/>
                <w:webHidden/>
              </w:rPr>
              <w:fldChar w:fldCharType="begin"/>
            </w:r>
            <w:r w:rsidR="008A4B7B">
              <w:rPr>
                <w:noProof/>
                <w:webHidden/>
              </w:rPr>
              <w:instrText xml:space="preserve"> PAGEREF _Toc74130738 \h </w:instrText>
            </w:r>
            <w:r w:rsidR="008A4B7B">
              <w:rPr>
                <w:noProof/>
                <w:webHidden/>
              </w:rPr>
            </w:r>
            <w:r w:rsidR="008A4B7B">
              <w:rPr>
                <w:noProof/>
                <w:webHidden/>
              </w:rPr>
              <w:fldChar w:fldCharType="separate"/>
            </w:r>
            <w:r w:rsidR="008A4B7B">
              <w:rPr>
                <w:noProof/>
                <w:webHidden/>
              </w:rPr>
              <w:t>24</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9" w:history="1">
            <w:r w:rsidR="008A4B7B" w:rsidRPr="009950AB">
              <w:rPr>
                <w:rStyle w:val="aff1"/>
                <w:noProof/>
              </w:rPr>
              <w:t>2.4. Политическое состояние иудейского царства</w:t>
            </w:r>
            <w:r w:rsidR="008A4B7B">
              <w:rPr>
                <w:noProof/>
                <w:webHidden/>
              </w:rPr>
              <w:tab/>
            </w:r>
            <w:r w:rsidR="008A4B7B">
              <w:rPr>
                <w:noProof/>
                <w:webHidden/>
              </w:rPr>
              <w:fldChar w:fldCharType="begin"/>
            </w:r>
            <w:r w:rsidR="008A4B7B">
              <w:rPr>
                <w:noProof/>
                <w:webHidden/>
              </w:rPr>
              <w:instrText xml:space="preserve"> PAGEREF _Toc74130739 \h </w:instrText>
            </w:r>
            <w:r w:rsidR="008A4B7B">
              <w:rPr>
                <w:noProof/>
                <w:webHidden/>
              </w:rPr>
            </w:r>
            <w:r w:rsidR="008A4B7B">
              <w:rPr>
                <w:noProof/>
                <w:webHidden/>
              </w:rPr>
              <w:fldChar w:fldCharType="separate"/>
            </w:r>
            <w:r w:rsidR="008A4B7B">
              <w:rPr>
                <w:noProof/>
                <w:webHidden/>
              </w:rPr>
              <w:t>25</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0" w:history="1">
            <w:r w:rsidR="008A4B7B" w:rsidRPr="009950AB">
              <w:rPr>
                <w:rStyle w:val="aff1"/>
                <w:noProof/>
              </w:rPr>
              <w:t>2.5. Сведения Екклесиаста о самом себе и своих современниках</w:t>
            </w:r>
            <w:r w:rsidR="008A4B7B">
              <w:rPr>
                <w:noProof/>
                <w:webHidden/>
              </w:rPr>
              <w:tab/>
            </w:r>
            <w:r w:rsidR="008A4B7B">
              <w:rPr>
                <w:noProof/>
                <w:webHidden/>
              </w:rPr>
              <w:fldChar w:fldCharType="begin"/>
            </w:r>
            <w:r w:rsidR="008A4B7B">
              <w:rPr>
                <w:noProof/>
                <w:webHidden/>
              </w:rPr>
              <w:instrText xml:space="preserve"> PAGEREF _Toc74130740 \h </w:instrText>
            </w:r>
            <w:r w:rsidR="008A4B7B">
              <w:rPr>
                <w:noProof/>
                <w:webHidden/>
              </w:rPr>
            </w:r>
            <w:r w:rsidR="008A4B7B">
              <w:rPr>
                <w:noProof/>
                <w:webHidden/>
              </w:rPr>
              <w:fldChar w:fldCharType="separate"/>
            </w:r>
            <w:r w:rsidR="008A4B7B">
              <w:rPr>
                <w:noProof/>
                <w:webHidden/>
              </w:rPr>
              <w:t>28</w:t>
            </w:r>
            <w:r w:rsidR="008A4B7B">
              <w:rPr>
                <w:noProof/>
                <w:webHidden/>
              </w:rPr>
              <w:fldChar w:fldCharType="end"/>
            </w:r>
          </w:hyperlink>
        </w:p>
        <w:p w:rsidR="008A4B7B" w:rsidRDefault="00C13EAE" w:rsidP="008A4B7B">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4130741" w:history="1">
            <w:r w:rsidR="008A4B7B" w:rsidRPr="009950AB">
              <w:rPr>
                <w:rStyle w:val="aff1"/>
                <w:noProof/>
              </w:rPr>
              <w:t>2.6. Сходство книги Екклесиаст с другими произведениями Соломона</w:t>
            </w:r>
            <w:r w:rsidR="008A4B7B">
              <w:rPr>
                <w:noProof/>
                <w:webHidden/>
              </w:rPr>
              <w:tab/>
            </w:r>
            <w:r w:rsidR="008A4B7B">
              <w:rPr>
                <w:noProof/>
                <w:webHidden/>
              </w:rPr>
              <w:fldChar w:fldCharType="begin"/>
            </w:r>
            <w:r w:rsidR="008A4B7B">
              <w:rPr>
                <w:noProof/>
                <w:webHidden/>
              </w:rPr>
              <w:instrText xml:space="preserve"> PAGEREF _Toc74130741 \h </w:instrText>
            </w:r>
            <w:r w:rsidR="008A4B7B">
              <w:rPr>
                <w:noProof/>
                <w:webHidden/>
              </w:rPr>
            </w:r>
            <w:r w:rsidR="008A4B7B">
              <w:rPr>
                <w:noProof/>
                <w:webHidden/>
              </w:rPr>
              <w:fldChar w:fldCharType="separate"/>
            </w:r>
            <w:r w:rsidR="008A4B7B">
              <w:rPr>
                <w:noProof/>
                <w:webHidden/>
              </w:rPr>
              <w:t>30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2" w:history="1">
            <w:r w:rsidR="008A4B7B" w:rsidRPr="009950AB">
              <w:rPr>
                <w:rStyle w:val="aff1"/>
                <w:noProof/>
              </w:rPr>
              <w:t>3. ИСТОРИЯ ВЕТХОЗАВЕТНОЙ МУДРОСТИ</w:t>
            </w:r>
            <w:r w:rsidR="008A4B7B">
              <w:rPr>
                <w:noProof/>
                <w:webHidden/>
              </w:rPr>
              <w:tab/>
            </w:r>
            <w:r w:rsidR="008A4B7B">
              <w:rPr>
                <w:noProof/>
                <w:webHidden/>
              </w:rPr>
              <w:fldChar w:fldCharType="begin"/>
            </w:r>
            <w:r w:rsidR="008A4B7B">
              <w:rPr>
                <w:noProof/>
                <w:webHidden/>
              </w:rPr>
              <w:instrText xml:space="preserve"> PAGEREF _Toc74130742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3" w:history="1">
            <w:r w:rsidR="008A4B7B" w:rsidRPr="009950AB">
              <w:rPr>
                <w:rStyle w:val="aff1"/>
                <w:noProof/>
              </w:rPr>
              <w:t>3.1 Философия хокмы</w:t>
            </w:r>
            <w:r w:rsidR="008A4B7B">
              <w:rPr>
                <w:noProof/>
                <w:webHidden/>
              </w:rPr>
              <w:tab/>
            </w:r>
            <w:r w:rsidR="008A4B7B">
              <w:rPr>
                <w:noProof/>
                <w:webHidden/>
              </w:rPr>
              <w:fldChar w:fldCharType="begin"/>
            </w:r>
            <w:r w:rsidR="008A4B7B">
              <w:rPr>
                <w:noProof/>
                <w:webHidden/>
              </w:rPr>
              <w:instrText xml:space="preserve"> PAGEREF _Toc74130743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4" w:history="1">
            <w:r w:rsidR="008A4B7B" w:rsidRPr="009950AB">
              <w:rPr>
                <w:rStyle w:val="aff1"/>
                <w:noProof/>
              </w:rPr>
              <w:t>3.2 Екклесиаст и литература хокмы</w:t>
            </w:r>
            <w:r w:rsidR="008A4B7B">
              <w:rPr>
                <w:noProof/>
                <w:webHidden/>
              </w:rPr>
              <w:tab/>
            </w:r>
            <w:r w:rsidR="008A4B7B">
              <w:rPr>
                <w:noProof/>
                <w:webHidden/>
              </w:rPr>
              <w:fldChar w:fldCharType="begin"/>
            </w:r>
            <w:r w:rsidR="008A4B7B">
              <w:rPr>
                <w:noProof/>
                <w:webHidden/>
              </w:rPr>
              <w:instrText xml:space="preserve"> PAGEREF _Toc74130744 \h </w:instrText>
            </w:r>
            <w:r w:rsidR="008A4B7B">
              <w:rPr>
                <w:noProof/>
                <w:webHidden/>
              </w:rPr>
            </w:r>
            <w:r w:rsidR="008A4B7B">
              <w:rPr>
                <w:noProof/>
                <w:webHidden/>
              </w:rPr>
              <w:fldChar w:fldCharType="separate"/>
            </w:r>
            <w:r w:rsidR="008A4B7B">
              <w:rPr>
                <w:noProof/>
                <w:webHidden/>
              </w:rPr>
              <w:t>37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5" w:history="1">
            <w:r w:rsidR="008A4B7B" w:rsidRPr="009950AB">
              <w:rPr>
                <w:rStyle w:val="aff1"/>
                <w:noProof/>
              </w:rPr>
              <w:t>3.3 Внутренняя связь книги Екклесиаст</w:t>
            </w:r>
            <w:r w:rsidR="008A4B7B">
              <w:rPr>
                <w:noProof/>
                <w:webHidden/>
              </w:rPr>
              <w:tab/>
            </w:r>
            <w:r w:rsidR="008A4B7B">
              <w:rPr>
                <w:noProof/>
                <w:webHidden/>
              </w:rPr>
              <w:fldChar w:fldCharType="begin"/>
            </w:r>
            <w:r w:rsidR="008A4B7B">
              <w:rPr>
                <w:noProof/>
                <w:webHidden/>
              </w:rPr>
              <w:instrText xml:space="preserve"> PAGEREF _Toc74130745 \h </w:instrText>
            </w:r>
            <w:r w:rsidR="008A4B7B">
              <w:rPr>
                <w:noProof/>
                <w:webHidden/>
              </w:rPr>
            </w:r>
            <w:r w:rsidR="008A4B7B">
              <w:rPr>
                <w:noProof/>
                <w:webHidden/>
              </w:rPr>
              <w:fldChar w:fldCharType="separate"/>
            </w:r>
            <w:r w:rsidR="008A4B7B">
              <w:rPr>
                <w:noProof/>
                <w:webHidden/>
              </w:rPr>
              <w:t>42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6" w:history="1">
            <w:r w:rsidR="008A4B7B" w:rsidRPr="009950AB">
              <w:rPr>
                <w:rStyle w:val="aff1"/>
                <w:noProof/>
              </w:rPr>
              <w:t>3.4 Книга Екклесиаст, как поэтическая книга</w:t>
            </w:r>
            <w:r w:rsidR="008A4B7B">
              <w:rPr>
                <w:noProof/>
                <w:webHidden/>
              </w:rPr>
              <w:tab/>
            </w:r>
            <w:r w:rsidR="008A4B7B">
              <w:rPr>
                <w:noProof/>
                <w:webHidden/>
              </w:rPr>
              <w:fldChar w:fldCharType="begin"/>
            </w:r>
            <w:r w:rsidR="008A4B7B">
              <w:rPr>
                <w:noProof/>
                <w:webHidden/>
              </w:rPr>
              <w:instrText xml:space="preserve"> PAGEREF _Toc74130746 \h </w:instrText>
            </w:r>
            <w:r w:rsidR="008A4B7B">
              <w:rPr>
                <w:noProof/>
                <w:webHidden/>
              </w:rPr>
            </w:r>
            <w:r w:rsidR="008A4B7B">
              <w:rPr>
                <w:noProof/>
                <w:webHidden/>
              </w:rPr>
              <w:fldChar w:fldCharType="separate"/>
            </w:r>
            <w:r w:rsidR="008A4B7B">
              <w:rPr>
                <w:noProof/>
                <w:webHidden/>
              </w:rPr>
              <w:t>48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7" w:history="1">
            <w:r w:rsidR="008A4B7B" w:rsidRPr="009950AB">
              <w:rPr>
                <w:rStyle w:val="aff1"/>
                <w:noProof/>
              </w:rPr>
              <w:t>4. КНИГА ЕККЛЕСИАСТ КАК ЛИТЕРАТУРА МУДРОСТИ</w:t>
            </w:r>
            <w:r w:rsidR="008A4B7B">
              <w:rPr>
                <w:noProof/>
                <w:webHidden/>
              </w:rPr>
              <w:tab/>
            </w:r>
            <w:r w:rsidR="008A4B7B">
              <w:rPr>
                <w:noProof/>
                <w:webHidden/>
              </w:rPr>
              <w:fldChar w:fldCharType="begin"/>
            </w:r>
            <w:r w:rsidR="008A4B7B">
              <w:rPr>
                <w:noProof/>
                <w:webHidden/>
              </w:rPr>
              <w:instrText xml:space="preserve"> PAGEREF _Toc74130747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8" w:history="1">
            <w:r w:rsidR="008A4B7B" w:rsidRPr="009950AB">
              <w:rPr>
                <w:rStyle w:val="aff1"/>
                <w:noProof/>
              </w:rPr>
              <w:t>4.1. Екклесиаст и литература мудрости Древнего Шумера</w:t>
            </w:r>
            <w:r w:rsidR="008A4B7B">
              <w:rPr>
                <w:noProof/>
                <w:webHidden/>
              </w:rPr>
              <w:tab/>
            </w:r>
            <w:r w:rsidR="008A4B7B">
              <w:rPr>
                <w:noProof/>
                <w:webHidden/>
              </w:rPr>
              <w:fldChar w:fldCharType="begin"/>
            </w:r>
            <w:r w:rsidR="008A4B7B">
              <w:rPr>
                <w:noProof/>
                <w:webHidden/>
              </w:rPr>
              <w:instrText xml:space="preserve"> PAGEREF _Toc74130748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9" w:history="1">
            <w:r w:rsidR="008A4B7B" w:rsidRPr="009950AB">
              <w:rPr>
                <w:rStyle w:val="aff1"/>
                <w:noProof/>
              </w:rPr>
              <w:t>Пословицы и поговорки</w:t>
            </w:r>
            <w:r w:rsidR="008A4B7B">
              <w:rPr>
                <w:noProof/>
                <w:webHidden/>
              </w:rPr>
              <w:tab/>
            </w:r>
            <w:r w:rsidR="008A4B7B">
              <w:rPr>
                <w:noProof/>
                <w:webHidden/>
              </w:rPr>
              <w:fldChar w:fldCharType="begin"/>
            </w:r>
            <w:r w:rsidR="008A4B7B">
              <w:rPr>
                <w:noProof/>
                <w:webHidden/>
              </w:rPr>
              <w:instrText xml:space="preserve"> PAGEREF _Toc74130749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0" w:history="1">
            <w:r w:rsidR="008A4B7B" w:rsidRPr="009950AB">
              <w:rPr>
                <w:rStyle w:val="aff1"/>
                <w:noProof/>
              </w:rPr>
              <w:t>Мир окружающий, последствия поступков в нем, вопросы о мудрости и возможностях слова</w:t>
            </w:r>
            <w:r w:rsidR="008A4B7B">
              <w:rPr>
                <w:noProof/>
                <w:webHidden/>
              </w:rPr>
              <w:tab/>
            </w:r>
            <w:r w:rsidR="008A4B7B">
              <w:rPr>
                <w:noProof/>
                <w:webHidden/>
              </w:rPr>
              <w:fldChar w:fldCharType="begin"/>
            </w:r>
            <w:r w:rsidR="008A4B7B">
              <w:rPr>
                <w:noProof/>
                <w:webHidden/>
              </w:rPr>
              <w:instrText xml:space="preserve"> PAGEREF _Toc74130750 \h </w:instrText>
            </w:r>
            <w:r w:rsidR="008A4B7B">
              <w:rPr>
                <w:noProof/>
                <w:webHidden/>
              </w:rPr>
            </w:r>
            <w:r w:rsidR="008A4B7B">
              <w:rPr>
                <w:noProof/>
                <w:webHidden/>
              </w:rPr>
              <w:fldChar w:fldCharType="separate"/>
            </w:r>
            <w:r w:rsidR="008A4B7B">
              <w:rPr>
                <w:noProof/>
                <w:webHidden/>
              </w:rPr>
              <w:t>59</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1" w:history="1">
            <w:r w:rsidR="008A4B7B" w:rsidRPr="009950AB">
              <w:rPr>
                <w:rStyle w:val="aff1"/>
                <w:noProof/>
              </w:rPr>
              <w:t>Общество и его установления. Принуждение человека и вопросы его смирения</w:t>
            </w:r>
            <w:r w:rsidR="008A4B7B">
              <w:rPr>
                <w:noProof/>
                <w:webHidden/>
              </w:rPr>
              <w:tab/>
            </w:r>
            <w:r w:rsidR="008A4B7B">
              <w:rPr>
                <w:noProof/>
                <w:webHidden/>
              </w:rPr>
              <w:fldChar w:fldCharType="begin"/>
            </w:r>
            <w:r w:rsidR="008A4B7B">
              <w:rPr>
                <w:noProof/>
                <w:webHidden/>
              </w:rPr>
              <w:instrText xml:space="preserve"> PAGEREF _Toc74130751 \h </w:instrText>
            </w:r>
            <w:r w:rsidR="008A4B7B">
              <w:rPr>
                <w:noProof/>
                <w:webHidden/>
              </w:rPr>
            </w:r>
            <w:r w:rsidR="008A4B7B">
              <w:rPr>
                <w:noProof/>
                <w:webHidden/>
              </w:rPr>
              <w:fldChar w:fldCharType="separate"/>
            </w:r>
            <w:r w:rsidR="008A4B7B">
              <w:rPr>
                <w:noProof/>
                <w:webHidden/>
              </w:rPr>
              <w:t>62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2" w:history="1">
            <w:r w:rsidR="008A4B7B" w:rsidRPr="009950AB">
              <w:rPr>
                <w:rStyle w:val="aff1"/>
                <w:noProof/>
              </w:rPr>
              <w:t>Богатство и бедность</w:t>
            </w:r>
            <w:r w:rsidR="008A4B7B">
              <w:rPr>
                <w:noProof/>
                <w:webHidden/>
              </w:rPr>
              <w:tab/>
            </w:r>
            <w:r w:rsidR="008A4B7B">
              <w:rPr>
                <w:noProof/>
                <w:webHidden/>
              </w:rPr>
              <w:fldChar w:fldCharType="begin"/>
            </w:r>
            <w:r w:rsidR="008A4B7B">
              <w:rPr>
                <w:noProof/>
                <w:webHidden/>
              </w:rPr>
              <w:instrText xml:space="preserve"> PAGEREF _Toc74130752 \h </w:instrText>
            </w:r>
            <w:r w:rsidR="008A4B7B">
              <w:rPr>
                <w:noProof/>
                <w:webHidden/>
              </w:rPr>
            </w:r>
            <w:r w:rsidR="008A4B7B">
              <w:rPr>
                <w:noProof/>
                <w:webHidden/>
              </w:rPr>
              <w:fldChar w:fldCharType="separate"/>
            </w:r>
            <w:r w:rsidR="008A4B7B">
              <w:rPr>
                <w:noProof/>
                <w:webHidden/>
              </w:rPr>
              <w:t>66</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3" w:history="1">
            <w:r w:rsidR="008A4B7B" w:rsidRPr="009950AB">
              <w:rPr>
                <w:rStyle w:val="aff1"/>
                <w:noProof/>
              </w:rPr>
              <w:t>Противоречия человеческой жизи. Зыбкость земного порядка</w:t>
            </w:r>
            <w:r w:rsidR="008A4B7B">
              <w:rPr>
                <w:noProof/>
                <w:webHidden/>
              </w:rPr>
              <w:tab/>
            </w:r>
            <w:r w:rsidR="008A4B7B">
              <w:rPr>
                <w:noProof/>
                <w:webHidden/>
              </w:rPr>
              <w:fldChar w:fldCharType="begin"/>
            </w:r>
            <w:r w:rsidR="008A4B7B">
              <w:rPr>
                <w:noProof/>
                <w:webHidden/>
              </w:rPr>
              <w:instrText xml:space="preserve"> PAGEREF _Toc74130753 \h </w:instrText>
            </w:r>
            <w:r w:rsidR="008A4B7B">
              <w:rPr>
                <w:noProof/>
                <w:webHidden/>
              </w:rPr>
            </w:r>
            <w:r w:rsidR="008A4B7B">
              <w:rPr>
                <w:noProof/>
                <w:webHidden/>
              </w:rPr>
              <w:fldChar w:fldCharType="separate"/>
            </w:r>
            <w:r w:rsidR="008A4B7B">
              <w:rPr>
                <w:noProof/>
                <w:webHidden/>
              </w:rPr>
              <w:t>70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54" w:history="1">
            <w:r w:rsidR="008A4B7B" w:rsidRPr="009950AB">
              <w:rPr>
                <w:rStyle w:val="aff1"/>
                <w:noProof/>
              </w:rPr>
              <w:t>4.2 Екклесиаст и литература мудрости Древнего Египта</w:t>
            </w:r>
            <w:r w:rsidR="008A4B7B">
              <w:rPr>
                <w:noProof/>
                <w:webHidden/>
              </w:rPr>
              <w:tab/>
            </w:r>
            <w:r w:rsidR="008A4B7B">
              <w:rPr>
                <w:noProof/>
                <w:webHidden/>
              </w:rPr>
              <w:fldChar w:fldCharType="begin"/>
            </w:r>
            <w:r w:rsidR="008A4B7B">
              <w:rPr>
                <w:noProof/>
                <w:webHidden/>
              </w:rPr>
              <w:instrText xml:space="preserve"> PAGEREF _Toc74130754 \h </w:instrText>
            </w:r>
            <w:r w:rsidR="008A4B7B">
              <w:rPr>
                <w:noProof/>
                <w:webHidden/>
              </w:rPr>
            </w:r>
            <w:r w:rsidR="008A4B7B">
              <w:rPr>
                <w:noProof/>
                <w:webHidden/>
              </w:rPr>
              <w:fldChar w:fldCharType="separate"/>
            </w:r>
            <w:r w:rsidR="008A4B7B">
              <w:rPr>
                <w:noProof/>
                <w:webHidden/>
              </w:rPr>
              <w:t>73</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5" w:history="1">
            <w:r w:rsidR="008A4B7B" w:rsidRPr="009950AB">
              <w:rPr>
                <w:rStyle w:val="aff1"/>
                <w:noProof/>
              </w:rPr>
              <w:t>Древнеегипетская «Песнь арфиста» и библейская Книг Екклесиаста</w:t>
            </w:r>
            <w:r w:rsidR="008A4B7B">
              <w:rPr>
                <w:noProof/>
                <w:webHidden/>
              </w:rPr>
              <w:tab/>
            </w:r>
            <w:r w:rsidR="008A4B7B">
              <w:rPr>
                <w:noProof/>
                <w:webHidden/>
              </w:rPr>
              <w:fldChar w:fldCharType="begin"/>
            </w:r>
            <w:r w:rsidR="008A4B7B">
              <w:rPr>
                <w:noProof/>
                <w:webHidden/>
              </w:rPr>
              <w:instrText xml:space="preserve"> PAGEREF _Toc74130755 \h </w:instrText>
            </w:r>
            <w:r w:rsidR="008A4B7B">
              <w:rPr>
                <w:noProof/>
                <w:webHidden/>
              </w:rPr>
            </w:r>
            <w:r w:rsidR="008A4B7B">
              <w:rPr>
                <w:noProof/>
                <w:webHidden/>
              </w:rPr>
              <w:fldChar w:fldCharType="separate"/>
            </w:r>
            <w:r w:rsidR="008A4B7B">
              <w:rPr>
                <w:noProof/>
                <w:webHidden/>
              </w:rPr>
              <w:t>74</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6" w:history="1">
            <w:r w:rsidR="008A4B7B" w:rsidRPr="009950AB">
              <w:rPr>
                <w:rStyle w:val="aff1"/>
                <w:noProof/>
              </w:rPr>
              <w:t>«Разговор разочарованного со своим Ба» и Книга Екклесиаста</w:t>
            </w:r>
            <w:r w:rsidR="008A4B7B">
              <w:rPr>
                <w:noProof/>
                <w:webHidden/>
              </w:rPr>
              <w:tab/>
            </w:r>
            <w:r w:rsidR="008A4B7B">
              <w:rPr>
                <w:noProof/>
                <w:webHidden/>
              </w:rPr>
              <w:fldChar w:fldCharType="begin"/>
            </w:r>
            <w:r w:rsidR="008A4B7B">
              <w:rPr>
                <w:noProof/>
                <w:webHidden/>
              </w:rPr>
              <w:instrText xml:space="preserve"> PAGEREF _Toc74130756 \h </w:instrText>
            </w:r>
            <w:r w:rsidR="008A4B7B">
              <w:rPr>
                <w:noProof/>
                <w:webHidden/>
              </w:rPr>
            </w:r>
            <w:r w:rsidR="008A4B7B">
              <w:rPr>
                <w:noProof/>
                <w:webHidden/>
              </w:rPr>
              <w:fldChar w:fldCharType="separate"/>
            </w:r>
            <w:r w:rsidR="008A4B7B">
              <w:rPr>
                <w:noProof/>
                <w:webHidden/>
              </w:rPr>
              <w:t>75</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7" w:history="1">
            <w:r w:rsidR="008A4B7B" w:rsidRPr="009950AB">
              <w:rPr>
                <w:rStyle w:val="aff1"/>
                <w:noProof/>
              </w:rPr>
              <w:t>Размышления Хахаперрасенеба со своим сердцем» и библейская Книга Екклесиаста</w:t>
            </w:r>
            <w:r w:rsidR="008A4B7B">
              <w:rPr>
                <w:noProof/>
                <w:webHidden/>
              </w:rPr>
              <w:tab/>
            </w:r>
            <w:r w:rsidR="008A4B7B">
              <w:rPr>
                <w:noProof/>
                <w:webHidden/>
              </w:rPr>
              <w:fldChar w:fldCharType="begin"/>
            </w:r>
            <w:r w:rsidR="008A4B7B">
              <w:rPr>
                <w:noProof/>
                <w:webHidden/>
              </w:rPr>
              <w:instrText xml:space="preserve"> PAGEREF _Toc74130757 \h </w:instrText>
            </w:r>
            <w:r w:rsidR="008A4B7B">
              <w:rPr>
                <w:noProof/>
                <w:webHidden/>
              </w:rPr>
            </w:r>
            <w:r w:rsidR="008A4B7B">
              <w:rPr>
                <w:noProof/>
                <w:webHidden/>
              </w:rPr>
              <w:fldChar w:fldCharType="separate"/>
            </w:r>
            <w:r w:rsidR="008A4B7B">
              <w:rPr>
                <w:noProof/>
                <w:webHidden/>
              </w:rPr>
              <w:t>78</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8" w:history="1">
            <w:r w:rsidR="008A4B7B" w:rsidRPr="009950AB">
              <w:rPr>
                <w:rStyle w:val="aff1"/>
                <w:noProof/>
              </w:rPr>
              <w:t>Обличения поселянина</w:t>
            </w:r>
            <w:r w:rsidR="008A4B7B">
              <w:rPr>
                <w:noProof/>
                <w:webHidden/>
              </w:rPr>
              <w:tab/>
            </w:r>
            <w:r w:rsidR="008A4B7B">
              <w:rPr>
                <w:noProof/>
                <w:webHidden/>
              </w:rPr>
              <w:fldChar w:fldCharType="begin"/>
            </w:r>
            <w:r w:rsidR="008A4B7B">
              <w:rPr>
                <w:noProof/>
                <w:webHidden/>
              </w:rPr>
              <w:instrText xml:space="preserve"> PAGEREF _Toc74130758 \h </w:instrText>
            </w:r>
            <w:r w:rsidR="008A4B7B">
              <w:rPr>
                <w:noProof/>
                <w:webHidden/>
              </w:rPr>
            </w:r>
            <w:r w:rsidR="008A4B7B">
              <w:rPr>
                <w:noProof/>
                <w:webHidden/>
              </w:rPr>
              <w:fldChar w:fldCharType="separate"/>
            </w:r>
            <w:r w:rsidR="008A4B7B">
              <w:rPr>
                <w:noProof/>
                <w:webHidden/>
              </w:rPr>
              <w:t>80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59" w:history="1">
            <w:r w:rsidR="008A4B7B" w:rsidRPr="009950AB">
              <w:rPr>
                <w:rStyle w:val="aff1"/>
                <w:noProof/>
              </w:rPr>
              <w:t>ЗАКЛЮЧЕНИЕ</w:t>
            </w:r>
            <w:r w:rsidR="008A4B7B">
              <w:rPr>
                <w:noProof/>
                <w:webHidden/>
              </w:rPr>
              <w:tab/>
            </w:r>
            <w:r w:rsidR="008A4B7B">
              <w:rPr>
                <w:noProof/>
                <w:webHidden/>
              </w:rPr>
              <w:fldChar w:fldCharType="begin"/>
            </w:r>
            <w:r w:rsidR="008A4B7B">
              <w:rPr>
                <w:noProof/>
                <w:webHidden/>
              </w:rPr>
              <w:instrText xml:space="preserve"> PAGEREF _Toc74130759 \h </w:instrText>
            </w:r>
            <w:r w:rsidR="008A4B7B">
              <w:rPr>
                <w:noProof/>
                <w:webHidden/>
              </w:rPr>
            </w:r>
            <w:r w:rsidR="008A4B7B">
              <w:rPr>
                <w:noProof/>
                <w:webHidden/>
              </w:rPr>
              <w:fldChar w:fldCharType="separate"/>
            </w:r>
            <w:r w:rsidR="008A4B7B">
              <w:rPr>
                <w:noProof/>
                <w:webHidden/>
              </w:rPr>
              <w:t>85</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60" w:history="1">
            <w:r w:rsidR="008A4B7B" w:rsidRPr="009950AB">
              <w:rPr>
                <w:rStyle w:val="aff1"/>
                <w:noProof/>
              </w:rPr>
              <w:t>БИБЛИОГРАФИЧЕСКИЙ СПИСОК</w:t>
            </w:r>
            <w:r w:rsidR="008A4B7B">
              <w:rPr>
                <w:noProof/>
                <w:webHidden/>
              </w:rPr>
              <w:tab/>
            </w:r>
            <w:r w:rsidR="008A4B7B">
              <w:rPr>
                <w:noProof/>
                <w:webHidden/>
              </w:rPr>
              <w:fldChar w:fldCharType="begin"/>
            </w:r>
            <w:r w:rsidR="008A4B7B">
              <w:rPr>
                <w:noProof/>
                <w:webHidden/>
              </w:rPr>
              <w:instrText xml:space="preserve"> PAGEREF _Toc74130760 \h </w:instrText>
            </w:r>
            <w:r w:rsidR="008A4B7B">
              <w:rPr>
                <w:noProof/>
                <w:webHidden/>
              </w:rPr>
            </w:r>
            <w:r w:rsidR="008A4B7B">
              <w:rPr>
                <w:noProof/>
                <w:webHidden/>
              </w:rPr>
              <w:fldChar w:fldCharType="separate"/>
            </w:r>
            <w:r w:rsidR="008A4B7B">
              <w:rPr>
                <w:noProof/>
                <w:webHidden/>
              </w:rPr>
              <w:t>86</w:t>
            </w:r>
            <w:r w:rsidR="008A4B7B">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130727"/>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130728"/>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130729"/>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6" w:name="_Ref73670647"/>
      <w:r w:rsidR="00896FB0" w:rsidRPr="00896FB0">
        <w:rPr>
          <w:rStyle w:val="afc"/>
          <w:vertAlign w:val="baseline"/>
        </w:rPr>
        <w:endnoteReference w:id="3"/>
      </w:r>
      <w:bookmarkEnd w:id="6"/>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7" w:name="_Ref73972974"/>
      <w:r w:rsidR="00896FB0" w:rsidRPr="00896FB0">
        <w:rPr>
          <w:rStyle w:val="afc"/>
          <w:vertAlign w:val="baseline"/>
        </w:rPr>
        <w:endnoteReference w:id="4"/>
      </w:r>
      <w:bookmarkEnd w:id="7"/>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5"/>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w:t>
      </w:r>
      <w:r w:rsidR="00F273BB">
        <w:t>и</w:t>
      </w:r>
      <w:r w:rsidR="00F273BB">
        <w:t>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6"/>
      </w:r>
      <w:bookmarkEnd w:id="9"/>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4130730"/>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130731"/>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8"/>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130732"/>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w:t>
      </w:r>
      <w:proofErr w:type="gramStart"/>
      <w:r>
        <w:rPr>
          <w:lang w:bidi="he-IL"/>
        </w:rPr>
        <w:t>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w:t>
      </w:r>
      <w:proofErr w:type="gramEnd"/>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bookmarkStart w:id="19" w:name="_Ref74650086"/>
      <w:r w:rsidR="00831F38" w:rsidRPr="00C90D7A">
        <w:rPr>
          <w:rStyle w:val="afc"/>
          <w:vertAlign w:val="baseline"/>
          <w:lang w:bidi="he-IL"/>
        </w:rPr>
        <w:endnoteReference w:id="10"/>
      </w:r>
      <w:bookmarkEnd w:id="18"/>
      <w:bookmarkEnd w:id="19"/>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proofErr w:type="gramStart"/>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7"/>
      </w:r>
      <w:bookmarkEnd w:id="20"/>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A73B39" w:rsidP="00A73B39">
      <w:pPr>
        <w:rPr>
          <w:lang w:bidi="he-IL"/>
        </w:rPr>
      </w:pPr>
      <w:r>
        <w:rPr>
          <w:lang w:bidi="he-IL"/>
        </w:rPr>
        <w:t>В итоге, трактовка книг Ветхого Завета, как книг чье написание можно отнести к послепленному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1" w:name="_Toc72499214"/>
      <w:bookmarkStart w:id="22" w:name="_Toc74130733"/>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3" w:name="_Ref74590978"/>
      <w:r w:rsidRPr="00C90D7A">
        <w:rPr>
          <w:rStyle w:val="afc"/>
          <w:vertAlign w:val="baseline"/>
          <w:lang w:bidi="he-IL"/>
        </w:rPr>
        <w:endnoteReference w:id="18"/>
      </w:r>
      <w:bookmarkEnd w:id="23"/>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ем перевода 70-ти толковников, он сумел сохранить в составе свяще</w:t>
      </w:r>
      <w:r w:rsidR="00E20A3E">
        <w:rPr>
          <w:lang w:bidi="he-IL"/>
        </w:rPr>
        <w:t>н</w:t>
      </w:r>
      <w:r w:rsidR="00E20A3E">
        <w:rPr>
          <w:lang w:bidi="he-IL"/>
        </w:rPr>
        <w:t xml:space="preserve">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4130734"/>
      <w:bookmarkStart w:id="26" w:name="_Toc72499215"/>
      <w:r>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ланные в Мишне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Default="004B4468" w:rsidP="004B4468">
      <w:pPr>
        <w:rPr>
          <w:lang w:val="en-US" w:bidi="he-IL"/>
        </w:rPr>
      </w:pPr>
      <w:r>
        <w:rPr>
          <w:lang w:bidi="he-IL"/>
        </w:rPr>
        <w:t xml:space="preserve">Из христианских толкователей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w:t>
      </w:r>
      <w:r w:rsidR="00570580" w:rsidRPr="0031249E">
        <w:rPr>
          <w:lang w:bidi="he-IL"/>
        </w:rPr>
        <w:t>и</w:t>
      </w:r>
      <w:r w:rsidR="00570580" w:rsidRPr="0031249E">
        <w:rPr>
          <w:lang w:bidi="he-IL"/>
        </w:rPr>
        <w:t>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 xml:space="preserve">] </w:t>
      </w:r>
      <w:r>
        <w:rPr>
          <w:lang w:bidi="he-IL"/>
        </w:rPr>
        <w:t>Далее, отмеч</w:t>
      </w:r>
      <w:r>
        <w:rPr>
          <w:lang w:bidi="he-IL"/>
        </w:rPr>
        <w:t>а</w:t>
      </w:r>
      <w:r>
        <w:rPr>
          <w:lang w:bidi="he-IL"/>
        </w:rPr>
        <w:t xml:space="preserve">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богодухнове</w:t>
      </w:r>
      <w:r w:rsidR="00570580" w:rsidRPr="0031249E">
        <w:rPr>
          <w:lang w:bidi="he-IL"/>
        </w:rPr>
        <w:t>н</w:t>
      </w:r>
      <w:r w:rsidR="00570580" w:rsidRPr="0031249E">
        <w:rPr>
          <w:lang w:bidi="he-IL"/>
        </w:rPr>
        <w:t>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r w:rsidR="00570580" w:rsidRPr="0031249E">
        <w:rPr>
          <w:lang w:bidi="he-IL"/>
        </w:rPr>
        <w:t>Ориген находил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w:t>
      </w:r>
      <w:r w:rsidR="00570580" w:rsidRPr="0031249E">
        <w:rPr>
          <w:lang w:bidi="he-IL"/>
        </w:rPr>
        <w:t>о</w:t>
      </w:r>
      <w:r w:rsidR="00570580" w:rsidRPr="0031249E">
        <w:rPr>
          <w:lang w:bidi="he-IL"/>
        </w:rPr>
        <w:t>дил здесь, как и еврейские гуляки, потворство гульбищам и легкомыслию.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w:t>
      </w:r>
      <w:r w:rsidR="00570580" w:rsidRPr="0031249E">
        <w:rPr>
          <w:lang w:bidi="he-IL"/>
        </w:rPr>
        <w:t>а</w:t>
      </w:r>
      <w:r w:rsidR="00570580" w:rsidRPr="0031249E">
        <w:rPr>
          <w:lang w:bidi="he-IL"/>
        </w:rPr>
        <w:t>гробную жизнь</w:t>
      </w:r>
      <w:r w:rsidR="005E5468">
        <w:rPr>
          <w:lang w:bidi="he-IL"/>
        </w:rPr>
        <w:t xml:space="preserve">» </w:t>
      </w:r>
      <w:r w:rsidR="005E5468">
        <w:rPr>
          <w:lang w:val="en-US" w:bidi="he-IL"/>
        </w:rPr>
        <w:t>[</w:t>
      </w:r>
      <w:r w:rsidR="005E5468">
        <w:rPr>
          <w:lang w:val="en-US" w:bidi="he-IL"/>
        </w:rPr>
        <w:fldChar w:fldCharType="begin"/>
      </w:r>
      <w:r w:rsidR="005E5468">
        <w:rPr>
          <w:lang w:val="en-US" w:bidi="he-IL"/>
        </w:rPr>
        <w:instrText xml:space="preserve"> NOTEREF _Ref74593239 \h </w:instrText>
      </w:r>
      <w:r w:rsidR="005E5468">
        <w:rPr>
          <w:lang w:val="en-US" w:bidi="he-IL"/>
        </w:rPr>
      </w:r>
      <w:r w:rsidR="005E5468">
        <w:rPr>
          <w:lang w:val="en-US" w:bidi="he-IL"/>
        </w:rPr>
        <w:fldChar w:fldCharType="separate"/>
      </w:r>
      <w:r w:rsidR="005E5468">
        <w:rPr>
          <w:lang w:val="en-US" w:bidi="he-IL"/>
        </w:rPr>
        <w:t>6</w:t>
      </w:r>
      <w:r w:rsidR="005E5468">
        <w:rPr>
          <w:lang w:val="en-US" w:bidi="he-IL"/>
        </w:rPr>
        <w:fldChar w:fldCharType="end"/>
      </w:r>
      <w:r w:rsidR="005E5468">
        <w:rPr>
          <w:lang w:val="en-US"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тыре. Паралипоменон, (то есть остатков от книги дней), две. Ездры две. Есфирь о</w:t>
      </w:r>
      <w:r w:rsidR="002D1C6A" w:rsidRPr="002D1C6A">
        <w:rPr>
          <w:lang w:bidi="he-IL"/>
        </w:rPr>
        <w:t>д</w:t>
      </w:r>
      <w:r w:rsidR="002D1C6A" w:rsidRPr="002D1C6A">
        <w:rPr>
          <w:lang w:bidi="he-IL"/>
        </w:rPr>
        <w:t xml:space="preserve">на. Маккавейских три. Иова одна. Псалтирь одна. Соломоновых три: Притчи, </w:t>
      </w:r>
      <w:proofErr w:type="spellStart"/>
      <w:r w:rsidR="002D1C6A" w:rsidRPr="002D1C6A">
        <w:rPr>
          <w:b/>
          <w:bCs/>
          <w:lang w:bidi="he-IL"/>
        </w:rPr>
        <w:t>Еккл</w:t>
      </w:r>
      <w:r w:rsidR="002D1C6A" w:rsidRPr="002D1C6A">
        <w:rPr>
          <w:b/>
          <w:bCs/>
          <w:lang w:bidi="he-IL"/>
        </w:rPr>
        <w:t>и</w:t>
      </w:r>
      <w:r w:rsidR="002D1C6A" w:rsidRPr="002D1C6A">
        <w:rPr>
          <w:b/>
          <w:bCs/>
          <w:lang w:bidi="he-IL"/>
        </w:rPr>
        <w:t>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9"/>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20"/>
      </w:r>
      <w:r w:rsidR="00097DFC" w:rsidRPr="00097DFC">
        <w:rPr>
          <w:lang w:bidi="he-IL"/>
        </w:rPr>
        <w:t>]</w:t>
      </w:r>
      <w:r w:rsidR="00097DFC">
        <w:rPr>
          <w:lang w:bidi="he-IL"/>
        </w:rPr>
        <w:t xml:space="preserve">. </w:t>
      </w:r>
      <w:r w:rsidR="00AD398B">
        <w:rPr>
          <w:lang w:bidi="he-IL"/>
        </w:rPr>
        <w:t xml:space="preserve">Мелитон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xml:space="preserve">: «Мелитон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w:t>
      </w:r>
      <w:r w:rsidR="00AD398B" w:rsidRPr="00AD398B">
        <w:rPr>
          <w:lang w:bidi="he-IL"/>
        </w:rPr>
        <w:t>е</w:t>
      </w:r>
      <w:r w:rsidR="00AD398B" w:rsidRPr="00AD398B">
        <w:rPr>
          <w:lang w:bidi="he-IL"/>
        </w:rPr>
        <w:t>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w:t>
      </w:r>
      <w:r w:rsidR="00AD398B" w:rsidRPr="00AD398B">
        <w:rPr>
          <w:lang w:bidi="he-IL"/>
        </w:rPr>
        <w:t>о</w:t>
      </w:r>
      <w:r w:rsidR="00AD398B" w:rsidRPr="00AD398B">
        <w:rPr>
          <w:lang w:bidi="he-IL"/>
        </w:rPr>
        <w:t>сток и дойдя до того места, где было проповедано и исполнено [Пис</w:t>
      </w:r>
      <w:r w:rsidR="00AD398B" w:rsidRPr="00AD398B">
        <w:rPr>
          <w:lang w:bidi="he-IL"/>
        </w:rPr>
        <w:t>а</w:t>
      </w:r>
      <w:r w:rsidR="00AD398B" w:rsidRPr="00AD398B">
        <w:rPr>
          <w:lang w:bidi="he-IL"/>
        </w:rPr>
        <w:t>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w:t>
      </w:r>
      <w:r w:rsidR="00AD398B" w:rsidRPr="00AD398B">
        <w:rPr>
          <w:lang w:bidi="he-IL"/>
        </w:rPr>
        <w:t>е</w:t>
      </w:r>
      <w:r w:rsidR="00AD398B" w:rsidRPr="00AD398B">
        <w:rPr>
          <w:lang w:bidi="he-IL"/>
        </w:rPr>
        <w:t>вит 19, Второзаконие; Иисус Навин, Судьи, Руфь, Царств четыре, Паралип</w:t>
      </w:r>
      <w:r w:rsidR="00AD398B" w:rsidRPr="00AD398B">
        <w:rPr>
          <w:lang w:bidi="he-IL"/>
        </w:rPr>
        <w:t>о</w:t>
      </w:r>
      <w:r w:rsidR="00AD398B" w:rsidRPr="00AD398B">
        <w:rPr>
          <w:lang w:bidi="he-IL"/>
        </w:rPr>
        <w:t>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1"/>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2"/>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7" w:name="_Toc74130735"/>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4130736"/>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w:t>
      </w:r>
      <w:r>
        <w:t>с</w:t>
      </w:r>
      <w:r>
        <w:t>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29" w:name="_Toc74130737"/>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w:t>
      </w:r>
      <w:r w:rsidR="00A501FA" w:rsidRPr="00A501FA">
        <w:rPr>
          <w:lang w:bidi="he-IL"/>
        </w:rPr>
        <w:t>о</w:t>
      </w:r>
      <w:r w:rsidR="00A501FA" w:rsidRPr="00A501FA">
        <w:rPr>
          <w:lang w:bidi="he-IL"/>
        </w:rPr>
        <w:t xml:space="preserve">го, что </w:t>
      </w:r>
      <w:r w:rsidR="00D3719C">
        <w:rPr>
          <w:lang w:bidi="he-IL"/>
        </w:rPr>
        <w:t>Екклесиаст</w:t>
      </w:r>
      <w:r w:rsidR="00A501FA" w:rsidRPr="00A501FA">
        <w:rPr>
          <w:lang w:bidi="he-IL"/>
        </w:rPr>
        <w:t xml:space="preserve"> был мудр, он учил еще народ знанию. Он все испыт</w:t>
      </w:r>
      <w:r w:rsidR="00A501FA" w:rsidRPr="00A501FA">
        <w:rPr>
          <w:lang w:bidi="he-IL"/>
        </w:rPr>
        <w:t>ы</w:t>
      </w:r>
      <w:r w:rsidR="00A501FA" w:rsidRPr="00A501FA">
        <w:rPr>
          <w:lang w:bidi="he-IL"/>
        </w:rPr>
        <w:t>вал, исследовал и составил много притчей, слова истины записаны им ве</w:t>
      </w:r>
      <w:r w:rsidR="00A501FA" w:rsidRPr="00A501FA">
        <w:rPr>
          <w:lang w:bidi="he-IL"/>
        </w:rPr>
        <w:t>р</w:t>
      </w:r>
      <w:r w:rsidR="00A501FA" w:rsidRPr="00A501FA">
        <w:rPr>
          <w:lang w:bidi="he-IL"/>
        </w:rPr>
        <w:t>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w:t>
      </w:r>
      <w:proofErr w:type="gramStart"/>
      <w:r w:rsidR="00E30214">
        <w:rPr>
          <w:lang w:bidi="he-IL"/>
        </w:rPr>
        <w:t>.</w:t>
      </w:r>
      <w:proofErr w:type="gramEnd"/>
      <w:r w:rsidR="00E30214">
        <w:rPr>
          <w:lang w:bidi="he-IL"/>
        </w:rPr>
        <w:t xml:space="preserve">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3"/>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4"/>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w:t>
      </w:r>
      <w:r w:rsidR="00C2061B">
        <w:rPr>
          <w:lang w:bidi="he-IL"/>
        </w:rPr>
        <w:t>з</w:t>
      </w:r>
      <w:r w:rsidR="00C2061B">
        <w:rPr>
          <w:lang w:bidi="he-IL"/>
        </w:rPr>
        <w:t>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xml:space="preserve">, полной больших ручных рыб, которых сирийцы почитают богами и не дозволяют истреблять [так же как и голубей]. </w:t>
      </w:r>
      <w:proofErr w:type="gramStart"/>
      <w:r w:rsidR="00BE301B" w:rsidRPr="00BE301B">
        <w:rPr>
          <w:lang w:bidi="he-IL"/>
        </w:rPr>
        <w:t>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proofErr w:type="gramEnd"/>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шир</w:t>
      </w:r>
      <w:r w:rsidR="00BE301B" w:rsidRPr="00BE301B">
        <w:rPr>
          <w:lang w:bidi="he-IL"/>
        </w:rPr>
        <w:t>и</w:t>
      </w:r>
      <w:r w:rsidR="00BE301B" w:rsidRPr="00BE301B">
        <w:rPr>
          <w:lang w:bidi="he-IL"/>
        </w:rPr>
        <w:t xml:space="preserve">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5"/>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w:t>
      </w:r>
      <w:r w:rsidR="00BE301B" w:rsidRPr="00BE301B">
        <w:rPr>
          <w:lang w:bidi="he-IL"/>
        </w:rPr>
        <w:t>ы</w:t>
      </w:r>
      <w:r w:rsidR="00BE301B" w:rsidRPr="00BE301B">
        <w:rPr>
          <w:lang w:bidi="he-IL"/>
        </w:rPr>
        <w:t>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w:t>
      </w:r>
      <w:r w:rsidR="00D10BE2">
        <w:rPr>
          <w:lang w:bidi="he-IL"/>
        </w:rPr>
        <w:t>о</w:t>
      </w:r>
      <w:r w:rsidR="00D10BE2">
        <w:rPr>
          <w:lang w:bidi="he-IL"/>
        </w:rPr>
        <w:t xml:space="preserve">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A282A">
        <w:rPr>
          <w:lang w:bidi="he-IL"/>
        </w:rPr>
        <w:t>Страна была так богата, что не только сам царь пользовался его избытком, но сами граждане утопали в роскоши настолько, что по свидетельству пис</w:t>
      </w:r>
      <w:r w:rsidR="002A282A">
        <w:rPr>
          <w:lang w:bidi="he-IL"/>
        </w:rPr>
        <w:t>а</w:t>
      </w:r>
      <w:r w:rsidR="002A282A">
        <w:rPr>
          <w:lang w:bidi="he-IL"/>
        </w:rPr>
        <w:t xml:space="preserve">ния: </w:t>
      </w:r>
      <w:r w:rsidR="00A501FA" w:rsidRPr="00A501FA">
        <w:rPr>
          <w:lang w:bidi="he-IL"/>
        </w:rPr>
        <w:t xml:space="preserve"> «И сделал серебро в Иерусалиме равноценным с простыми камнями, а кедры по их множеству равноценн</w:t>
      </w:r>
      <w:r w:rsidR="00A501FA" w:rsidRPr="00A501FA">
        <w:rPr>
          <w:lang w:bidi="he-IL"/>
        </w:rPr>
        <w:t>ы</w:t>
      </w:r>
      <w:r w:rsidR="00A501FA" w:rsidRPr="00A501FA">
        <w:rPr>
          <w:lang w:bidi="he-IL"/>
        </w:rPr>
        <w:t>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4130738"/>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w:t>
      </w:r>
      <w:r w:rsidR="00AD7BC1">
        <w:rPr>
          <w:lang w:bidi="he-IL"/>
        </w:rPr>
        <w:t>м</w:t>
      </w:r>
      <w:r w:rsidR="00AD7BC1">
        <w:rPr>
          <w:lang w:bidi="he-IL"/>
        </w:rPr>
        <w:t>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w:t>
      </w:r>
      <w:r w:rsidR="00AD7BC1">
        <w:rPr>
          <w:lang w:bidi="he-IL"/>
        </w:rPr>
        <w:t>о</w:t>
      </w:r>
      <w:r w:rsidR="00AD7BC1">
        <w:rPr>
          <w:lang w:bidi="he-IL"/>
        </w:rPr>
        <w:t>зданное им перейдет в руки его приемников. Что это будут за люди, с к</w:t>
      </w:r>
      <w:r w:rsidR="00AD7BC1">
        <w:rPr>
          <w:lang w:bidi="he-IL"/>
        </w:rPr>
        <w:t>а</w:t>
      </w:r>
      <w:r w:rsidR="00AD7BC1">
        <w:rPr>
          <w:lang w:bidi="he-IL"/>
        </w:rPr>
        <w:t>ким сердцем и умом, как воспримут они из его рук все это б</w:t>
      </w:r>
      <w:r w:rsidR="00AD7BC1">
        <w:rPr>
          <w:lang w:bidi="he-IL"/>
        </w:rPr>
        <w:t>о</w:t>
      </w:r>
      <w:r w:rsidR="00AD7BC1">
        <w:rPr>
          <w:lang w:bidi="he-IL"/>
        </w:rPr>
        <w:t>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4130739"/>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w:t>
      </w:r>
      <w:r w:rsidR="009003FF" w:rsidRPr="009003FF">
        <w:rPr>
          <w:lang w:bidi="he-IL"/>
        </w:rPr>
        <w:t>ю</w:t>
      </w:r>
      <w:r w:rsidR="009003FF" w:rsidRPr="009003FF">
        <w:rPr>
          <w:lang w:bidi="he-IL"/>
        </w:rPr>
        <w:t>ди, которые выросли вместе с ним, и сказали: так скажи народу сему, к</w:t>
      </w:r>
      <w:r w:rsidR="009003FF" w:rsidRPr="009003FF">
        <w:rPr>
          <w:lang w:bidi="he-IL"/>
        </w:rPr>
        <w:t>о</w:t>
      </w:r>
      <w:r w:rsidR="009003FF" w:rsidRPr="009003FF">
        <w:rPr>
          <w:lang w:bidi="he-IL"/>
        </w:rPr>
        <w:t>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w:t>
      </w:r>
      <w:r w:rsidR="008068A9">
        <w:rPr>
          <w:lang w:bidi="he-IL"/>
        </w:rPr>
        <w:t>т</w:t>
      </w:r>
      <w:r w:rsidR="008068A9">
        <w:rPr>
          <w:lang w:bidi="he-IL"/>
        </w:rPr>
        <w:t>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дению десяти колен от Израильского Ца</w:t>
      </w:r>
      <w:r w:rsidR="00781E77">
        <w:rPr>
          <w:lang w:bidi="he-IL"/>
        </w:rPr>
        <w:t>р</w:t>
      </w:r>
      <w:r w:rsidR="00781E77">
        <w:rPr>
          <w:lang w:bidi="he-IL"/>
        </w:rPr>
        <w:t xml:space="preserve">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w:t>
      </w:r>
      <w:r>
        <w:rPr>
          <w:lang w:bidi="he-IL"/>
        </w:rPr>
        <w:t>ю</w:t>
      </w:r>
      <w:r>
        <w:rPr>
          <w:lang w:bidi="he-IL"/>
        </w:rPr>
        <w:t>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женщин</w:t>
      </w:r>
      <w:r w:rsidR="008068A9">
        <w:rPr>
          <w:lang w:bidi="he-IL"/>
        </w:rPr>
        <w:t>: «И п</w:t>
      </w:r>
      <w:r w:rsidR="008068A9">
        <w:rPr>
          <w:lang w:bidi="he-IL"/>
        </w:rPr>
        <w:t>о</w:t>
      </w:r>
      <w:r w:rsidR="008068A9">
        <w:rPr>
          <w:lang w:bidi="he-IL"/>
        </w:rPr>
        <w:t>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w:t>
      </w:r>
      <w:proofErr w:type="spellStart"/>
      <w:r w:rsidR="00885086">
        <w:rPr>
          <w:lang w:bidi="he-IL"/>
        </w:rPr>
        <w:t>идумеянин</w:t>
      </w:r>
      <w:proofErr w:type="spellEnd"/>
      <w:r w:rsidR="00885086">
        <w:rPr>
          <w:lang w:bidi="he-IL"/>
        </w:rPr>
        <w:t xml:space="preserve">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w:t>
      </w:r>
      <w:r w:rsidR="001C0FC5">
        <w:rPr>
          <w:lang w:bidi="he-IL"/>
        </w:rPr>
        <w:t>а</w:t>
      </w:r>
      <w:r w:rsidR="001C0FC5">
        <w:rPr>
          <w:lang w:bidi="he-IL"/>
        </w:rPr>
        <w:t>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w:t>
      </w:r>
      <w:r w:rsidR="009B4C32">
        <w:rPr>
          <w:lang w:bidi="he-IL"/>
        </w:rPr>
        <w:t>у</w:t>
      </w:r>
      <w:r w:rsidR="009B4C32">
        <w:rPr>
          <w:lang w:bidi="he-IL"/>
        </w:rPr>
        <w:t>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w:t>
      </w:r>
      <w:r w:rsidR="00C67C9C">
        <w:rPr>
          <w:lang w:bidi="he-IL"/>
        </w:rPr>
        <w:t>а</w:t>
      </w:r>
      <w:r w:rsidR="00C67C9C">
        <w:rPr>
          <w:lang w:bidi="he-IL"/>
        </w:rPr>
        <w:t xml:space="preserve">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w:t>
      </w:r>
      <w:r>
        <w:rPr>
          <w:lang w:bidi="he-IL"/>
        </w:rPr>
        <w:t>я</w:t>
      </w:r>
      <w:r>
        <w:rPr>
          <w:lang w:bidi="he-IL"/>
        </w:rPr>
        <w:t>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w:t>
      </w:r>
      <w:r>
        <w:rPr>
          <w:lang w:bidi="he-IL"/>
        </w:rPr>
        <w:t>и</w:t>
      </w:r>
      <w:r>
        <w:rPr>
          <w:lang w:bidi="he-IL"/>
        </w:rPr>
        <w:t>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2" w:name="_Toc74130740"/>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w:t>
      </w:r>
      <w:r w:rsidR="00D3719C">
        <w:rPr>
          <w:lang w:bidi="he-IL"/>
        </w:rPr>
        <w:t>а</w:t>
      </w:r>
      <w:r w:rsidR="00D3719C">
        <w:rPr>
          <w:lang w:bidi="he-IL"/>
        </w:rPr>
        <w:t>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w:t>
      </w:r>
      <w:r w:rsidRPr="006112EA">
        <w:rPr>
          <w:lang w:bidi="he-IL"/>
        </w:rPr>
        <w:t>о</w:t>
      </w:r>
      <w:r w:rsidRPr="006112EA">
        <w:rPr>
          <w:lang w:bidi="he-IL"/>
        </w:rPr>
        <w:t>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w:t>
      </w:r>
      <w:r w:rsidR="00D82EC7" w:rsidRPr="00D82EC7">
        <w:rPr>
          <w:lang w:bidi="he-IL"/>
        </w:rPr>
        <w:t>з</w:t>
      </w:r>
      <w:r w:rsidR="00D82EC7" w:rsidRPr="00D82EC7">
        <w:rPr>
          <w:lang w:bidi="he-IL"/>
        </w:rPr>
        <w:t>несенный грозный Господень приговор о неудовлетворител</w:t>
      </w:r>
      <w:r w:rsidR="00D82EC7" w:rsidRPr="00D82EC7">
        <w:rPr>
          <w:lang w:bidi="he-IL"/>
        </w:rPr>
        <w:t>ь</w:t>
      </w:r>
      <w:r w:rsidR="00D82EC7" w:rsidRPr="00D82EC7">
        <w:rPr>
          <w:lang w:bidi="he-IL"/>
        </w:rPr>
        <w:t>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6112EA"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w:t>
      </w:r>
      <w:r w:rsidR="00D82EC7" w:rsidRPr="00D82EC7">
        <w:rPr>
          <w:lang w:bidi="he-IL"/>
        </w:rPr>
        <w:t>д</w:t>
      </w:r>
      <w:r w:rsidR="00D82EC7" w:rsidRPr="00D82EC7">
        <w:rPr>
          <w:lang w:bidi="he-IL"/>
        </w:rPr>
        <w:t xml:space="preserve">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w:t>
      </w:r>
      <w:r w:rsidR="00D82EC7" w:rsidRPr="00D82EC7">
        <w:rPr>
          <w:lang w:bidi="he-IL"/>
        </w:rPr>
        <w:t>о</w:t>
      </w:r>
      <w:r w:rsidR="00D82EC7" w:rsidRPr="00D82EC7">
        <w:rPr>
          <w:lang w:bidi="he-IL"/>
        </w:rPr>
        <w:t>торый был перед ним (т. е. царем), хотя позднейшие (т. е. потомки) не порадуются им» (Еккл.4:13–16)</w:t>
      </w:r>
      <w:r w:rsidRPr="006112EA">
        <w:rPr>
          <w:lang w:bidi="he-IL"/>
        </w:rPr>
        <w:t>[</w:t>
      </w:r>
      <w:r w:rsidRPr="006112EA">
        <w:rPr>
          <w:lang w:val="en-US" w:bidi="he-IL"/>
        </w:rPr>
        <w:fldChar w:fldCharType="begin"/>
      </w:r>
      <w:r w:rsidRPr="006112EA">
        <w:rPr>
          <w:lang w:bidi="he-IL"/>
        </w:rPr>
        <w:instrText xml:space="preserve"> </w:instrText>
      </w:r>
      <w:r w:rsidRPr="006112EA">
        <w:rPr>
          <w:lang w:val="en-US" w:bidi="he-IL"/>
        </w:rPr>
        <w:instrText>NOTEREF</w:instrText>
      </w:r>
      <w:r w:rsidRPr="006112EA">
        <w:rPr>
          <w:lang w:bidi="he-IL"/>
        </w:rPr>
        <w:instrText xml:space="preserve"> _</w:instrText>
      </w:r>
      <w:r w:rsidRPr="006112EA">
        <w:rPr>
          <w:lang w:val="en-US" w:bidi="he-IL"/>
        </w:rPr>
        <w:instrText>Ref</w:instrText>
      </w:r>
      <w:r w:rsidRPr="006112EA">
        <w:rPr>
          <w:lang w:bidi="he-IL"/>
        </w:rPr>
        <w:instrText>74593239 \</w:instrText>
      </w:r>
      <w:r w:rsidRPr="006112EA">
        <w:rPr>
          <w:lang w:val="en-US" w:bidi="he-IL"/>
        </w:rPr>
        <w:instrText>h</w:instrText>
      </w:r>
      <w:r w:rsidRPr="006112EA">
        <w:rPr>
          <w:lang w:bidi="he-IL"/>
        </w:rPr>
        <w:instrText xml:space="preserve"> </w:instrText>
      </w:r>
      <w:r>
        <w:rPr>
          <w:lang w:val="en-US" w:bidi="he-IL"/>
        </w:rPr>
      </w:r>
      <w:r w:rsidRPr="006112EA">
        <w:rPr>
          <w:lang w:val="en-US" w:bidi="he-IL"/>
        </w:rPr>
        <w:fldChar w:fldCharType="separate"/>
      </w:r>
      <w:r w:rsidRPr="006112EA">
        <w:rPr>
          <w:lang w:bidi="he-IL"/>
        </w:rPr>
        <w:t>6</w:t>
      </w:r>
      <w:r w:rsidRPr="006112EA">
        <w:rPr>
          <w:lang w:val="en-US" w:bidi="he-IL"/>
        </w:rPr>
        <w:fldChar w:fldCharType="end"/>
      </w:r>
      <w:r w:rsidRPr="006112EA">
        <w:rPr>
          <w:lang w:bidi="he-IL"/>
        </w:rPr>
        <w:t>]</w:t>
      </w:r>
      <w:r>
        <w:rPr>
          <w:lang w:bidi="he-IL"/>
        </w:rPr>
        <w:t>. Царь держал все народы в почитании, но его дни сочтены, кому д</w:t>
      </w:r>
      <w:r>
        <w:rPr>
          <w:lang w:bidi="he-IL"/>
        </w:rPr>
        <w:t>о</w:t>
      </w:r>
      <w:r>
        <w:rPr>
          <w:lang w:bidi="he-IL"/>
        </w:rPr>
        <w:t xml:space="preserve">станется все им созданное, и потомки его, за </w:t>
      </w:r>
      <w:proofErr w:type="gramStart"/>
      <w:r>
        <w:rPr>
          <w:lang w:bidi="he-IL"/>
        </w:rPr>
        <w:t>грехи</w:t>
      </w:r>
      <w:proofErr w:type="gramEnd"/>
      <w:r>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w:t>
      </w:r>
      <w:r w:rsidR="00D82EC7" w:rsidRPr="00D82EC7">
        <w:rPr>
          <w:lang w:bidi="he-IL"/>
        </w:rPr>
        <w:t>м</w:t>
      </w:r>
      <w:r w:rsidR="00D82EC7" w:rsidRPr="00D82EC7">
        <w:rPr>
          <w:lang w:bidi="he-IL"/>
        </w:rPr>
        <w:t>ля, когда царь у тебя из благородного рода» (Еккл.10:16–</w:t>
      </w:r>
      <w:r w:rsidR="00D82EC7" w:rsidRPr="00D82EC7">
        <w:rPr>
          <w:lang w:bidi="he-IL"/>
        </w:rPr>
        <w:lastRenderedPageBreak/>
        <w:t xml:space="preserve">17). Очевидно, здесь противополагается Ровоам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w:t>
      </w:r>
      <w:r w:rsidR="00D82EC7" w:rsidRPr="00D82EC7">
        <w:rPr>
          <w:lang w:bidi="he-IL"/>
        </w:rPr>
        <w:t>е</w:t>
      </w:r>
      <w:r w:rsidR="00D82EC7" w:rsidRPr="00D82EC7">
        <w:rPr>
          <w:lang w:bidi="he-IL"/>
        </w:rPr>
        <w:t>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ходство же страны в целом есть царь, заботящийся о стране (5:7–8). Поэтому не на всякое сл</w:t>
      </w:r>
      <w:r w:rsidR="00D82EC7" w:rsidRPr="00D82EC7">
        <w:rPr>
          <w:lang w:bidi="he-IL"/>
        </w:rPr>
        <w:t>о</w:t>
      </w:r>
      <w:r w:rsidR="00D82EC7" w:rsidRPr="00D82EC7">
        <w:rPr>
          <w:lang w:bidi="he-IL"/>
        </w:rPr>
        <w:t xml:space="preserve">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w:t>
      </w:r>
      <w:r w:rsidR="00D82EC7" w:rsidRPr="00D82EC7">
        <w:rPr>
          <w:lang w:bidi="he-IL"/>
        </w:rPr>
        <w:t>я</w:t>
      </w:r>
      <w:r w:rsidR="00D82EC7" w:rsidRPr="00D82EC7">
        <w:rPr>
          <w:lang w:bidi="he-IL"/>
        </w:rPr>
        <w:t xml:space="preserve">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4130741"/>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3"/>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4130742"/>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4130743"/>
      <w:r>
        <w:t>3</w:t>
      </w:r>
      <w:r w:rsidR="00E466CD">
        <w:t>.1 Философия хокмы</w:t>
      </w:r>
      <w:bookmarkEnd w:id="37"/>
      <w:bookmarkEnd w:id="38"/>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6"/>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9" w:name="_Toc72499231"/>
      <w:bookmarkStart w:id="40" w:name="_Toc74130744"/>
      <w:r>
        <w:t>3</w:t>
      </w:r>
      <w:r w:rsidR="00E466CD">
        <w:t>.2 Екклесиаст и литература хокмы</w:t>
      </w:r>
      <w:bookmarkEnd w:id="39"/>
      <w:bookmarkEnd w:id="40"/>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proofErr w:type="gramStart"/>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w:t>
      </w:r>
      <w:proofErr w:type="gramEnd"/>
      <w:r>
        <w:t xml:space="preserve">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 xml:space="preserve">Второе произведение, принадлежащее к </w:t>
      </w:r>
      <w:proofErr w:type="spellStart"/>
      <w:r w:rsidRPr="005C6CC7">
        <w:rPr>
          <w:b/>
          <w:bCs/>
        </w:rPr>
        <w:t>хокмической</w:t>
      </w:r>
      <w:proofErr w:type="spellEnd"/>
      <w:r w:rsidRPr="005C6CC7">
        <w:rPr>
          <w:b/>
          <w:bCs/>
        </w:rPr>
        <w:t xml:space="preserve">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специальное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41" w:name="_Toc72499232"/>
      <w:bookmarkStart w:id="42" w:name="_Toc74130745"/>
      <w:r>
        <w:lastRenderedPageBreak/>
        <w:t>3</w:t>
      </w:r>
      <w:r w:rsidR="00E466CD">
        <w:t>.3 Внутренняя связь книги Екклесиаст</w:t>
      </w:r>
      <w:bookmarkEnd w:id="41"/>
      <w:bookmarkEnd w:id="42"/>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lastRenderedPageBreak/>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 xml:space="preserve">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lastRenderedPageBreak/>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 xml:space="preserve">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3" w:name="_Toc72499233"/>
      <w:bookmarkStart w:id="44" w:name="_Toc74130746"/>
      <w:r>
        <w:lastRenderedPageBreak/>
        <w:t>3</w:t>
      </w:r>
      <w:r w:rsidR="00E466CD">
        <w:t>.4 Книга Екклесиаст, как поэтическая книга</w:t>
      </w:r>
      <w:bookmarkEnd w:id="43"/>
      <w:bookmarkEnd w:id="44"/>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0F758B">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proofErr w:type="gramStart"/>
      <w:r w:rsidR="000F758B">
        <w:t>.</w:t>
      </w:r>
      <w:r>
        <w:t xml:space="preserve">. </w:t>
      </w:r>
      <w:proofErr w:type="gramEnd"/>
      <w:r>
        <w:t xml:space="preserve">Но скоро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w:t>
      </w:r>
      <w:r>
        <w:t>о</w:t>
      </w:r>
      <w:r>
        <w:t>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w:t>
      </w:r>
      <w:r>
        <w:t>е</w:t>
      </w:r>
      <w:r>
        <w:t xml:space="preserve">ском делении. Но как труд его был единственный в своем роде и никому еще, по предположению </w:t>
      </w:r>
      <w:proofErr w:type="spellStart"/>
      <w:r>
        <w:t>Вайгинга</w:t>
      </w:r>
      <w:proofErr w:type="spellEnd"/>
      <w:r>
        <w:t>, неизвестный, то он возбуждал в нем н</w:t>
      </w:r>
      <w:r>
        <w:t>е</w:t>
      </w:r>
      <w:r>
        <w:lastRenderedPageBreak/>
        <w:t>которую неуверенность, сомнение. В это время, чрез благоприятное п</w:t>
      </w:r>
      <w:r>
        <w:t>о</w:t>
      </w:r>
      <w:r>
        <w:t xml:space="preserve">средство одного из друзей, ему попался под руку труд </w:t>
      </w:r>
      <w:proofErr w:type="spellStart"/>
      <w:r>
        <w:t>Кестера</w:t>
      </w:r>
      <w:proofErr w:type="spellEnd"/>
      <w:r>
        <w:t>. С восх</w:t>
      </w:r>
      <w:r>
        <w:t>и</w:t>
      </w:r>
      <w:r>
        <w:t xml:space="preserve">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w:t>
      </w:r>
      <w:r>
        <w:t>с</w:t>
      </w:r>
      <w:r>
        <w:t xml:space="preserve">лителем; теперь он вполне ободрился и уверился в правильности своего взгляда на книгу Екклесиаст, допускающую строфическое деление. </w:t>
      </w:r>
      <w:proofErr w:type="gramStart"/>
      <w:r>
        <w:t>Це</w:t>
      </w:r>
      <w:r>
        <w:t>н</w:t>
      </w:r>
      <w:r>
        <w:t xml:space="preserve">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w:t>
      </w:r>
      <w:r>
        <w:t>з</w:t>
      </w:r>
      <w:r>
        <w:t xml:space="preserve">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w:t>
      </w:r>
      <w:r>
        <w:t>н</w:t>
      </w:r>
      <w:r>
        <w:t>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w:t>
      </w:r>
      <w:r>
        <w:lastRenderedPageBreak/>
        <w:t xml:space="preserve">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lastRenderedPageBreak/>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lastRenderedPageBreak/>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 xml:space="preserve">пространителей священных книг; а так как наш автор, как можно полагать </w:t>
      </w:r>
      <w:r>
        <w:lastRenderedPageBreak/>
        <w:t>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5" w:name="_Ref73982305"/>
      <w:bookmarkStart w:id="46" w:name="_Toc74130747"/>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5"/>
      <w:bookmarkEnd w:id="46"/>
    </w:p>
    <w:p w:rsidR="003E6A60" w:rsidRDefault="00C47AAA" w:rsidP="00E466CD">
      <w:pPr>
        <w:pStyle w:val="2"/>
        <w:ind w:left="708" w:firstLine="1"/>
      </w:pPr>
      <w:bookmarkStart w:id="47" w:name="_Toc72499218"/>
      <w:bookmarkStart w:id="48" w:name="_Toc74130748"/>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7"/>
      <w:bookmarkEnd w:id="48"/>
    </w:p>
    <w:p w:rsidR="000F758B" w:rsidRDefault="000F758B" w:rsidP="000F758B">
      <w:pPr>
        <w:pStyle w:val="3"/>
        <w:rPr>
          <w:b w:val="0"/>
          <w:bCs w:val="0"/>
        </w:rPr>
      </w:pPr>
      <w:bookmarkStart w:id="49" w:name="_Toc72499219"/>
      <w:bookmarkStart w:id="50" w:name="_Toc74130749"/>
      <w:proofErr w:type="gramStart"/>
      <w:r>
        <w:rPr>
          <w:b w:val="0"/>
          <w:bCs w:val="0"/>
        </w:rPr>
        <w:t>Современное богословие питается не только книгами дошедших до нас в каноне Библии, не только литературой иудейской хокмы, не только</w:t>
      </w:r>
      <w:proofErr w:type="gramEnd"/>
      <w:r>
        <w:rPr>
          <w:b w:val="0"/>
          <w:bCs w:val="0"/>
        </w:rPr>
        <w:t xml:space="preserve"> преданиями записанных в </w:t>
      </w:r>
      <w:proofErr w:type="spellStart"/>
      <w:r>
        <w:rPr>
          <w:b w:val="0"/>
          <w:bCs w:val="0"/>
        </w:rPr>
        <w:t>Агаде</w:t>
      </w:r>
      <w:proofErr w:type="spellEnd"/>
      <w:r>
        <w:rPr>
          <w:b w:val="0"/>
          <w:bCs w:val="0"/>
        </w:rPr>
        <w:t xml:space="preserve"> и других апокрифических источниках. Достижения в области археологии, которые стали доступны исследоват</w:t>
      </w:r>
      <w:r>
        <w:rPr>
          <w:b w:val="0"/>
          <w:bCs w:val="0"/>
        </w:rPr>
        <w:t>е</w:t>
      </w:r>
      <w:r>
        <w:rPr>
          <w:b w:val="0"/>
          <w:bCs w:val="0"/>
        </w:rPr>
        <w:t xml:space="preserve">лям уже в </w:t>
      </w:r>
      <w:r>
        <w:rPr>
          <w:b w:val="0"/>
          <w:bCs w:val="0"/>
          <w:lang w:val="en-US"/>
        </w:rPr>
        <w:t>XX</w:t>
      </w:r>
      <w:r w:rsidRPr="000F758B">
        <w:rPr>
          <w:b w:val="0"/>
          <w:bCs w:val="0"/>
        </w:rPr>
        <w:t xml:space="preserve"> </w:t>
      </w:r>
      <w:r>
        <w:rPr>
          <w:b w:val="0"/>
          <w:bCs w:val="0"/>
        </w:rPr>
        <w:t>веке, позволяют проводить параллели и делать сопоставл</w:t>
      </w:r>
      <w:r>
        <w:rPr>
          <w:b w:val="0"/>
          <w:bCs w:val="0"/>
        </w:rPr>
        <w:t>е</w:t>
      </w:r>
      <w:r>
        <w:rPr>
          <w:b w:val="0"/>
          <w:bCs w:val="0"/>
        </w:rPr>
        <w:t>ния с литературой более древней, чем сама иудейская письменность. В первую очередь это касается источников открытых в древнем центре ра</w:t>
      </w:r>
      <w:r>
        <w:rPr>
          <w:b w:val="0"/>
          <w:bCs w:val="0"/>
        </w:rPr>
        <w:t>з</w:t>
      </w:r>
      <w:r>
        <w:rPr>
          <w:b w:val="0"/>
          <w:bCs w:val="0"/>
        </w:rPr>
        <w:t xml:space="preserve">вития человечества </w:t>
      </w:r>
      <w:proofErr w:type="spellStart"/>
      <w:r>
        <w:rPr>
          <w:b w:val="0"/>
          <w:bCs w:val="0"/>
        </w:rPr>
        <w:t>Мессопотамии</w:t>
      </w:r>
      <w:proofErr w:type="spellEnd"/>
      <w:r>
        <w:rPr>
          <w:b w:val="0"/>
          <w:bCs w:val="0"/>
        </w:rPr>
        <w:t>. Древнейшие государства Аккадской, Шумерской и Египетской цивилизаций, сохранили свои литературные п</w:t>
      </w:r>
      <w:r>
        <w:rPr>
          <w:b w:val="0"/>
          <w:bCs w:val="0"/>
        </w:rPr>
        <w:t>а</w:t>
      </w:r>
      <w:r>
        <w:rPr>
          <w:b w:val="0"/>
          <w:bCs w:val="0"/>
        </w:rPr>
        <w:t>мятники, говорящие о человеческих поисках смысла жизни, отношениях между людьми и их правителями, уклада семейной и общ</w:t>
      </w:r>
      <w:r>
        <w:rPr>
          <w:b w:val="0"/>
          <w:bCs w:val="0"/>
        </w:rPr>
        <w:t>е</w:t>
      </w:r>
      <w:r>
        <w:rPr>
          <w:b w:val="0"/>
          <w:bCs w:val="0"/>
        </w:rPr>
        <w:t xml:space="preserve">ственной жизни. Мудрость литературы древнего востока в </w:t>
      </w:r>
      <w:r>
        <w:rPr>
          <w:b w:val="0"/>
          <w:bCs w:val="0"/>
          <w:lang w:val="en-US"/>
        </w:rPr>
        <w:t>XX</w:t>
      </w:r>
      <w:r w:rsidRPr="000F758B">
        <w:rPr>
          <w:b w:val="0"/>
          <w:bCs w:val="0"/>
        </w:rPr>
        <w:t xml:space="preserve"> </w:t>
      </w:r>
      <w:r>
        <w:rPr>
          <w:b w:val="0"/>
          <w:bCs w:val="0"/>
        </w:rPr>
        <w:t>веке становиться доступна вн</w:t>
      </w:r>
      <w:r>
        <w:rPr>
          <w:b w:val="0"/>
          <w:bCs w:val="0"/>
        </w:rPr>
        <w:t>и</w:t>
      </w:r>
      <w:r>
        <w:rPr>
          <w:b w:val="0"/>
          <w:bCs w:val="0"/>
        </w:rPr>
        <w:t>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r w:rsidRPr="001E79EA">
        <w:t>Пословицы и поговорки</w:t>
      </w:r>
      <w:bookmarkEnd w:id="49"/>
      <w:bookmarkEnd w:id="50"/>
    </w:p>
    <w:p w:rsidR="001266CC" w:rsidRDefault="00AE2AAE" w:rsidP="00F72944">
      <w:r>
        <w:t xml:space="preserve">Приступая к изучению пословиц и поговорок </w:t>
      </w:r>
      <w:proofErr w:type="spellStart"/>
      <w:r>
        <w:t>Крамер</w:t>
      </w:r>
      <w:proofErr w:type="spellEnd"/>
      <w:r>
        <w:t xml:space="preserve">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w:t>
      </w:r>
      <w:r w:rsidR="001266CC" w:rsidRPr="00B15A4F">
        <w:t>о</w:t>
      </w:r>
      <w:r w:rsidR="001266CC" w:rsidRPr="00B15A4F">
        <w:t>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w:t>
      </w:r>
      <w:r w:rsidR="001266CC" w:rsidRPr="00B15A4F">
        <w:t>и</w:t>
      </w:r>
      <w:r w:rsidR="001266CC" w:rsidRPr="00B15A4F">
        <w:t>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w:t>
      </w:r>
      <w:r w:rsidR="001266CC" w:rsidRPr="001E79EA">
        <w:t>а</w:t>
      </w:r>
      <w:r w:rsidR="001266CC" w:rsidRPr="001E79EA">
        <w:t>вилонян, ассирийцев</w:t>
      </w:r>
      <w:proofErr w:type="gramStart"/>
      <w:r>
        <w:t xml:space="preserve">» </w:t>
      </w:r>
      <w:r w:rsidRPr="00F72944">
        <w:t>[</w:t>
      </w:r>
      <w:bookmarkStart w:id="51" w:name="_Ref74665398"/>
      <w:r w:rsidRPr="00FE3F27">
        <w:rPr>
          <w:rStyle w:val="afc"/>
          <w:vertAlign w:val="baseline"/>
        </w:rPr>
        <w:endnoteReference w:id="27"/>
      </w:r>
      <w:bookmarkEnd w:id="51"/>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 xml:space="preserve">азываемой литературы мудрости </w:t>
      </w:r>
      <w:proofErr w:type="spellStart"/>
      <w:r w:rsidR="00FE3F27">
        <w:rPr>
          <w:szCs w:val="28"/>
        </w:rPr>
        <w:t>Крамер</w:t>
      </w:r>
      <w:proofErr w:type="spellEnd"/>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w:t>
      </w:r>
      <w:r w:rsidR="00AE2AAE">
        <w:t>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w:t>
      </w:r>
      <w:r w:rsidR="001266CC">
        <w:rPr>
          <w:szCs w:val="28"/>
        </w:rPr>
        <w:t>а</w:t>
      </w:r>
      <w:r w:rsidR="001266CC">
        <w:rPr>
          <w:szCs w:val="28"/>
        </w:rPr>
        <w:t>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7E6E3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w:t>
      </w:r>
      <w:r w:rsidR="001266CC" w:rsidRPr="00635F14">
        <w:rPr>
          <w:szCs w:val="28"/>
        </w:rPr>
        <w:t>а</w:t>
      </w:r>
      <w:r w:rsidR="001266CC" w:rsidRPr="00635F14">
        <w:rPr>
          <w:szCs w:val="28"/>
        </w:rPr>
        <w:t>туры. Во-первых, шумерская литература – это литература устная, рассчитанная на восприятие слухом и эмоциями (а не зрением и воображ</w:t>
      </w:r>
      <w:r w:rsidR="001266CC" w:rsidRPr="00635F14">
        <w:rPr>
          <w:szCs w:val="28"/>
        </w:rPr>
        <w:t>е</w:t>
      </w:r>
      <w:r w:rsidR="001266CC" w:rsidRPr="00635F14">
        <w:rPr>
          <w:szCs w:val="28"/>
        </w:rPr>
        <w:t>нием).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терат</w:t>
      </w:r>
      <w:r w:rsidR="001266CC" w:rsidRPr="00635F14">
        <w:rPr>
          <w:szCs w:val="28"/>
        </w:rPr>
        <w:t>у</w:t>
      </w:r>
      <w:r w:rsidR="001266CC" w:rsidRPr="00635F14">
        <w:rPr>
          <w:szCs w:val="28"/>
        </w:rPr>
        <w:t xml:space="preserve">ра отличается стойкостью письменной традиции и особой любовью </w:t>
      </w:r>
      <w:r w:rsidR="001266CC" w:rsidRPr="00635F14">
        <w:rPr>
          <w:szCs w:val="28"/>
        </w:rPr>
        <w:lastRenderedPageBreak/>
        <w:t xml:space="preserve">к цитации. Шумерские памятники копировались в </w:t>
      </w:r>
      <w:proofErr w:type="spellStart"/>
      <w:r w:rsidR="001266CC" w:rsidRPr="00635F14">
        <w:rPr>
          <w:szCs w:val="28"/>
        </w:rPr>
        <w:t>Уруке</w:t>
      </w:r>
      <w:proofErr w:type="spellEnd"/>
      <w:r w:rsidR="001266CC"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proofErr w:type="gramStart"/>
      <w:r w:rsidR="001266CC" w:rsidRPr="00635F14">
        <w:rPr>
          <w:szCs w:val="28"/>
        </w:rPr>
        <w:t>»</w:t>
      </w:r>
      <w:r>
        <w:rPr>
          <w:szCs w:val="28"/>
        </w:rPr>
        <w:t xml:space="preserve"> </w:t>
      </w:r>
      <w:bookmarkStart w:id="52" w:name="_Ref74665611"/>
      <w:r w:rsidRPr="007E6E34">
        <w:rPr>
          <w:szCs w:val="28"/>
        </w:rPr>
        <w:t>[</w:t>
      </w:r>
      <w:r w:rsidRPr="007E6E34">
        <w:rPr>
          <w:rStyle w:val="afc"/>
          <w:szCs w:val="28"/>
          <w:vertAlign w:val="baseline"/>
        </w:rPr>
        <w:endnoteReference w:id="28"/>
      </w:r>
      <w:bookmarkEnd w:id="52"/>
      <w:r w:rsidRPr="007E6E34">
        <w:rPr>
          <w:szCs w:val="28"/>
        </w:rPr>
        <w:t>]</w:t>
      </w:r>
      <w:proofErr w:type="gramEnd"/>
    </w:p>
    <w:p w:rsidR="001266CC" w:rsidRDefault="008A4B7B" w:rsidP="007A46C0">
      <w:pPr>
        <w:pStyle w:val="3"/>
        <w:ind w:left="708" w:firstLine="1"/>
      </w:pPr>
      <w:bookmarkStart w:id="53" w:name="_Toc74130750"/>
      <w:r>
        <w:t>Мир окружающий, последствия поступков в нем, вопросы о мудрости и возможностях слова</w:t>
      </w:r>
      <w:bookmarkEnd w:id="53"/>
    </w:p>
    <w:p w:rsidR="001266CC" w:rsidRDefault="00D8180C" w:rsidP="007A46C0">
      <w:r>
        <w:t>«</w:t>
      </w:r>
      <w:r w:rsidR="001266CC">
        <w:t>Как уже было сказано, л</w:t>
      </w:r>
      <w:r w:rsidR="001266CC" w:rsidRPr="002C4FB7">
        <w:t>итерату</w:t>
      </w:r>
      <w:r w:rsidR="001266CC">
        <w:t>ра мудрости уходит корнями в на</w:t>
      </w:r>
      <w:r w:rsidR="001266CC" w:rsidRPr="002C4FB7">
        <w:t xml:space="preserve">родную мудрость. Народная </w:t>
      </w:r>
      <w:r w:rsidR="001266CC">
        <w:t xml:space="preserve">же мудрость </w:t>
      </w:r>
      <w:proofErr w:type="spellStart"/>
      <w:r w:rsidR="001266CC">
        <w:t>над</w:t>
      </w:r>
      <w:r w:rsidR="001266CC" w:rsidRPr="002C4FB7">
        <w:t>национальна</w:t>
      </w:r>
      <w:proofErr w:type="spellEnd"/>
      <w:r w:rsidR="001266CC" w:rsidRPr="002C4FB7">
        <w:t>, как и сама древняя тради</w:t>
      </w:r>
      <w:r w:rsidR="001266CC">
        <w:t xml:space="preserve">ция мудрости. </w:t>
      </w:r>
      <w:r w:rsidR="001266CC" w:rsidRPr="000D4BF2">
        <w:t>Шуме</w:t>
      </w:r>
      <w:r w:rsidR="001266CC">
        <w:t>рские поговорки отражают тради</w:t>
      </w:r>
      <w:r w:rsidR="001266CC" w:rsidRPr="000D4BF2">
        <w:t>цио</w:t>
      </w:r>
      <w:r w:rsidR="001266CC" w:rsidRPr="000D4BF2">
        <w:t>н</w:t>
      </w:r>
      <w:r w:rsidR="001266CC" w:rsidRPr="000D4BF2">
        <w:t>ное пред</w:t>
      </w:r>
      <w:r w:rsidR="001266CC">
        <w:t>ставление о правильном пове</w:t>
      </w:r>
      <w:r w:rsidR="001266CC" w:rsidRPr="000D4BF2">
        <w:t xml:space="preserve">дении как залоге жизненного успеха. </w:t>
      </w:r>
      <w:r w:rsidR="001266CC">
        <w:t>Так же и в</w:t>
      </w:r>
      <w:r w:rsidR="001266CC" w:rsidRPr="000D4BF2">
        <w:t xml:space="preserve"> Книге </w:t>
      </w:r>
      <w:r w:rsidR="00D3719C">
        <w:t>Екклесиаст</w:t>
      </w:r>
      <w:r w:rsidR="001266CC" w:rsidRPr="000D4BF2">
        <w:t>а выра</w:t>
      </w:r>
      <w:r w:rsidR="001266CC">
        <w:t>жается подоб</w:t>
      </w:r>
      <w:r w:rsidR="001266CC" w:rsidRPr="000D4BF2">
        <w:t>ный положительный взгляд на мир</w:t>
      </w:r>
      <w:r>
        <w:t xml:space="preserve">» </w:t>
      </w:r>
      <w:r w:rsidRPr="00D8180C">
        <w:t>[</w:t>
      </w:r>
      <w:r>
        <w:fldChar w:fldCharType="begin"/>
      </w:r>
      <w:r>
        <w:instrText xml:space="preserve"> NOTEREF _Ref74665398 \h </w:instrText>
      </w:r>
      <w:r>
        <w:fldChar w:fldCharType="separate"/>
      </w:r>
      <w:r>
        <w:t>2</w:t>
      </w:r>
      <w:r>
        <w:t>7</w:t>
      </w:r>
      <w:r>
        <w:fldChar w:fldCharType="end"/>
      </w:r>
      <w:r w:rsidRPr="00D8180C">
        <w:t>]</w:t>
      </w:r>
      <w:r w:rsidR="001266CC" w:rsidRPr="000D4BF2">
        <w:t>.</w:t>
      </w:r>
    </w:p>
    <w:p w:rsidR="001266CC" w:rsidRDefault="00D8180C" w:rsidP="007A46C0">
      <w:r>
        <w:t>«</w:t>
      </w:r>
      <w:r w:rsidR="001266CC" w:rsidRPr="000D4BF2">
        <w:t>По</w:t>
      </w:r>
      <w:r w:rsidR="001266CC">
        <w:t>сло</w:t>
      </w:r>
      <w:r w:rsidR="001266CC" w:rsidRPr="000D4BF2">
        <w:t xml:space="preserve">вицы утверждают, что если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w:t>
      </w:r>
      <w:r w:rsidR="001266CC" w:rsidRPr="00302F43">
        <w:rPr>
          <w:b/>
          <w:bCs/>
        </w:rPr>
        <w:t>р</w:t>
      </w:r>
      <w:r w:rsidR="001266CC" w:rsidRPr="00302F43">
        <w:rPr>
          <w:b/>
          <w:bCs/>
        </w:rPr>
        <w:t>ские</w:t>
      </w:r>
      <w:r w:rsidR="001266CC">
        <w:t xml:space="preserve"> пословицы</w:t>
      </w:r>
      <w:r>
        <w:t>»</w:t>
      </w:r>
      <w:r w:rsidR="001266CC">
        <w:t>:</w:t>
      </w:r>
    </w:p>
    <w:p w:rsidR="001266CC" w:rsidRDefault="001266CC" w:rsidP="00D8180C">
      <w:pPr>
        <w:pStyle w:val="ac"/>
        <w:numPr>
          <w:ilvl w:val="0"/>
          <w:numId w:val="15"/>
        </w:numPr>
      </w:pPr>
      <w:r w:rsidRPr="000D4BF2">
        <w:t>Жертвы творят жизнь</w:t>
      </w:r>
    </w:p>
    <w:p w:rsidR="001266CC" w:rsidRDefault="001266CC" w:rsidP="00D8180C">
      <w:pPr>
        <w:pStyle w:val="ac"/>
        <w:numPr>
          <w:ilvl w:val="0"/>
          <w:numId w:val="15"/>
        </w:numPr>
      </w:pPr>
      <w:r w:rsidRPr="000D4BF2">
        <w:t>Пусть мои дары в присутствии бога никогда не прекратятся</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8180C" w:rsidP="007A46C0">
      <w:r>
        <w:lastRenderedPageBreak/>
        <w:t>«</w:t>
      </w:r>
      <w:r w:rsidR="001266CC">
        <w:t xml:space="preserve">Книга </w:t>
      </w:r>
      <w:r w:rsidR="00D3719C">
        <w:rPr>
          <w:b/>
          <w:bCs/>
        </w:rPr>
        <w:t>Екклесиаст</w:t>
      </w:r>
      <w:r w:rsidR="001266CC" w:rsidRPr="00302F43">
        <w:rPr>
          <w:b/>
          <w:bCs/>
        </w:rPr>
        <w:t>а</w:t>
      </w:r>
      <w:r w:rsidR="001266CC">
        <w:t>, как и поговорки шумеров, призывает испо</w:t>
      </w:r>
      <w:r w:rsidR="001266CC">
        <w:t>л</w:t>
      </w:r>
      <w:r w:rsidR="001266CC">
        <w:t>нять свой долг перед Богом, быть верным Богу, бояться Бога, не нарушать да</w:t>
      </w:r>
      <w:r w:rsidR="001266CC">
        <w:t>н</w:t>
      </w:r>
      <w:r w:rsidR="001266CC">
        <w:t>ных Ему обетов</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t xml:space="preserve">: </w:t>
      </w:r>
    </w:p>
    <w:p w:rsidR="001266CC" w:rsidRDefault="001266CC" w:rsidP="007A46C0">
      <w:pPr>
        <w:pStyle w:val="ac"/>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bookmarkStart w:id="54" w:name="_GoBack"/>
      <w:bookmarkEnd w:id="54"/>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8A4B7B" w:rsidP="007A46C0">
      <w:pPr>
        <w:pStyle w:val="3"/>
        <w:ind w:left="708" w:firstLine="1"/>
      </w:pPr>
      <w:bookmarkStart w:id="55" w:name="_Toc74130751"/>
      <w:r>
        <w:t>Общество и его установления. Принуждение человека и вопросы его смирения</w:t>
      </w:r>
      <w:bookmarkEnd w:id="55"/>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29"/>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lastRenderedPageBreak/>
        <w:t>«И дворец, и мир нуждаются в покорности их</w:t>
      </w:r>
      <w:r w:rsidRPr="00146401">
        <w:t xml:space="preserve"> </w:t>
      </w:r>
      <w:r>
        <w:t>обитателей» (14:19).</w:t>
      </w:r>
    </w:p>
    <w:p w:rsidR="001266CC" w:rsidRDefault="001266CC" w:rsidP="007A46C0">
      <w:r>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lastRenderedPageBreak/>
        <w:t xml:space="preserve">чит в Книге </w:t>
      </w:r>
      <w:r w:rsidR="00D3719C">
        <w:t>Екклесиаст</w:t>
      </w:r>
      <w:r>
        <w:t>а постоянно. Человек может наслаждаться от еды, 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lastRenderedPageBreak/>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lastRenderedPageBreak/>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6" w:name="_Toc72499222"/>
      <w:bookmarkStart w:id="57" w:name="_Toc74130752"/>
      <w:r w:rsidRPr="000C3FE4">
        <w:t>Богатство и бедность</w:t>
      </w:r>
      <w:bookmarkEnd w:id="56"/>
      <w:bookmarkEnd w:id="57"/>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lastRenderedPageBreak/>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30"/>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31"/>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lastRenderedPageBreak/>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гда стремятся уйти от пессимизма, они даже хотят найти преимущества 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lastRenderedPageBreak/>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Но 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(Еккл. 10:6–7) и называет горем для страны ситуацию, </w:t>
      </w:r>
      <w:r>
        <w:lastRenderedPageBreak/>
        <w:t>когда у руля власти оказывается незнатный человек (Еккл.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сочувствуя угнетенным (Еккл. 4:1), рассказывает о бедном юноше, ста</w:t>
      </w:r>
      <w:r>
        <w:t>в</w:t>
      </w:r>
      <w:r>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8" w:name="_Toc72499223"/>
      <w:bookmarkStart w:id="59" w:name="_Toc7413075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8"/>
      <w:bookmarkEnd w:id="59"/>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32"/>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lastRenderedPageBreak/>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(Еккл. 3:22; 8:15; 9:7–10; 11:1–7).</w:t>
      </w:r>
    </w:p>
    <w:p w:rsidR="001266CC" w:rsidRDefault="001266CC" w:rsidP="007A46C0">
      <w:r>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(Еккл. 7:15), праведников п</w:t>
      </w:r>
      <w:r>
        <w:t>о</w:t>
      </w:r>
      <w:r>
        <w:t>стигает участь нечестивых, а нечестивых – участь праведников (Еккл. 8:14), а успех человека зависит от случайности (Еккл.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lastRenderedPageBreak/>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3"/>
      </w:r>
      <w:r w:rsidR="00F43FE0" w:rsidRPr="00F43FE0">
        <w:t>]</w:t>
      </w:r>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4"/>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(Еккл.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(Еккл.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lastRenderedPageBreak/>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5"/>
      </w:r>
      <w:r w:rsidR="00F43FE0" w:rsidRPr="00901232">
        <w:t>]</w:t>
      </w:r>
      <w:proofErr w:type="gramEnd"/>
    </w:p>
    <w:p w:rsidR="001266CC" w:rsidRDefault="001266CC" w:rsidP="007A46C0"/>
    <w:p w:rsidR="001266CC" w:rsidRDefault="001266CC" w:rsidP="007A46C0">
      <w:r>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6"/>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60" w:name="_Toc72499224"/>
      <w:bookmarkStart w:id="61" w:name="_Toc74130754"/>
      <w:r>
        <w:lastRenderedPageBreak/>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0"/>
      <w:bookmarkEnd w:id="61"/>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2" w:name="_Toc72499225"/>
      <w:bookmarkStart w:id="63" w:name="_Toc74130755"/>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2"/>
      <w:bookmarkEnd w:id="63"/>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lastRenderedPageBreak/>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4" w:name="_Toc72499226"/>
      <w:bookmarkStart w:id="65" w:name="_Toc74130756"/>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4"/>
      <w:bookmarkEnd w:id="65"/>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 xml:space="preserve">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w:t>
      </w:r>
      <w:r>
        <w:lastRenderedPageBreak/>
        <w:t>(каждый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lastRenderedPageBreak/>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 xml:space="preserve">а таковая фактически отсутствует. В египетском тексте сомнений в блаженной жизни по ту сторону смерти нет, поэтому </w:t>
      </w:r>
      <w:r>
        <w:lastRenderedPageBreak/>
        <w:t>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6" w:name="_Toc72499227"/>
      <w:bookmarkStart w:id="67" w:name="_Toc74130757"/>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6"/>
      <w:bookmarkEnd w:id="67"/>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lastRenderedPageBreak/>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lastRenderedPageBreak/>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8" w:name="_Toc72499228"/>
      <w:bookmarkStart w:id="69" w:name="_Toc74130758"/>
      <w:r w:rsidRPr="00FB7BFE">
        <w:t>Обличения поселянина</w:t>
      </w:r>
      <w:bookmarkEnd w:id="68"/>
      <w:bookmarkEnd w:id="69"/>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 xml:space="preserve">а. Однако в </w:t>
      </w:r>
      <w:r>
        <w:lastRenderedPageBreak/>
        <w:t>«Обличениях»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 xml:space="preserve">дям, опирающуюся на ожидание божественного суда. Египетский автор </w:t>
      </w:r>
      <w:r>
        <w:lastRenderedPageBreak/>
        <w:t>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lastRenderedPageBreak/>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lastRenderedPageBreak/>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0" w:name="_Toc72499234"/>
      <w:bookmarkStart w:id="71" w:name="_Toc74130759"/>
      <w:r>
        <w:lastRenderedPageBreak/>
        <w:t>ЗАКЛЮЧЕНИЕ</w:t>
      </w:r>
      <w:bookmarkEnd w:id="70"/>
      <w:bookmarkEnd w:id="71"/>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2" w:name="_Toc72499235"/>
      <w:bookmarkStart w:id="73" w:name="_Toc74130760"/>
      <w:r>
        <w:lastRenderedPageBreak/>
        <w:t>БИБЛИОГРАФИЧЕСКИЙ СПИСОК</w:t>
      </w:r>
      <w:bookmarkEnd w:id="72"/>
      <w:bookmarkEnd w:id="73"/>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4D1" w:rsidRDefault="000E34D1" w:rsidP="00CE7BDA">
      <w:r>
        <w:separator/>
      </w:r>
    </w:p>
  </w:endnote>
  <w:endnote w:type="continuationSeparator" w:id="0">
    <w:p w:rsidR="000E34D1" w:rsidRDefault="000E34D1" w:rsidP="00CE7BDA">
      <w:r>
        <w:continuationSeparator/>
      </w:r>
    </w:p>
  </w:endnote>
  <w:endnote w:id="1">
    <w:p w:rsidR="00D8180C" w:rsidRPr="00600D58" w:rsidRDefault="00D8180C">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D8180C" w:rsidRPr="0081158C"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D8180C" w:rsidRPr="0081158C"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D8180C" w:rsidRPr="0081158C" w:rsidRDefault="00D8180C"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D8180C" w:rsidRPr="00647A25" w:rsidRDefault="00D8180C"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D8180C" w:rsidRPr="002D1C6A" w:rsidRDefault="00D8180C">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20">
    <w:p w:rsidR="00D8180C" w:rsidRPr="00AD398B" w:rsidRDefault="00D8180C">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1">
    <w:p w:rsidR="00D8180C" w:rsidRPr="00AD398B" w:rsidRDefault="00D8180C">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2">
    <w:p w:rsidR="00D8180C" w:rsidRPr="00965574" w:rsidRDefault="00D8180C">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3">
    <w:p w:rsidR="00D8180C" w:rsidRDefault="00D8180C"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4">
    <w:p w:rsidR="00D8180C" w:rsidRDefault="00D8180C">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5">
    <w:p w:rsidR="00D8180C" w:rsidRPr="00BE301B" w:rsidRDefault="00D8180C">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6">
    <w:p w:rsidR="00D8180C" w:rsidRPr="008B499B" w:rsidRDefault="00D8180C">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7">
    <w:p w:rsidR="00D8180C" w:rsidRPr="00F72944" w:rsidRDefault="00D8180C">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8">
    <w:p w:rsidR="00D8180C" w:rsidRPr="00F43FE0" w:rsidRDefault="00D8180C" w:rsidP="007E6E34">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9">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0">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31">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32">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3">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4">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5">
    <w:p w:rsidR="00D8180C" w:rsidRPr="00F43FE0" w:rsidRDefault="00D8180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6">
    <w:p w:rsidR="00D8180C" w:rsidRPr="00F43FE0" w:rsidRDefault="00D8180C"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D8180C" w:rsidRDefault="00D8180C">
        <w:pPr>
          <w:pStyle w:val="af7"/>
          <w:jc w:val="center"/>
        </w:pPr>
        <w:r>
          <w:fldChar w:fldCharType="begin"/>
        </w:r>
        <w:r>
          <w:instrText>PAGE   \* MERGEFORMAT</w:instrText>
        </w:r>
        <w:r>
          <w:fldChar w:fldCharType="separate"/>
        </w:r>
        <w:r w:rsidR="00E0303D">
          <w:rPr>
            <w:noProof/>
          </w:rPr>
          <w:t>61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4D1" w:rsidRDefault="000E34D1" w:rsidP="00CE7BDA">
      <w:r>
        <w:separator/>
      </w:r>
    </w:p>
  </w:footnote>
  <w:footnote w:type="continuationSeparator" w:id="0">
    <w:p w:rsidR="000E34D1" w:rsidRDefault="000E34D1"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3506E"/>
    <w:rsid w:val="00044B87"/>
    <w:rsid w:val="00062509"/>
    <w:rsid w:val="000711DB"/>
    <w:rsid w:val="000718EF"/>
    <w:rsid w:val="00073362"/>
    <w:rsid w:val="00080CE2"/>
    <w:rsid w:val="000918F7"/>
    <w:rsid w:val="00097DFC"/>
    <w:rsid w:val="000A5BE4"/>
    <w:rsid w:val="000B04FB"/>
    <w:rsid w:val="000B0E54"/>
    <w:rsid w:val="000E34D1"/>
    <w:rsid w:val="000F3B6C"/>
    <w:rsid w:val="000F758B"/>
    <w:rsid w:val="00117453"/>
    <w:rsid w:val="0012495A"/>
    <w:rsid w:val="001266CC"/>
    <w:rsid w:val="00126A7F"/>
    <w:rsid w:val="00131B78"/>
    <w:rsid w:val="00140474"/>
    <w:rsid w:val="00145116"/>
    <w:rsid w:val="001869BF"/>
    <w:rsid w:val="00191A85"/>
    <w:rsid w:val="001A3A58"/>
    <w:rsid w:val="001B029E"/>
    <w:rsid w:val="001B4D97"/>
    <w:rsid w:val="001C0FC5"/>
    <w:rsid w:val="001C366B"/>
    <w:rsid w:val="001C3E1F"/>
    <w:rsid w:val="001E0726"/>
    <w:rsid w:val="001E1C5D"/>
    <w:rsid w:val="001E270A"/>
    <w:rsid w:val="001E7B8D"/>
    <w:rsid w:val="00201022"/>
    <w:rsid w:val="002233BC"/>
    <w:rsid w:val="0023537C"/>
    <w:rsid w:val="00243199"/>
    <w:rsid w:val="00252003"/>
    <w:rsid w:val="00254012"/>
    <w:rsid w:val="0025601E"/>
    <w:rsid w:val="002653E6"/>
    <w:rsid w:val="002718D4"/>
    <w:rsid w:val="0027308B"/>
    <w:rsid w:val="00275FCF"/>
    <w:rsid w:val="00287173"/>
    <w:rsid w:val="002A282A"/>
    <w:rsid w:val="002A2FB3"/>
    <w:rsid w:val="002B3140"/>
    <w:rsid w:val="002C63B8"/>
    <w:rsid w:val="002D1C6A"/>
    <w:rsid w:val="002D523A"/>
    <w:rsid w:val="002D5B37"/>
    <w:rsid w:val="002F03A8"/>
    <w:rsid w:val="002F334E"/>
    <w:rsid w:val="002F77F0"/>
    <w:rsid w:val="0031249E"/>
    <w:rsid w:val="00333159"/>
    <w:rsid w:val="00333F5B"/>
    <w:rsid w:val="00344F5E"/>
    <w:rsid w:val="00346BA3"/>
    <w:rsid w:val="00350016"/>
    <w:rsid w:val="00352043"/>
    <w:rsid w:val="0035664A"/>
    <w:rsid w:val="0036599F"/>
    <w:rsid w:val="00371B00"/>
    <w:rsid w:val="00375056"/>
    <w:rsid w:val="00385254"/>
    <w:rsid w:val="003A3AE2"/>
    <w:rsid w:val="003B50BF"/>
    <w:rsid w:val="003B5606"/>
    <w:rsid w:val="003B5F8E"/>
    <w:rsid w:val="003C4F31"/>
    <w:rsid w:val="003E6A60"/>
    <w:rsid w:val="003F0B00"/>
    <w:rsid w:val="00400D0C"/>
    <w:rsid w:val="00410259"/>
    <w:rsid w:val="00434E87"/>
    <w:rsid w:val="00450B6B"/>
    <w:rsid w:val="004660D1"/>
    <w:rsid w:val="004747F9"/>
    <w:rsid w:val="004A0E7A"/>
    <w:rsid w:val="004B4468"/>
    <w:rsid w:val="004D0C7F"/>
    <w:rsid w:val="00520E9C"/>
    <w:rsid w:val="00524E46"/>
    <w:rsid w:val="005379F7"/>
    <w:rsid w:val="0054196E"/>
    <w:rsid w:val="0054316A"/>
    <w:rsid w:val="00543304"/>
    <w:rsid w:val="005511E4"/>
    <w:rsid w:val="00554F3E"/>
    <w:rsid w:val="00564EC2"/>
    <w:rsid w:val="00570580"/>
    <w:rsid w:val="00572D2E"/>
    <w:rsid w:val="00581548"/>
    <w:rsid w:val="00594F79"/>
    <w:rsid w:val="005A78A3"/>
    <w:rsid w:val="005B0E64"/>
    <w:rsid w:val="005B7DF2"/>
    <w:rsid w:val="005C6CC7"/>
    <w:rsid w:val="005E202D"/>
    <w:rsid w:val="005E5468"/>
    <w:rsid w:val="005F0107"/>
    <w:rsid w:val="00600D58"/>
    <w:rsid w:val="0060133A"/>
    <w:rsid w:val="00603486"/>
    <w:rsid w:val="00610CDD"/>
    <w:rsid w:val="006112EA"/>
    <w:rsid w:val="006278A1"/>
    <w:rsid w:val="00647A25"/>
    <w:rsid w:val="0065119F"/>
    <w:rsid w:val="006808AB"/>
    <w:rsid w:val="00682937"/>
    <w:rsid w:val="006943AD"/>
    <w:rsid w:val="006955DD"/>
    <w:rsid w:val="006C06B7"/>
    <w:rsid w:val="006D219C"/>
    <w:rsid w:val="006F087A"/>
    <w:rsid w:val="006F3D72"/>
    <w:rsid w:val="006F4760"/>
    <w:rsid w:val="007237D9"/>
    <w:rsid w:val="00723FDF"/>
    <w:rsid w:val="00725FF8"/>
    <w:rsid w:val="00737969"/>
    <w:rsid w:val="00740288"/>
    <w:rsid w:val="00751EB8"/>
    <w:rsid w:val="007773E3"/>
    <w:rsid w:val="00777E51"/>
    <w:rsid w:val="00781E77"/>
    <w:rsid w:val="0078769B"/>
    <w:rsid w:val="00793FB0"/>
    <w:rsid w:val="007A3872"/>
    <w:rsid w:val="007A46C0"/>
    <w:rsid w:val="007A5332"/>
    <w:rsid w:val="007C1407"/>
    <w:rsid w:val="007C1522"/>
    <w:rsid w:val="007D68FE"/>
    <w:rsid w:val="007E3D5F"/>
    <w:rsid w:val="007E56FE"/>
    <w:rsid w:val="007E5A73"/>
    <w:rsid w:val="007E6E34"/>
    <w:rsid w:val="007F0FA9"/>
    <w:rsid w:val="008068A9"/>
    <w:rsid w:val="0081158C"/>
    <w:rsid w:val="00827EFF"/>
    <w:rsid w:val="0083157A"/>
    <w:rsid w:val="00831F38"/>
    <w:rsid w:val="00836F38"/>
    <w:rsid w:val="00837D45"/>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26DBA"/>
    <w:rsid w:val="00943611"/>
    <w:rsid w:val="009453D4"/>
    <w:rsid w:val="009470E1"/>
    <w:rsid w:val="00965574"/>
    <w:rsid w:val="00973945"/>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B3DA9"/>
    <w:rsid w:val="00AB7616"/>
    <w:rsid w:val="00AC0535"/>
    <w:rsid w:val="00AC2A3A"/>
    <w:rsid w:val="00AD398B"/>
    <w:rsid w:val="00AD7BC1"/>
    <w:rsid w:val="00AE2AAE"/>
    <w:rsid w:val="00AE66BC"/>
    <w:rsid w:val="00AF245E"/>
    <w:rsid w:val="00B07D07"/>
    <w:rsid w:val="00B24FDF"/>
    <w:rsid w:val="00B34B07"/>
    <w:rsid w:val="00B55067"/>
    <w:rsid w:val="00B573F3"/>
    <w:rsid w:val="00B85D77"/>
    <w:rsid w:val="00B901BE"/>
    <w:rsid w:val="00BA2237"/>
    <w:rsid w:val="00BA7312"/>
    <w:rsid w:val="00BD056C"/>
    <w:rsid w:val="00BD2C21"/>
    <w:rsid w:val="00BE098D"/>
    <w:rsid w:val="00BE0B95"/>
    <w:rsid w:val="00BE2690"/>
    <w:rsid w:val="00BE301B"/>
    <w:rsid w:val="00BF404D"/>
    <w:rsid w:val="00C13EAE"/>
    <w:rsid w:val="00C165F0"/>
    <w:rsid w:val="00C2061B"/>
    <w:rsid w:val="00C24A96"/>
    <w:rsid w:val="00C43818"/>
    <w:rsid w:val="00C47AAA"/>
    <w:rsid w:val="00C637B4"/>
    <w:rsid w:val="00C67C9C"/>
    <w:rsid w:val="00C74B01"/>
    <w:rsid w:val="00C8227B"/>
    <w:rsid w:val="00C90D7A"/>
    <w:rsid w:val="00CB4057"/>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504D2"/>
    <w:rsid w:val="00D62150"/>
    <w:rsid w:val="00D8180C"/>
    <w:rsid w:val="00D82EC7"/>
    <w:rsid w:val="00D86266"/>
    <w:rsid w:val="00D9495E"/>
    <w:rsid w:val="00D970E3"/>
    <w:rsid w:val="00DA24B9"/>
    <w:rsid w:val="00DC7462"/>
    <w:rsid w:val="00DE1433"/>
    <w:rsid w:val="00DE1D25"/>
    <w:rsid w:val="00DF01AB"/>
    <w:rsid w:val="00DF3BDB"/>
    <w:rsid w:val="00E017DE"/>
    <w:rsid w:val="00E0303D"/>
    <w:rsid w:val="00E05F33"/>
    <w:rsid w:val="00E0763B"/>
    <w:rsid w:val="00E15B27"/>
    <w:rsid w:val="00E17651"/>
    <w:rsid w:val="00E20A3E"/>
    <w:rsid w:val="00E23A67"/>
    <w:rsid w:val="00E30214"/>
    <w:rsid w:val="00E30AF3"/>
    <w:rsid w:val="00E466CD"/>
    <w:rsid w:val="00E62033"/>
    <w:rsid w:val="00E775A8"/>
    <w:rsid w:val="00E77DCF"/>
    <w:rsid w:val="00E83FF1"/>
    <w:rsid w:val="00E87EA0"/>
    <w:rsid w:val="00E9398C"/>
    <w:rsid w:val="00E95BA9"/>
    <w:rsid w:val="00EA296D"/>
    <w:rsid w:val="00EB591C"/>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F2A"/>
    <w:rsid w:val="00F95ABA"/>
    <w:rsid w:val="00FA2103"/>
    <w:rsid w:val="00FA3865"/>
    <w:rsid w:val="00FA4EC1"/>
    <w:rsid w:val="00FA6152"/>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9C67B-5ACC-4E0D-8E01-A59EB42D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11040</TotalTime>
  <Pages>89</Pages>
  <Words>22576</Words>
  <Characters>128687</Characters>
  <Application>Microsoft Office Word</Application>
  <DocSecurity>0</DocSecurity>
  <Lines>1072</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157</cp:revision>
  <dcterms:created xsi:type="dcterms:W3CDTF">2021-05-05T23:11:00Z</dcterms:created>
  <dcterms:modified xsi:type="dcterms:W3CDTF">2021-06-15T09:15:00Z</dcterms:modified>
</cp:coreProperties>
</file>