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5904979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C52120" w:rsidRPr="00C52120" w:rsidRDefault="00C52120" w:rsidP="00C52120">
          <w:pPr>
            <w:jc w:val="center"/>
            <w:rPr>
              <w:rFonts w:eastAsia="Times New Roman"/>
              <w:caps/>
              <w:sz w:val="22"/>
              <w:szCs w:val="28"/>
              <w:lang w:eastAsia="ru-RU"/>
            </w:rPr>
          </w:pPr>
          <w:r w:rsidRPr="00C52120">
            <w:rPr>
              <w:rFonts w:eastAsia="Times New Roman"/>
              <w:caps/>
              <w:sz w:val="22"/>
              <w:szCs w:val="28"/>
              <w:lang w:eastAsia="ru-RU"/>
            </w:rPr>
            <w:t>Религиозная организация – духовная образовательная</w:t>
          </w:r>
        </w:p>
        <w:p w:rsidR="00C52120" w:rsidRPr="00C52120" w:rsidRDefault="00C52120" w:rsidP="00C52120">
          <w:pPr>
            <w:spacing w:line="240" w:lineRule="auto"/>
            <w:ind w:firstLine="0"/>
            <w:jc w:val="center"/>
            <w:rPr>
              <w:rFonts w:eastAsia="Times New Roman"/>
              <w:caps/>
              <w:sz w:val="22"/>
              <w:szCs w:val="28"/>
              <w:lang w:eastAsia="ru-RU"/>
            </w:rPr>
          </w:pPr>
          <w:r w:rsidRPr="00C52120">
            <w:rPr>
              <w:rFonts w:eastAsia="Times New Roman"/>
              <w:caps/>
              <w:sz w:val="22"/>
              <w:szCs w:val="28"/>
              <w:lang w:eastAsia="ru-RU"/>
            </w:rPr>
            <w:t>организация высшего образования</w:t>
          </w:r>
        </w:p>
        <w:p w:rsidR="00C52120" w:rsidRPr="00C52120" w:rsidRDefault="00C52120" w:rsidP="00C52120">
          <w:pPr>
            <w:spacing w:line="240" w:lineRule="auto"/>
            <w:ind w:firstLine="0"/>
            <w:jc w:val="center"/>
            <w:rPr>
              <w:rFonts w:eastAsia="Times New Roman"/>
              <w:caps/>
              <w:sz w:val="22"/>
              <w:szCs w:val="28"/>
              <w:lang w:eastAsia="ru-RU"/>
            </w:rPr>
          </w:pPr>
          <w:r w:rsidRPr="00C52120">
            <w:rPr>
              <w:rFonts w:eastAsia="Times New Roman"/>
              <w:caps/>
              <w:sz w:val="22"/>
              <w:szCs w:val="28"/>
              <w:lang w:eastAsia="ru-RU"/>
            </w:rPr>
            <w:t xml:space="preserve"> «Томская духовная семинария </w:t>
          </w:r>
        </w:p>
        <w:p w:rsidR="00C52120" w:rsidRPr="00C52120" w:rsidRDefault="00C52120" w:rsidP="00C52120">
          <w:pPr>
            <w:spacing w:line="240" w:lineRule="auto"/>
            <w:ind w:firstLine="0"/>
            <w:jc w:val="center"/>
            <w:rPr>
              <w:rFonts w:eastAsia="Times New Roman"/>
              <w:caps/>
              <w:sz w:val="22"/>
              <w:szCs w:val="28"/>
              <w:lang w:eastAsia="ru-RU"/>
            </w:rPr>
          </w:pPr>
          <w:r w:rsidRPr="00C52120">
            <w:rPr>
              <w:rFonts w:eastAsia="Times New Roman"/>
              <w:caps/>
              <w:sz w:val="22"/>
              <w:szCs w:val="28"/>
              <w:lang w:eastAsia="ru-RU"/>
            </w:rPr>
            <w:t>Томской Епархии Русской Православной Церкви»</w:t>
          </w:r>
        </w:p>
        <w:p w:rsidR="00C52120" w:rsidRPr="00C52120" w:rsidRDefault="00C52120" w:rsidP="00C52120">
          <w:pPr>
            <w:spacing w:line="240" w:lineRule="auto"/>
            <w:ind w:firstLine="0"/>
            <w:jc w:val="center"/>
            <w:rPr>
              <w:rFonts w:eastAsia="Times New Roman"/>
              <w:caps/>
              <w:sz w:val="22"/>
              <w:szCs w:val="28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0"/>
            <w:jc w:val="center"/>
            <w:rPr>
              <w:rFonts w:eastAsia="Times New Roman"/>
              <w:caps/>
              <w:sz w:val="22"/>
              <w:szCs w:val="28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jc w:val="center"/>
            <w:rPr>
              <w:rFonts w:eastAsia="Times New Roman"/>
              <w:color w:val="292929"/>
              <w:sz w:val="22"/>
              <w:szCs w:val="28"/>
              <w:lang w:eastAsia="ru-RU"/>
            </w:rPr>
          </w:pPr>
          <w:r w:rsidRPr="00C52120">
            <w:rPr>
              <w:rFonts w:eastAsia="Times New Roman"/>
              <w:color w:val="292929"/>
              <w:sz w:val="22"/>
              <w:szCs w:val="28"/>
              <w:lang w:eastAsia="ru-RU"/>
            </w:rPr>
            <w:t>Кафедра богословских и исторических дисциплин</w:t>
          </w:r>
        </w:p>
        <w:p w:rsidR="00C52120" w:rsidRPr="00C52120" w:rsidRDefault="00C52120" w:rsidP="00C52120">
          <w:pPr>
            <w:spacing w:after="160" w:line="276" w:lineRule="auto"/>
            <w:ind w:firstLine="0"/>
            <w:jc w:val="right"/>
            <w:rPr>
              <w:rFonts w:eastAsia="Times New Roman"/>
              <w:sz w:val="24"/>
              <w:lang w:eastAsia="ru-RU"/>
            </w:rPr>
          </w:pPr>
        </w:p>
        <w:p w:rsidR="00C52120" w:rsidRPr="00C52120" w:rsidRDefault="00C52120" w:rsidP="00C52120">
          <w:pPr>
            <w:spacing w:before="240" w:after="60" w:line="276" w:lineRule="auto"/>
            <w:ind w:firstLine="0"/>
            <w:jc w:val="center"/>
            <w:outlineLvl w:val="0"/>
            <w:rPr>
              <w:rFonts w:eastAsia="Times New Roman"/>
              <w:bCs/>
              <w:kern w:val="28"/>
              <w:szCs w:val="28"/>
              <w:lang w:eastAsia="ru-RU"/>
            </w:rPr>
          </w:pPr>
          <w:r w:rsidRPr="00C52120">
            <w:rPr>
              <w:rFonts w:eastAsia="Times New Roman"/>
              <w:bCs/>
              <w:kern w:val="28"/>
              <w:szCs w:val="28"/>
              <w:lang w:eastAsia="ru-RU"/>
            </w:rPr>
            <w:t>КУРСОВАЯ РАБОТА</w:t>
          </w:r>
        </w:p>
        <w:p w:rsidR="00266C55" w:rsidRDefault="00C52120" w:rsidP="00266C55">
          <w:pPr>
            <w:tabs>
              <w:tab w:val="left" w:pos="6780"/>
            </w:tabs>
            <w:spacing w:line="240" w:lineRule="auto"/>
            <w:ind w:firstLine="0"/>
            <w:jc w:val="center"/>
          </w:pPr>
          <w:r w:rsidRPr="00C52120">
            <w:rPr>
              <w:rFonts w:eastAsia="Times New Roman"/>
              <w:caps/>
              <w:sz w:val="24"/>
              <w:szCs w:val="28"/>
              <w:lang w:eastAsia="ru-RU"/>
            </w:rPr>
            <w:t xml:space="preserve">Тема: </w:t>
          </w:r>
          <w:r w:rsidR="00266C55" w:rsidRPr="00266C55">
            <w:t xml:space="preserve">ЕККЛЕСИАСТ И ЛИТЕРАТУРА МУДРОСТИ </w:t>
          </w:r>
        </w:p>
        <w:p w:rsidR="00C52120" w:rsidRPr="00C52120" w:rsidRDefault="00266C55" w:rsidP="00266C55">
          <w:pPr>
            <w:tabs>
              <w:tab w:val="left" w:pos="6780"/>
            </w:tabs>
            <w:spacing w:line="240" w:lineRule="auto"/>
            <w:ind w:firstLine="0"/>
            <w:jc w:val="center"/>
            <w:rPr>
              <w:rFonts w:eastAsia="Times New Roman"/>
              <w:caps/>
              <w:sz w:val="24"/>
              <w:szCs w:val="28"/>
              <w:vertAlign w:val="superscript"/>
              <w:lang w:eastAsia="ru-RU"/>
            </w:rPr>
          </w:pPr>
          <w:r w:rsidRPr="00266C55">
            <w:t>ДРЕВНЕГО ЕГИ</w:t>
          </w:r>
          <w:r w:rsidRPr="00266C55">
            <w:t>П</w:t>
          </w:r>
          <w:r w:rsidRPr="00266C55">
            <w:t>ТА</w:t>
          </w:r>
        </w:p>
        <w:p w:rsidR="00C52120" w:rsidRPr="00C52120" w:rsidRDefault="00C52120" w:rsidP="00C52120">
          <w:pPr>
            <w:spacing w:line="240" w:lineRule="auto"/>
            <w:ind w:firstLine="0"/>
            <w:jc w:val="center"/>
            <w:rPr>
              <w:rFonts w:eastAsia="Times New Roman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0"/>
            <w:jc w:val="center"/>
            <w:rPr>
              <w:rFonts w:eastAsia="Times New Roman"/>
              <w:sz w:val="24"/>
              <w:lang w:eastAsia="ru-RU"/>
            </w:rPr>
          </w:pPr>
        </w:p>
        <w:p w:rsidR="00C52120" w:rsidRPr="00C52120" w:rsidRDefault="00C52120" w:rsidP="00C52120">
          <w:pPr>
            <w:spacing w:after="160" w:line="276" w:lineRule="auto"/>
            <w:ind w:firstLine="0"/>
            <w:jc w:val="left"/>
            <w:rPr>
              <w:rFonts w:eastAsia="Times New Roman"/>
              <w:bCs/>
              <w:sz w:val="36"/>
              <w:szCs w:val="36"/>
              <w:lang w:eastAsia="ru-RU"/>
            </w:rPr>
          </w:pPr>
        </w:p>
        <w:p w:rsidR="00C52120" w:rsidRPr="00C52120" w:rsidRDefault="00C52120" w:rsidP="00C52120">
          <w:pPr>
            <w:shd w:val="clear" w:color="auto" w:fill="FFFFFF"/>
            <w:spacing w:line="240" w:lineRule="auto"/>
            <w:ind w:firstLine="0"/>
            <w:jc w:val="left"/>
            <w:rPr>
              <w:rFonts w:eastAsia="Times New Roman"/>
              <w:color w:val="292929"/>
              <w:sz w:val="24"/>
              <w:lang w:eastAsia="ru-RU"/>
            </w:rPr>
          </w:pPr>
          <w:r w:rsidRPr="00C52120">
            <w:rPr>
              <w:rFonts w:eastAsia="Times New Roman"/>
              <w:bCs/>
              <w:sz w:val="24"/>
              <w:lang w:eastAsia="ru-RU"/>
            </w:rPr>
            <w:t>Основная образовательная программа</w:t>
          </w:r>
          <w:r w:rsidRPr="00C52120">
            <w:rPr>
              <w:rFonts w:eastAsia="Times New Roman"/>
              <w:color w:val="292929"/>
              <w:sz w:val="24"/>
              <w:lang w:eastAsia="ru-RU"/>
            </w:rPr>
            <w:t>:</w:t>
          </w:r>
        </w:p>
        <w:p w:rsidR="00C52120" w:rsidRPr="00C52120" w:rsidRDefault="00C52120" w:rsidP="00C52120">
          <w:pPr>
            <w:shd w:val="clear" w:color="auto" w:fill="FFFFFF"/>
            <w:spacing w:line="240" w:lineRule="auto"/>
            <w:ind w:firstLine="0"/>
            <w:jc w:val="left"/>
            <w:rPr>
              <w:rFonts w:eastAsia="Times New Roman"/>
              <w:color w:val="292929"/>
              <w:sz w:val="24"/>
              <w:lang w:eastAsia="ru-RU"/>
            </w:rPr>
          </w:pPr>
          <w:r w:rsidRPr="00C52120">
            <w:rPr>
              <w:rFonts w:eastAsia="Times New Roman"/>
              <w:color w:val="292929"/>
              <w:sz w:val="24"/>
              <w:lang w:eastAsia="ru-RU"/>
            </w:rPr>
            <w:t xml:space="preserve">«Подготовка служителей и </w:t>
          </w:r>
          <w:proofErr w:type="gramStart"/>
          <w:r w:rsidRPr="00C52120">
            <w:rPr>
              <w:rFonts w:eastAsia="Times New Roman"/>
              <w:color w:val="292929"/>
              <w:sz w:val="24"/>
              <w:lang w:eastAsia="ru-RU"/>
            </w:rPr>
            <w:t>религиозного</w:t>
          </w:r>
          <w:proofErr w:type="gramEnd"/>
        </w:p>
        <w:p w:rsidR="00C52120" w:rsidRPr="00C52120" w:rsidRDefault="00C52120" w:rsidP="00C52120">
          <w:pPr>
            <w:shd w:val="clear" w:color="auto" w:fill="FFFFFF"/>
            <w:spacing w:line="240" w:lineRule="auto"/>
            <w:ind w:firstLine="0"/>
            <w:jc w:val="left"/>
            <w:rPr>
              <w:rFonts w:eastAsia="Times New Roman"/>
              <w:color w:val="292929"/>
              <w:sz w:val="24"/>
              <w:lang w:eastAsia="ru-RU"/>
            </w:rPr>
          </w:pPr>
          <w:r w:rsidRPr="00C52120">
            <w:rPr>
              <w:rFonts w:eastAsia="Times New Roman"/>
              <w:color w:val="292929"/>
              <w:sz w:val="24"/>
              <w:lang w:eastAsia="ru-RU"/>
            </w:rPr>
            <w:t>персонала религиозных организаций»</w:t>
          </w:r>
        </w:p>
        <w:p w:rsidR="00C52120" w:rsidRPr="00C52120" w:rsidRDefault="00C52120" w:rsidP="00C52120">
          <w:pPr>
            <w:spacing w:after="160" w:line="276" w:lineRule="auto"/>
            <w:ind w:firstLine="0"/>
            <w:jc w:val="center"/>
            <w:rPr>
              <w:rFonts w:eastAsia="Times New Roman"/>
              <w:sz w:val="22"/>
              <w:szCs w:val="28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left="5206" w:firstLine="0"/>
            <w:jc w:val="left"/>
            <w:rPr>
              <w:rFonts w:eastAsia="Times New Roman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left="5206" w:firstLine="0"/>
            <w:jc w:val="left"/>
            <w:rPr>
              <w:rFonts w:eastAsia="Times New Roman"/>
              <w:sz w:val="24"/>
              <w:lang w:eastAsia="ru-RU"/>
            </w:rPr>
          </w:pPr>
          <w:r w:rsidRPr="00C52120">
            <w:rPr>
              <w:rFonts w:eastAsia="Times New Roman"/>
              <w:sz w:val="24"/>
              <w:lang w:eastAsia="ru-RU"/>
            </w:rPr>
            <w:t xml:space="preserve">Выполнил: иерей </w:t>
          </w:r>
          <w:r>
            <w:rPr>
              <w:rFonts w:eastAsia="Times New Roman"/>
              <w:sz w:val="24"/>
              <w:lang w:eastAsia="ru-RU"/>
            </w:rPr>
            <w:t>Дмитрий Иванов</w:t>
          </w:r>
        </w:p>
        <w:p w:rsidR="00C52120" w:rsidRPr="00C52120" w:rsidRDefault="00C52120" w:rsidP="00C52120">
          <w:pPr>
            <w:spacing w:line="240" w:lineRule="auto"/>
            <w:ind w:left="5206" w:firstLine="0"/>
            <w:jc w:val="left"/>
            <w:rPr>
              <w:rFonts w:eastAsia="Times New Roman"/>
              <w:sz w:val="24"/>
              <w:lang w:eastAsia="ru-RU"/>
            </w:rPr>
          </w:pPr>
          <w:r w:rsidRPr="00C52120">
            <w:rPr>
              <w:rFonts w:eastAsia="Times New Roman"/>
              <w:sz w:val="24"/>
              <w:lang w:eastAsia="ru-RU"/>
            </w:rPr>
            <w:t>студент 5 курса СЗО</w:t>
          </w:r>
        </w:p>
        <w:p w:rsidR="00C52120" w:rsidRPr="00C52120" w:rsidRDefault="00C52120" w:rsidP="00C52120">
          <w:pPr>
            <w:spacing w:line="240" w:lineRule="auto"/>
            <w:ind w:left="2832" w:firstLine="0"/>
            <w:jc w:val="left"/>
            <w:rPr>
              <w:rFonts w:eastAsia="Times New Roman"/>
              <w:sz w:val="24"/>
              <w:lang w:eastAsia="ru-RU"/>
            </w:rPr>
          </w:pPr>
          <w:r w:rsidRPr="00C52120">
            <w:rPr>
              <w:rFonts w:eastAsia="Times New Roman"/>
              <w:sz w:val="24"/>
              <w:lang w:eastAsia="ru-RU"/>
            </w:rPr>
            <w:tab/>
          </w:r>
          <w:r w:rsidRPr="00C52120">
            <w:rPr>
              <w:rFonts w:eastAsia="Times New Roman"/>
              <w:sz w:val="24"/>
              <w:lang w:eastAsia="ru-RU"/>
            </w:rPr>
            <w:tab/>
          </w:r>
          <w:r w:rsidRPr="00C52120">
            <w:rPr>
              <w:rFonts w:eastAsia="Times New Roman"/>
              <w:sz w:val="24"/>
              <w:lang w:eastAsia="ru-RU"/>
            </w:rPr>
            <w:tab/>
          </w:r>
          <w:r w:rsidRPr="00C52120">
            <w:rPr>
              <w:rFonts w:eastAsia="Times New Roman"/>
              <w:sz w:val="24"/>
              <w:lang w:eastAsia="ru-RU"/>
            </w:rPr>
            <w:tab/>
            <w:t>________________</w:t>
          </w:r>
        </w:p>
        <w:p w:rsidR="00C52120" w:rsidRPr="00C52120" w:rsidRDefault="00C52120" w:rsidP="00C52120">
          <w:pPr>
            <w:spacing w:line="240" w:lineRule="auto"/>
            <w:ind w:left="2832" w:firstLine="0"/>
            <w:jc w:val="left"/>
            <w:rPr>
              <w:rFonts w:eastAsia="Times New Roman"/>
              <w:i/>
              <w:sz w:val="20"/>
              <w:szCs w:val="20"/>
              <w:lang w:eastAsia="ru-RU"/>
            </w:rPr>
          </w:pPr>
          <w:r w:rsidRPr="00C52120">
            <w:rPr>
              <w:rFonts w:eastAsia="Times New Roman"/>
              <w:sz w:val="24"/>
              <w:lang w:eastAsia="ru-RU"/>
            </w:rPr>
            <w:tab/>
          </w:r>
          <w:r w:rsidRPr="00C52120">
            <w:rPr>
              <w:rFonts w:eastAsia="Times New Roman"/>
              <w:sz w:val="24"/>
              <w:lang w:eastAsia="ru-RU"/>
            </w:rPr>
            <w:tab/>
          </w:r>
          <w:r w:rsidRPr="00C52120">
            <w:rPr>
              <w:rFonts w:eastAsia="Times New Roman"/>
              <w:sz w:val="24"/>
              <w:lang w:eastAsia="ru-RU"/>
            </w:rPr>
            <w:tab/>
            <w:t xml:space="preserve">              </w:t>
          </w:r>
          <w:r w:rsidRPr="00C52120">
            <w:rPr>
              <w:rFonts w:eastAsia="Times New Roman"/>
              <w:i/>
              <w:sz w:val="20"/>
              <w:szCs w:val="20"/>
              <w:lang w:eastAsia="ru-RU"/>
            </w:rPr>
            <w:t>Подпись студента</w:t>
          </w:r>
        </w:p>
        <w:p w:rsidR="00C52120" w:rsidRPr="00C52120" w:rsidRDefault="00C52120" w:rsidP="00C52120">
          <w:pPr>
            <w:spacing w:line="240" w:lineRule="auto"/>
            <w:ind w:left="5196" w:firstLine="0"/>
            <w:jc w:val="left"/>
            <w:rPr>
              <w:rFonts w:eastAsia="Times New Roman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left="5196" w:firstLine="0"/>
            <w:jc w:val="left"/>
            <w:rPr>
              <w:rFonts w:eastAsia="Times New Roman"/>
              <w:sz w:val="24"/>
              <w:lang w:eastAsia="ru-RU"/>
            </w:rPr>
          </w:pPr>
          <w:r w:rsidRPr="00C52120">
            <w:rPr>
              <w:rFonts w:eastAsia="Times New Roman"/>
              <w:sz w:val="24"/>
              <w:lang w:eastAsia="ru-RU"/>
            </w:rPr>
            <w:t xml:space="preserve">Научный руководитель:  </w:t>
          </w:r>
        </w:p>
        <w:p w:rsidR="00C52120" w:rsidRPr="00C52120" w:rsidRDefault="00C52120" w:rsidP="00C52120">
          <w:pPr>
            <w:spacing w:line="240" w:lineRule="auto"/>
            <w:ind w:left="4488" w:firstLine="708"/>
            <w:jc w:val="left"/>
            <w:rPr>
              <w:rFonts w:eastAsia="Times New Roman"/>
              <w:sz w:val="20"/>
              <w:szCs w:val="20"/>
              <w:vertAlign w:val="superscript"/>
              <w:lang w:eastAsia="ru-RU"/>
            </w:rPr>
          </w:pPr>
          <w:r>
            <w:rPr>
              <w:rFonts w:eastAsia="Times New Roman"/>
              <w:sz w:val="24"/>
              <w:lang w:eastAsia="ru-RU"/>
            </w:rPr>
            <w:t>прото</w:t>
          </w:r>
          <w:r w:rsidRPr="00C52120">
            <w:rPr>
              <w:rFonts w:eastAsia="Times New Roman"/>
              <w:sz w:val="24"/>
              <w:lang w:eastAsia="ru-RU"/>
            </w:rPr>
            <w:t xml:space="preserve">иерей </w:t>
          </w:r>
          <w:r>
            <w:rPr>
              <w:rFonts w:eastAsia="Times New Roman"/>
              <w:sz w:val="24"/>
              <w:lang w:eastAsia="ru-RU"/>
            </w:rPr>
            <w:t>Александр Классен</w:t>
          </w:r>
        </w:p>
        <w:p w:rsidR="00C52120" w:rsidRPr="00C52120" w:rsidRDefault="00C52120" w:rsidP="00C52120">
          <w:pPr>
            <w:spacing w:line="240" w:lineRule="auto"/>
            <w:ind w:left="4488" w:firstLine="708"/>
            <w:jc w:val="left"/>
            <w:rPr>
              <w:rFonts w:eastAsia="Times New Roman"/>
              <w:sz w:val="20"/>
              <w:szCs w:val="20"/>
              <w:vertAlign w:val="superscript"/>
              <w:lang w:eastAsia="ru-RU"/>
            </w:rPr>
          </w:pPr>
          <w:r w:rsidRPr="00C52120">
            <w:rPr>
              <w:rFonts w:eastAsia="Times New Roman"/>
              <w:sz w:val="20"/>
              <w:szCs w:val="20"/>
              <w:vertAlign w:val="superscript"/>
              <w:lang w:eastAsia="ru-RU"/>
            </w:rPr>
            <w:t xml:space="preserve"> (сан, Ф.И.О</w:t>
          </w:r>
          <w:proofErr w:type="gramStart"/>
          <w:r w:rsidRPr="00C52120">
            <w:rPr>
              <w:rFonts w:eastAsia="Times New Roman"/>
              <w:sz w:val="20"/>
              <w:szCs w:val="20"/>
              <w:vertAlign w:val="superscript"/>
              <w:lang w:eastAsia="ru-RU"/>
            </w:rPr>
            <w:t xml:space="preserve"> )</w:t>
          </w:r>
          <w:proofErr w:type="gramEnd"/>
        </w:p>
        <w:p w:rsidR="00C52120" w:rsidRPr="00C52120" w:rsidRDefault="00C52120" w:rsidP="00C52120">
          <w:pPr>
            <w:spacing w:line="240" w:lineRule="auto"/>
            <w:ind w:left="5196" w:firstLine="0"/>
            <w:jc w:val="left"/>
            <w:rPr>
              <w:rFonts w:eastAsia="Times New Roman"/>
              <w:sz w:val="24"/>
              <w:lang w:eastAsia="ru-RU"/>
            </w:rPr>
          </w:pPr>
          <w:r w:rsidRPr="00C52120">
            <w:rPr>
              <w:rFonts w:eastAsia="Times New Roman"/>
              <w:sz w:val="24"/>
              <w:lang w:eastAsia="ru-RU"/>
            </w:rPr>
            <w:tab/>
          </w:r>
          <w:r w:rsidRPr="00C52120">
            <w:rPr>
              <w:rFonts w:eastAsia="Times New Roman"/>
              <w:sz w:val="24"/>
              <w:lang w:eastAsia="ru-RU"/>
            </w:rPr>
            <w:tab/>
            <w:t>_________________</w:t>
          </w:r>
          <w:r w:rsidRPr="00C52120">
            <w:rPr>
              <w:rFonts w:eastAsia="Times New Roman"/>
              <w:sz w:val="24"/>
              <w:lang w:eastAsia="ru-RU"/>
            </w:rPr>
            <w:tab/>
          </w:r>
        </w:p>
        <w:p w:rsidR="00C52120" w:rsidRPr="00C52120" w:rsidRDefault="00C52120" w:rsidP="00C52120">
          <w:pPr>
            <w:spacing w:line="240" w:lineRule="auto"/>
            <w:ind w:left="2832" w:firstLine="0"/>
            <w:jc w:val="left"/>
            <w:rPr>
              <w:rFonts w:eastAsia="Times New Roman"/>
              <w:i/>
              <w:sz w:val="20"/>
              <w:szCs w:val="20"/>
              <w:lang w:eastAsia="ru-RU"/>
            </w:rPr>
          </w:pPr>
          <w:r w:rsidRPr="00C52120">
            <w:rPr>
              <w:rFonts w:eastAsia="Times New Roman"/>
              <w:sz w:val="24"/>
              <w:lang w:eastAsia="ru-RU"/>
            </w:rPr>
            <w:tab/>
            <w:t xml:space="preserve">                                                </w:t>
          </w:r>
          <w:r w:rsidRPr="00C52120">
            <w:rPr>
              <w:rFonts w:eastAsia="Times New Roman"/>
              <w:i/>
              <w:sz w:val="20"/>
              <w:szCs w:val="20"/>
              <w:lang w:eastAsia="ru-RU"/>
            </w:rPr>
            <w:t>Подпись руководителя</w:t>
          </w:r>
        </w:p>
        <w:p w:rsidR="00C52120" w:rsidRPr="00C52120" w:rsidRDefault="00C52120" w:rsidP="00C52120">
          <w:pPr>
            <w:shd w:val="clear" w:color="auto" w:fill="FFFFFF"/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hd w:val="clear" w:color="auto" w:fill="FFFFFF"/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hd w:val="clear" w:color="auto" w:fill="FFFFFF"/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i/>
              <w:sz w:val="22"/>
              <w:lang w:eastAsia="ru-RU"/>
            </w:rPr>
          </w:pPr>
        </w:p>
        <w:p w:rsidR="00C52120" w:rsidRDefault="00C52120" w:rsidP="00C52120">
          <w:pPr>
            <w:spacing w:line="240" w:lineRule="auto"/>
            <w:ind w:firstLine="0"/>
            <w:jc w:val="center"/>
            <w:rPr>
              <w:rFonts w:eastAsia="Times New Roman"/>
              <w:sz w:val="22"/>
              <w:szCs w:val="28"/>
              <w:lang w:eastAsia="ru-RU"/>
            </w:rPr>
          </w:pPr>
          <w:r w:rsidRPr="00C52120">
            <w:rPr>
              <w:rFonts w:eastAsia="Times New Roman"/>
              <w:sz w:val="22"/>
              <w:szCs w:val="28"/>
              <w:lang w:eastAsia="ru-RU"/>
            </w:rPr>
            <w:t>ТОМСК – 2021</w:t>
          </w:r>
        </w:p>
        <w:p w:rsidR="00C52120" w:rsidRDefault="00C52120">
          <w:pPr>
            <w:spacing w:line="240" w:lineRule="auto"/>
            <w:ind w:firstLine="0"/>
            <w:jc w:val="left"/>
            <w:rPr>
              <w:rFonts w:eastAsia="Times New Roman"/>
              <w:sz w:val="22"/>
              <w:szCs w:val="28"/>
              <w:lang w:eastAsia="ru-RU"/>
            </w:rPr>
          </w:pPr>
          <w:r>
            <w:rPr>
              <w:rFonts w:eastAsia="Times New Roman"/>
              <w:sz w:val="22"/>
              <w:szCs w:val="28"/>
              <w:lang w:eastAsia="ru-RU"/>
            </w:rPr>
            <w:br w:type="page"/>
          </w:r>
        </w:p>
      </w:sdtContent>
    </w:sdt>
    <w:p w:rsidR="00266C55" w:rsidRDefault="00266C55" w:rsidP="00266C55">
      <w:pPr>
        <w:pStyle w:val="1"/>
        <w:rPr>
          <w:lang w:val="en-US"/>
        </w:rPr>
      </w:pPr>
      <w:r>
        <w:lastRenderedPageBreak/>
        <w:t>ВВЕДЕНИЕ</w:t>
      </w:r>
    </w:p>
    <w:p w:rsidR="00303722" w:rsidRPr="00303722" w:rsidRDefault="00303722" w:rsidP="00303722">
      <w:pPr>
        <w:rPr>
          <w:lang w:val="en-US"/>
        </w:rPr>
      </w:pPr>
    </w:p>
    <w:p w:rsidR="00303722" w:rsidRPr="00303722" w:rsidRDefault="00303722" w:rsidP="00303722">
      <w:pPr>
        <w:jc w:val="right"/>
      </w:pPr>
      <w:r w:rsidRPr="00303722">
        <w:t>«Благословен народ Мой – египтяне» (</w:t>
      </w:r>
      <w:proofErr w:type="spellStart"/>
      <w:r>
        <w:t>Ис</w:t>
      </w:r>
      <w:proofErr w:type="spellEnd"/>
      <w:r>
        <w:t>. 19:25</w:t>
      </w:r>
      <w:r w:rsidRPr="00303722">
        <w:t>)[</w:t>
      </w:r>
      <w:r w:rsidRPr="00F50AAF">
        <w:rPr>
          <w:rStyle w:val="afc"/>
          <w:vertAlign w:val="baseline"/>
        </w:rPr>
        <w:endnoteReference w:id="1"/>
      </w:r>
      <w:r w:rsidRPr="00303722">
        <w:t>]</w:t>
      </w:r>
    </w:p>
    <w:p w:rsidR="00303722" w:rsidRPr="00303722" w:rsidRDefault="00303722" w:rsidP="00303722">
      <w:pPr>
        <w:jc w:val="right"/>
      </w:pPr>
    </w:p>
    <w:p w:rsidR="00266C55" w:rsidRDefault="00266C55" w:rsidP="00266C55">
      <w:r w:rsidRPr="00E30AF3">
        <w:t>Научное издание литературных памятников Египта началось только в конце XIX века, поэтому египетский материал начал активно использ</w:t>
      </w:r>
      <w:r w:rsidRPr="00E30AF3">
        <w:t>о</w:t>
      </w:r>
      <w:r w:rsidRPr="00E30AF3">
        <w:t>ваться в исследованиях XX века, или в Новейшее время</w:t>
      </w:r>
      <w:proofErr w:type="gramStart"/>
      <w:r w:rsidR="00F50AAF" w:rsidRPr="00F50AAF">
        <w:t xml:space="preserve"> </w:t>
      </w:r>
      <w:r w:rsidR="00F50AAF">
        <w:t>[</w:t>
      </w:r>
      <w:r w:rsidR="00F50AAF" w:rsidRPr="00B23B1A">
        <w:rPr>
          <w:rStyle w:val="afc"/>
          <w:vertAlign w:val="baseline"/>
        </w:rPr>
        <w:endnoteReference w:id="2"/>
      </w:r>
      <w:r w:rsidR="00F50AAF">
        <w:t>]</w:t>
      </w:r>
      <w:r w:rsidRPr="00E30AF3">
        <w:t xml:space="preserve">. </w:t>
      </w:r>
      <w:proofErr w:type="gramEnd"/>
      <w:r w:rsidRPr="00E30AF3">
        <w:t>Открытые п</w:t>
      </w:r>
      <w:r w:rsidRPr="00E30AF3">
        <w:t>а</w:t>
      </w:r>
      <w:r w:rsidRPr="00E30AF3">
        <w:t>раллели начали вызывать сомнения в богодухновенности библейского те</w:t>
      </w:r>
      <w:r w:rsidRPr="00E30AF3">
        <w:t>к</w:t>
      </w:r>
      <w:r w:rsidRPr="00E30AF3">
        <w:t>ста. В современных комментариях неизменно упоминаются и учитываются п</w:t>
      </w:r>
      <w:r w:rsidRPr="00E30AF3">
        <w:t>а</w:t>
      </w:r>
      <w:r w:rsidRPr="00E30AF3">
        <w:t xml:space="preserve">раллели между Книгой </w:t>
      </w:r>
      <w:r>
        <w:t>Екклесиаст</w:t>
      </w:r>
      <w:r w:rsidRPr="00E30AF3">
        <w:t>а и культурным наследием древних народов – греков, египтян, жителей Месопотамии и Восточного Средизе</w:t>
      </w:r>
      <w:r w:rsidRPr="00E30AF3">
        <w:t>м</w:t>
      </w:r>
      <w:r w:rsidRPr="00E30AF3">
        <w:t xml:space="preserve">номорья. Предпочтения в определении степени влияния того или иного народа отражаются на датировке книги. Наконец, Книга </w:t>
      </w:r>
      <w:r>
        <w:t>Екклесиаст</w:t>
      </w:r>
      <w:r w:rsidRPr="00E30AF3">
        <w:t>а стала изучаться в контексте межнациональной литературы мудрости. С серед</w:t>
      </w:r>
      <w:r w:rsidRPr="00E30AF3">
        <w:t>и</w:t>
      </w:r>
      <w:r w:rsidRPr="00E30AF3">
        <w:t xml:space="preserve">ны ХХ века издаются своды древних ближневосточных текстов, имеющих отношение к Ветхому Завету (издания Джеймса </w:t>
      </w:r>
      <w:proofErr w:type="spellStart"/>
      <w:r w:rsidRPr="00E30AF3">
        <w:t>Притчарда</w:t>
      </w:r>
      <w:proofErr w:type="spellEnd"/>
      <w:r w:rsidRPr="00E30AF3">
        <w:t xml:space="preserve"> 1950 г. и Уил</w:t>
      </w:r>
      <w:r w:rsidRPr="00E30AF3">
        <w:t>ь</w:t>
      </w:r>
      <w:r w:rsidRPr="00E30AF3">
        <w:t xml:space="preserve">яма </w:t>
      </w:r>
      <w:proofErr w:type="spellStart"/>
      <w:r w:rsidRPr="00E30AF3">
        <w:t>Халло</w:t>
      </w:r>
      <w:proofErr w:type="spellEnd"/>
      <w:r w:rsidRPr="00E30AF3">
        <w:t xml:space="preserve"> 2003 г.). Вместе с тем, ведутся исследования связи этой книги с другими библейскими книгами.</w:t>
      </w:r>
    </w:p>
    <w:p w:rsidR="00266C55" w:rsidRDefault="00266C55" w:rsidP="00266C55">
      <w:pPr>
        <w:pStyle w:val="1"/>
      </w:pPr>
      <w:bookmarkStart w:id="0" w:name="_Toc72499225"/>
      <w:bookmarkStart w:id="1" w:name="_Toc75260037"/>
      <w:r w:rsidRPr="00E30AF3">
        <w:t>ДРЕВНЕЕГИПЕТСКАЯ «ПЕ</w:t>
      </w:r>
      <w:r>
        <w:t>СНЬ АРФИСТА» И БИБЛЕЙСКАЯ КНИГ ЕККЛЕС</w:t>
      </w:r>
      <w:r>
        <w:t>И</w:t>
      </w:r>
      <w:r>
        <w:t>АСТ</w:t>
      </w:r>
      <w:r w:rsidRPr="00E30AF3">
        <w:t>А</w:t>
      </w:r>
      <w:bookmarkEnd w:id="0"/>
      <w:bookmarkEnd w:id="1"/>
    </w:p>
    <w:p w:rsidR="00266C55" w:rsidRDefault="00266C55" w:rsidP="00266C55">
      <w:r>
        <w:t>Проблема смерти является одной из центральных тем, поднимаемой книгой Екклесиаст. Ветхий Завет, вообще умалчивает о продолжении жи</w:t>
      </w:r>
      <w:r>
        <w:t>з</w:t>
      </w:r>
      <w:r>
        <w:t>ни после смерти и не дает никаких ритуальных установлений для нароч</w:t>
      </w:r>
      <w:r>
        <w:t>и</w:t>
      </w:r>
      <w:r>
        <w:t>того поминовения усопших, хотя, как свидетельствую археологические находки, все же был некий ритуал, связанный с кормлением мертвых. Хотя нельзя сказать, что это не было отклонением в язычество, в которое время от времени впадал древний Израиль.</w:t>
      </w:r>
    </w:p>
    <w:p w:rsidR="00266C55" w:rsidRDefault="00266C55" w:rsidP="00266C55">
      <w:r>
        <w:t>Центром внимания Ветхого Завета является жизнь. Вера же в воскр</w:t>
      </w:r>
      <w:r>
        <w:t>е</w:t>
      </w:r>
      <w:r>
        <w:t>сение и воздаяние за поступки в жизни по смерти</w:t>
      </w:r>
    </w:p>
    <w:p w:rsidR="00266C55" w:rsidRDefault="00266C55" w:rsidP="00266C55">
      <w:r>
        <w:lastRenderedPageBreak/>
        <w:t>«Песнь» и библейскую книгу объединяют общие темы, выражаемые в близких словах и выражениях. Это мысли о мимолетности и постоянной смене поколений на фоне постоянного круговращения солнца, о неотвр</w:t>
      </w:r>
      <w:r>
        <w:t>а</w:t>
      </w:r>
      <w:r>
        <w:t>тимости смерти, невозможности возврата и неизвестности того, что ждет после смерти. Авторы обоих этих произведений осознают, что смерть о</w:t>
      </w:r>
      <w:r>
        <w:t>т</w:t>
      </w:r>
      <w:r>
        <w:t>нимает плоды трудов человека, поэтому человек в перспективе грядущей смерти должен жить в радости, жить полной жизнью, а также призывают совершать нравственные поступки, заботясь о добром имени. Кроме этих мыслей, два произведения объединяет и сходное употребление образа сердца для обозначения человека в целом или его волевых, эмоциональных или интеллектуальных проявлений.</w:t>
      </w:r>
    </w:p>
    <w:p w:rsidR="00266C55" w:rsidRDefault="00266C55" w:rsidP="00266C55">
      <w:r>
        <w:t>Вместе с тем, эти памятники в рамках своих традиций выполняют различные функции. Египетский текст, вспоминая смерть, делает основной акцент на жизни человека, видя смысл жизни не только в подготовке к з</w:t>
      </w:r>
      <w:r>
        <w:t>а</w:t>
      </w:r>
      <w:r>
        <w:t>гробному миру, но в самой жизни человека. Библейская книга, не отрицая ценности жизни, делает основной акцент на смерти, поднимает проблему смерти, проблему, которая не получила в ветхозаветной библейской лит</w:t>
      </w:r>
      <w:r>
        <w:t>е</w:t>
      </w:r>
      <w:r>
        <w:t>ратуре должного рассмотрения, но которая сама по себе пробуждает жа</w:t>
      </w:r>
      <w:r>
        <w:t>ж</w:t>
      </w:r>
      <w:r>
        <w:t>ду вечной жизни.</w:t>
      </w:r>
    </w:p>
    <w:p w:rsidR="00266C55" w:rsidRDefault="00266C55" w:rsidP="00266C55">
      <w:pPr>
        <w:pStyle w:val="1"/>
      </w:pPr>
      <w:bookmarkStart w:id="2" w:name="_Toc72499226"/>
      <w:bookmarkStart w:id="3" w:name="_Toc75260038"/>
      <w:r w:rsidRPr="00FA6152">
        <w:t>«РАЗГОВОР РАЗОЧА</w:t>
      </w:r>
      <w:r>
        <w:t>РОВАННОГО СО СВОИМ БА» И</w:t>
      </w:r>
      <w:r w:rsidRPr="00FA6152">
        <w:t xml:space="preserve"> КНИГА </w:t>
      </w:r>
      <w:r>
        <w:t>ЕККЛЕСИАСТ</w:t>
      </w:r>
      <w:r w:rsidRPr="00FA6152">
        <w:t>А</w:t>
      </w:r>
      <w:bookmarkEnd w:id="2"/>
      <w:bookmarkEnd w:id="3"/>
    </w:p>
    <w:p w:rsidR="00266C55" w:rsidRDefault="00266C55" w:rsidP="00266C55">
      <w:r>
        <w:t>Разговор имеет четкую структуру, которая определяется и формой диалога. В нем описываются мысли человека, готовящегося к смерти и в</w:t>
      </w:r>
      <w:r>
        <w:t>е</w:t>
      </w:r>
      <w:r>
        <w:t>дущему  беседу об этом со своим</w:t>
      </w:r>
      <w:proofErr w:type="gramStart"/>
      <w:r>
        <w:t xml:space="preserve"> Б</w:t>
      </w:r>
      <w:proofErr w:type="gramEnd"/>
      <w:r>
        <w:t>а. В египетской мифологии</w:t>
      </w:r>
      <w:proofErr w:type="gramStart"/>
      <w:r>
        <w:t xml:space="preserve"> Б</w:t>
      </w:r>
      <w:proofErr w:type="gramEnd"/>
      <w:r>
        <w:t>а – это жизненная сущность человека, совокупность его чувств и эмоций.</w:t>
      </w:r>
    </w:p>
    <w:p w:rsidR="00266C55" w:rsidRDefault="00266C55" w:rsidP="00266C55">
      <w:r>
        <w:t>Разговор затрагивает проблему смысла человеческих страданий и его объединяет с книгой Екклесиаста, некоторая диалогичность повествов</w:t>
      </w:r>
      <w:r>
        <w:t>а</w:t>
      </w:r>
      <w:r>
        <w:t>ния, что близко к некоторым трактовкам библейской книги. Диалог чел</w:t>
      </w:r>
      <w:r>
        <w:t>о</w:t>
      </w:r>
      <w:r>
        <w:t>века со своим персонифицированным</w:t>
      </w:r>
      <w:proofErr w:type="gramStart"/>
      <w:r>
        <w:t xml:space="preserve"> Б</w:t>
      </w:r>
      <w:proofErr w:type="gramEnd"/>
      <w:r>
        <w:t xml:space="preserve">а напоминает диалог Екклесиаста </w:t>
      </w:r>
      <w:r>
        <w:lastRenderedPageBreak/>
        <w:t>со своим персонифицированным сердцем. При этом, образ</w:t>
      </w:r>
      <w:proofErr w:type="gramStart"/>
      <w:r>
        <w:t xml:space="preserve"> Б</w:t>
      </w:r>
      <w:proofErr w:type="gramEnd"/>
      <w:r>
        <w:t>а, как и образ сердца Екклесиаста, присутствует главным образом в начальной части те</w:t>
      </w:r>
      <w:r>
        <w:t>к</w:t>
      </w:r>
      <w:r>
        <w:t>ста. Оба автора одинаково используют термины «сердце» и «имя». В да</w:t>
      </w:r>
      <w:r>
        <w:t>н</w:t>
      </w:r>
      <w:r>
        <w:t>ном разделе анализируется проблема понимания египетской концепции</w:t>
      </w:r>
      <w:proofErr w:type="gramStart"/>
      <w:r>
        <w:t xml:space="preserve"> Б</w:t>
      </w:r>
      <w:proofErr w:type="gramEnd"/>
      <w:r>
        <w:t>а. В ходе диалога египетский автор положительно оценивает позицию</w:t>
      </w:r>
      <w:proofErr w:type="gramStart"/>
      <w:r>
        <w:t xml:space="preserve"> Б</w:t>
      </w:r>
      <w:proofErr w:type="gramEnd"/>
      <w:r>
        <w:t>а, а библейский – позицию сердца. Сопоставление двух памятников дополн</w:t>
      </w:r>
      <w:r>
        <w:t>и</w:t>
      </w:r>
      <w:r>
        <w:t xml:space="preserve">тельно убеждает в диалогичном характере текста библейской книги. Об этом говорит, по мнению Р. </w:t>
      </w:r>
      <w:proofErr w:type="spellStart"/>
      <w:r>
        <w:t>Холмстеда</w:t>
      </w:r>
      <w:proofErr w:type="spellEnd"/>
      <w:r>
        <w:t>, и особенность синтаксиса Книги Екклесиаста – использование личного местоимения первого лица с личн</w:t>
      </w:r>
      <w:r>
        <w:t>ы</w:t>
      </w:r>
      <w:r>
        <w:t>ми глаголами в первом лице в сочетании с термином «сердце».</w:t>
      </w:r>
    </w:p>
    <w:p w:rsidR="00266C55" w:rsidRDefault="00266C55" w:rsidP="00266C55">
      <w:r>
        <w:t>В речах Человека из «Разговора» и Екклесиаста поднимаются общие темы: разочарованность в жизни от ее скоротечности и мимолетности, от недовольства жизненными невзгодами и несправедливостью. Высказыв</w:t>
      </w:r>
      <w:r>
        <w:t>а</w:t>
      </w:r>
      <w:r>
        <w:t>ется мысль о превосходстве смерти над жизнью, при этом в общих рамках египетского текста мысль о смерти не является страшной и пугающей, а в общих религиозных представлениях Екклесиаста смерть кажется пуга</w:t>
      </w:r>
      <w:r>
        <w:t>ю</w:t>
      </w:r>
      <w:r>
        <w:t>щей перспективой. Образ имени (как обозначения человека в целом) св</w:t>
      </w:r>
      <w:r>
        <w:t>я</w:t>
      </w:r>
      <w:r>
        <w:t>зывается с запахами: в «Разговоре» – со зловонием, в библейской книге – с ароматом. Высказывается общая надежда на божественный суд.</w:t>
      </w:r>
    </w:p>
    <w:p w:rsidR="00266C55" w:rsidRDefault="00266C55" w:rsidP="00266C55">
      <w:r>
        <w:t>В речах</w:t>
      </w:r>
      <w:proofErr w:type="gramStart"/>
      <w:r>
        <w:t xml:space="preserve"> Б</w:t>
      </w:r>
      <w:proofErr w:type="gramEnd"/>
      <w:r>
        <w:t>а и словах из библейской книги сходно говорится о нео</w:t>
      </w:r>
      <w:r>
        <w:t>б</w:t>
      </w:r>
      <w:r>
        <w:t>ходимость бережного отношения к жизни, сходно изображается смерть как трагедия (впрочем, для Ба смерть в целом не является трагедией), сходно описываются бедствия, содержится общий призыв наслаждаться этой жи</w:t>
      </w:r>
      <w:r>
        <w:t>з</w:t>
      </w:r>
      <w:r>
        <w:t xml:space="preserve">нью и не обременять себя тяжелыми мыслями, одинаково утверждается превосходство жизни над смертью, имеется призыв </w:t>
      </w:r>
      <w:proofErr w:type="spellStart"/>
      <w:r>
        <w:t>назидаться</w:t>
      </w:r>
      <w:proofErr w:type="spellEnd"/>
      <w:r>
        <w:t xml:space="preserve"> через сл</w:t>
      </w:r>
      <w:r>
        <w:t>у</w:t>
      </w:r>
      <w:r>
        <w:t>шание. Оба памятника критикуют некоторые представления, которые я</w:t>
      </w:r>
      <w:r>
        <w:t>в</w:t>
      </w:r>
      <w:r>
        <w:t>лялись традиционными для египетской культуры и библейского поним</w:t>
      </w:r>
      <w:r>
        <w:t>а</w:t>
      </w:r>
      <w:r>
        <w:t xml:space="preserve">ния мира. Впрочем, сами эти представления различаются. В египетском тексте отражена критика чрезмерного внимания к заупокойному ритуалу. В библейском тексте опровергается устоявшееся мнение о связи между </w:t>
      </w:r>
      <w:r>
        <w:lastRenderedPageBreak/>
        <w:t>праведностью и успехом в жизни (в этой связи дается совет не быть чре</w:t>
      </w:r>
      <w:r>
        <w:t>з</w:t>
      </w:r>
      <w:r>
        <w:t>мерно праведным, но все же бояться Бога и соблюдать Его заповеди, по</w:t>
      </w:r>
      <w:r>
        <w:t>м</w:t>
      </w:r>
      <w:r>
        <w:t>ня о Его суде); высказывается сомнение в авторитетности заповеди о труде (однако этому сомнению противопоставляется убежденность в том, что человек должен трудиться, быть деятельным, активным, а Бог может дар</w:t>
      </w:r>
      <w:r>
        <w:t>о</w:t>
      </w:r>
      <w:r>
        <w:t>вать человеку радость, удовольствие от этого труда); а также выражается сомнение в превосходстве человека над животными. Но особенно отличает эти произведения различный взгляд их авторов на посмертную перспект</w:t>
      </w:r>
      <w:r>
        <w:t>и</w:t>
      </w:r>
      <w:r>
        <w:t>ву. В Книге Екклесиаста таковая фактически отсутствует. В египетском тексте сомнений в блаженной жизни по ту сторону смерти нет, поэтому смерть сладка и чаема, и если она и описывается как печальное событие, то только для того, чтобы отвратить человека от преждевременного ухода из жизни.</w:t>
      </w:r>
    </w:p>
    <w:p w:rsidR="00266C55" w:rsidRDefault="00266C55" w:rsidP="00266C55">
      <w:r>
        <w:t>В Книге Екклесиаста тема смерти возникает в связи с проблемой п</w:t>
      </w:r>
      <w:r>
        <w:t>о</w:t>
      </w:r>
      <w:r>
        <w:t>иска смысла человеческой жизни и деятельности, с проблемой понимания места человека в огромном мире. Сомнения в особой значимости человека, в необходимости трудиться выражает в ней автор, производящий своео</w:t>
      </w:r>
      <w:r>
        <w:t>б</w:t>
      </w:r>
      <w:r>
        <w:t>разный эксперимент. Положительные ценности отстаивает в книге Сердце, которое, впрочем, позволяет себе усомниться в некоторых традиционных представлениях. Рассуждения о смысле жизни рождают жажду бессмертия и тем самым подготавливают Новозаветное Откровение.</w:t>
      </w:r>
    </w:p>
    <w:p w:rsidR="00266C55" w:rsidRDefault="00266C55" w:rsidP="00266C55">
      <w:r>
        <w:t>В «Разговоре» тема смерти возникает в связи с проблемой человеч</w:t>
      </w:r>
      <w:r>
        <w:t>е</w:t>
      </w:r>
      <w:r>
        <w:t>ских страданий. При этом Человек не сомневается в общепринятых ист</w:t>
      </w:r>
      <w:r>
        <w:t>и</w:t>
      </w:r>
      <w:r>
        <w:t>нах. Для Человека Запад сладостнее этого мира, мира живых, для достиж</w:t>
      </w:r>
      <w:r>
        <w:t>е</w:t>
      </w:r>
      <w:r>
        <w:t>ния Запада он готов совершить все положенные действия – построить гробницу, обеспечить себе поминальные жертвы. Сомнения в необходим</w:t>
      </w:r>
      <w:r>
        <w:t>о</w:t>
      </w:r>
      <w:r>
        <w:t>сти этих действий выражает</w:t>
      </w:r>
      <w:proofErr w:type="gramStart"/>
      <w:r>
        <w:t xml:space="preserve"> Б</w:t>
      </w:r>
      <w:proofErr w:type="gramEnd"/>
      <w:r>
        <w:t>а человека. Сравнивать «Разговор» с Книгой Иова неправомерно, поскольку в нем не акцентируется тема страдания праведника и невинных страданий.</w:t>
      </w:r>
    </w:p>
    <w:p w:rsidR="00266C55" w:rsidRDefault="00266C55" w:rsidP="00266C55">
      <w:pPr>
        <w:pStyle w:val="1"/>
      </w:pPr>
      <w:bookmarkStart w:id="4" w:name="_Toc72499227"/>
      <w:bookmarkStart w:id="5" w:name="_Toc75260039"/>
      <w:r w:rsidRPr="00FA6152">
        <w:lastRenderedPageBreak/>
        <w:t>РАЗМЫШЛЕНИЯ ХАХАПЕРРАСЕНЕБА СО СВОИМ СЕР</w:t>
      </w:r>
      <w:r w:rsidRPr="00FA6152">
        <w:t>Д</w:t>
      </w:r>
      <w:r w:rsidRPr="00FA6152">
        <w:t>ЦЕМ»</w:t>
      </w:r>
      <w:r>
        <w:t xml:space="preserve"> И БИБЛЕЙСКАЯ КНИГА ЕККЛЕСИАСТА</w:t>
      </w:r>
      <w:bookmarkEnd w:id="4"/>
      <w:bookmarkEnd w:id="5"/>
    </w:p>
    <w:p w:rsidR="00266C55" w:rsidRDefault="00266C55" w:rsidP="00266C55">
      <w:r>
        <w:t>Тексты объединяет образ персонифицированного сердца и диалог, в который вступает автор с сердцем. Авторы обращаются к сердцу, но пр</w:t>
      </w:r>
      <w:r>
        <w:t>я</w:t>
      </w:r>
      <w:r>
        <w:t xml:space="preserve">мого ответа не получают (но о суждениях сердца можно догадываться в библейской книге). Пытливое сердце </w:t>
      </w:r>
      <w:proofErr w:type="spellStart"/>
      <w:r>
        <w:t>Хахаперрасенеба</w:t>
      </w:r>
      <w:proofErr w:type="spellEnd"/>
      <w:r>
        <w:t xml:space="preserve"> очень похоже на сердце Екклесиаста, которое тот также посвятил исследованиям. Оба авт</w:t>
      </w:r>
      <w:r>
        <w:t>о</w:t>
      </w:r>
      <w:r>
        <w:t>ра предстают исследователями, приобретающими познание через со</w:t>
      </w:r>
      <w:r>
        <w:t>б</w:t>
      </w:r>
      <w:r>
        <w:t xml:space="preserve">ственный опыт и при участии сердца. </w:t>
      </w:r>
      <w:proofErr w:type="spellStart"/>
      <w:r>
        <w:t>Хахаперрасенеб</w:t>
      </w:r>
      <w:proofErr w:type="spellEnd"/>
      <w:r>
        <w:t xml:space="preserve"> стремился выск</w:t>
      </w:r>
      <w:r>
        <w:t>а</w:t>
      </w:r>
      <w:r>
        <w:t>зать нечто совершенно новое. Екклесиаст и вовсе проводит ряд экспер</w:t>
      </w:r>
      <w:r>
        <w:t>и</w:t>
      </w:r>
      <w:r>
        <w:t>ментов, высказывая сомнения в ряде традиционных ценностей. Как Еккл</w:t>
      </w:r>
      <w:r>
        <w:t>е</w:t>
      </w:r>
      <w:r>
        <w:t xml:space="preserve">сиаст в итоге отказался от скептицизма, так и египетский автор отказался от своего намерения стать новатором в слове, выразив </w:t>
      </w:r>
      <w:proofErr w:type="gramStart"/>
      <w:r>
        <w:t>общеизвестное</w:t>
      </w:r>
      <w:proofErr w:type="gramEnd"/>
      <w:r>
        <w:t xml:space="preserve"> стандартными выражениями. Мысль о невозможности высказать нечто с</w:t>
      </w:r>
      <w:r>
        <w:t>о</w:t>
      </w:r>
      <w:r>
        <w:t>вершенно новое, к которой подводится автором читатель «Размышлений», соответствует утверждению Екклесиаста, что в мире нет ничего нового, все уже было в прежние века. Эти мысли усиливают общее грустное настроение текстов.</w:t>
      </w:r>
    </w:p>
    <w:p w:rsidR="00266C55" w:rsidRDefault="00266C55" w:rsidP="00266C55">
      <w:r>
        <w:t>Надписание «Размышлений», характеризующее его содержание как «слова» и «избранные изречения», напоминает и надписание Книги Еккл</w:t>
      </w:r>
      <w:r>
        <w:t>е</w:t>
      </w:r>
      <w:r>
        <w:t xml:space="preserve">сиаста и сообщение ее заключения о том, что Екклесиаст упорядочил притчи и разыскивал красивые слова. В двух памятниках имеется </w:t>
      </w:r>
      <w:proofErr w:type="spellStart"/>
      <w:r>
        <w:t>сам</w:t>
      </w:r>
      <w:r>
        <w:t>о</w:t>
      </w:r>
      <w:r>
        <w:t>представление</w:t>
      </w:r>
      <w:proofErr w:type="spellEnd"/>
      <w:r>
        <w:t xml:space="preserve"> автора с именем, упоминанием рода деятельности и места пребывания.</w:t>
      </w:r>
    </w:p>
    <w:p w:rsidR="00266C55" w:rsidRDefault="00266C55" w:rsidP="00266C55">
      <w:r>
        <w:t>Очень близки описания бедствий, имеющиеся в обоих произведен</w:t>
      </w:r>
      <w:r>
        <w:t>и</w:t>
      </w:r>
      <w:r>
        <w:t>ях. Бедствия в «Размышлениях» связаны с чрезвычайными историческими обстоятельствами, имеют временный характер. Ранее такого не было. Бе</w:t>
      </w:r>
      <w:r>
        <w:t>д</w:t>
      </w:r>
      <w:r>
        <w:t>ствия, о которых говорит Екклесиаст, являются не временными, а постоя</w:t>
      </w:r>
      <w:r>
        <w:t>н</w:t>
      </w:r>
      <w:r>
        <w:t>ными, характерными для всех стран и народов (например, проблема ко</w:t>
      </w:r>
      <w:r>
        <w:t>р</w:t>
      </w:r>
      <w:r>
        <w:t>рупции). Прежние времена не были лучше этих: происходит то, что случ</w:t>
      </w:r>
      <w:r>
        <w:t>а</w:t>
      </w:r>
      <w:r>
        <w:lastRenderedPageBreak/>
        <w:t>лось и прежде. Все это было, есть и будет всегда. Возможно, что с такими же социальными катаклизмами связаны слова Екклесиаста о гибели бога</w:t>
      </w:r>
      <w:r>
        <w:t>т</w:t>
      </w:r>
      <w:r>
        <w:t>ства от несчастных случаев и о том, что богатством, собранным одним ч</w:t>
      </w:r>
      <w:r>
        <w:t>е</w:t>
      </w:r>
      <w:r>
        <w:t>ловеком, порой пользуется чужой. Но этот пессимизм Екклесиаста отчасти уравновешивается надеждой на некий божественный суд.</w:t>
      </w:r>
    </w:p>
    <w:p w:rsidR="00266C55" w:rsidRDefault="00266C55" w:rsidP="00266C55">
      <w:r>
        <w:t>В обоих текстах при описании бедствий используется противоп</w:t>
      </w:r>
      <w:r>
        <w:t>о</w:t>
      </w:r>
      <w:r>
        <w:t>ставление идеала и существующей ситуации; суд, место защиты правды, становится местом беззакония; говорится о нарушении социальной спр</w:t>
      </w:r>
      <w:r>
        <w:t>а</w:t>
      </w:r>
      <w:r>
        <w:t>ведливости – сильные притесняют слабых; сообщается о нарушении общ</w:t>
      </w:r>
      <w:r>
        <w:t>е</w:t>
      </w:r>
      <w:r>
        <w:t>ственной иерархии – богатые стали бедными и наоборот.</w:t>
      </w:r>
    </w:p>
    <w:p w:rsidR="00266C55" w:rsidRDefault="00266C55" w:rsidP="00266C55">
      <w:r>
        <w:t>Оба автора высказывают мысль о том, что все люди творят зло. Но в египетском тексте это утверждение связано с конкретными историческими обстоятельствами, в которые все люди стали нарушать правила, а в би</w:t>
      </w:r>
      <w:r>
        <w:t>б</w:t>
      </w:r>
      <w:r>
        <w:t>лейском оно имеет более общий характер, свидетельствует об общей п</w:t>
      </w:r>
      <w:r>
        <w:t>о</w:t>
      </w:r>
      <w:r>
        <w:t>врежденности человеческой природы. Но самое главное, что отличает оп</w:t>
      </w:r>
      <w:r>
        <w:t>и</w:t>
      </w:r>
      <w:r>
        <w:t>сание бедствий в библейском тексте – это развитие темы смысла жизни и страданий праведников, что не затрагивается в «Размышлениях»</w:t>
      </w:r>
    </w:p>
    <w:p w:rsidR="00266C55" w:rsidRDefault="00266C55" w:rsidP="00266C55">
      <w:pPr>
        <w:pStyle w:val="1"/>
      </w:pPr>
      <w:bookmarkStart w:id="6" w:name="_Toc72499228"/>
      <w:bookmarkStart w:id="7" w:name="_Toc75260040"/>
      <w:r w:rsidRPr="00FB7BFE">
        <w:t>ОБЛИЧЕНИЯ ПОСЕЛЯНИНА</w:t>
      </w:r>
      <w:bookmarkEnd w:id="6"/>
      <w:bookmarkEnd w:id="7"/>
    </w:p>
    <w:p w:rsidR="00266C55" w:rsidRDefault="00266C55" w:rsidP="00266C55">
      <w:r>
        <w:t>«Обличения поселянина» и библейская Книга Екклесиаста» – би</w:t>
      </w:r>
      <w:r>
        <w:t>б</w:t>
      </w:r>
      <w:r>
        <w:t xml:space="preserve">лейская книга сравнивается с произведением, относящимся к эпохе XII-XIII династий Среднего Царства (XX-XVIII век), но популярным и в XII-XI веке (об этом говорит его фрагмент на </w:t>
      </w:r>
      <w:proofErr w:type="spellStart"/>
      <w:r>
        <w:t>остраконе</w:t>
      </w:r>
      <w:proofErr w:type="spellEnd"/>
      <w:r>
        <w:t xml:space="preserve">). Текст состоит из прозаической рамки, обрамляющей девять речей поселянина, написанных поэтическим языком в вычурном риторическом стиле. На русский язык памятник переводили М. Э. </w:t>
      </w:r>
      <w:proofErr w:type="spellStart"/>
      <w:r>
        <w:t>Матье</w:t>
      </w:r>
      <w:proofErr w:type="spellEnd"/>
      <w:r>
        <w:t xml:space="preserve"> (частичный перевод), И. С. </w:t>
      </w:r>
      <w:proofErr w:type="spellStart"/>
      <w:r>
        <w:t>Кацнельсон</w:t>
      </w:r>
      <w:proofErr w:type="spellEnd"/>
      <w:r>
        <w:t xml:space="preserve"> и Ф. Л. Мендельсон, а также И. Г. Лившиц, перевод которого наиболее в</w:t>
      </w:r>
      <w:r>
        <w:t>а</w:t>
      </w:r>
      <w:r>
        <w:t xml:space="preserve">жен, поскольку его автор ставил целью сделать не просто литературный пересказ, но предложить русскому читателю текст, близкий к египетскому оригиналу, и </w:t>
      </w:r>
      <w:proofErr w:type="spellStart"/>
      <w:r>
        <w:t>И</w:t>
      </w:r>
      <w:proofErr w:type="spellEnd"/>
      <w:r>
        <w:t>. В. Рак.</w:t>
      </w:r>
    </w:p>
    <w:p w:rsidR="00266C55" w:rsidRDefault="00266C55" w:rsidP="00266C55">
      <w:r>
        <w:lastRenderedPageBreak/>
        <w:t>В основе содержания – жалобы поселянина, несправедливо обиже</w:t>
      </w:r>
      <w:r>
        <w:t>н</w:t>
      </w:r>
      <w:r>
        <w:t>ного чиновником. Но жалобы, которые содержатся в поэтической части, касаются конкретной проблемы поселянина только косвенно, которая я</w:t>
      </w:r>
      <w:r>
        <w:t>в</w:t>
      </w:r>
      <w:r>
        <w:t>ляется лишь поводом для рассмотрения глобальных проблем, для утве</w:t>
      </w:r>
      <w:r>
        <w:t>р</w:t>
      </w:r>
      <w:r>
        <w:t>ждения важности правосудия, необходимости справедливости, осуждения коррупции. Поселянин убежден в важности, действенности и реальности правды и истины. Забота о правосудии была характерна для памятников Среднего Царства.</w:t>
      </w:r>
    </w:p>
    <w:p w:rsidR="00266C55" w:rsidRDefault="00266C55" w:rsidP="00266C55">
      <w:r>
        <w:t>В центре «Обличений» находятся проблемы социальной несправе</w:t>
      </w:r>
      <w:r>
        <w:t>д</w:t>
      </w:r>
      <w:r>
        <w:t>ливости, правосудия, которые также волновали Екклесиаста. Однако в «Обличениях» не поднимаются проблемы смерти, смысла жизни и де</w:t>
      </w:r>
      <w:r>
        <w:t>я</w:t>
      </w:r>
      <w:r>
        <w:t>тельности, которые являются ключевыми для библейской книги. Оба авт</w:t>
      </w:r>
      <w:r>
        <w:t>о</w:t>
      </w:r>
      <w:r>
        <w:t>ра возмущаются тем обстоятельством, что справедливость нарушают те, кто должен быть ее гарантом. Они отмечают, что в этом мире простые л</w:t>
      </w:r>
      <w:r>
        <w:t>ю</w:t>
      </w:r>
      <w:r>
        <w:t>ди притесняемы, при этом вышестоящие чиновники защищают нижесто</w:t>
      </w:r>
      <w:r>
        <w:t>я</w:t>
      </w:r>
      <w:r>
        <w:t>щих.</w:t>
      </w:r>
    </w:p>
    <w:p w:rsidR="00266C55" w:rsidRDefault="00266C55" w:rsidP="00266C55">
      <w:r>
        <w:t>Оба памятника осуждают вымогательство, взяточничество, обличают безудержное человеческое стремление к обогащению и наживе. При этом они упоминают о смерти, которая делает бессмысленным бесконечное обогащение человека. Человек не может унести избыток своего богатства в могилу. В перспективе смерти Екклесиаст рассуждает о смысле деятельн</w:t>
      </w:r>
      <w:r>
        <w:t>о</w:t>
      </w:r>
      <w:r>
        <w:t>сти человека, поселянина же волнует только проблема несправедливости. Екклесиаст приходит к выводу о бесполезности человеческих трудов, р</w:t>
      </w:r>
      <w:r>
        <w:t>е</w:t>
      </w:r>
      <w:r>
        <w:t>зультаты которых в итоге достанутся другому, говорит о невозможности насытить алчность наживы, о том, что преизбыток собственности беспол</w:t>
      </w:r>
      <w:r>
        <w:t>е</w:t>
      </w:r>
      <w:r>
        <w:t>зен и только тешит взгляд, что в этом изменчивом мире можно легко пот</w:t>
      </w:r>
      <w:r>
        <w:t>е</w:t>
      </w:r>
      <w:r>
        <w:t>рять богатство.</w:t>
      </w:r>
    </w:p>
    <w:p w:rsidR="00266C55" w:rsidRDefault="00266C55" w:rsidP="00266C55">
      <w:r>
        <w:t xml:space="preserve">Авторов обоих произведений удручают проблемы, встречающиеся в человеческой жизни. Размышления по поводу несправедливости приводят к эмоциональному заявлению о превосходстве смерти над жизнью, о том, </w:t>
      </w:r>
      <w:r>
        <w:lastRenderedPageBreak/>
        <w:t>что лучше умереть, чем жить в таком испорченном мире. Однако обе кн</w:t>
      </w:r>
      <w:r>
        <w:t>и</w:t>
      </w:r>
      <w:r>
        <w:t>ги отличаются итоговым оптимизмом. Их авторы видят перед собой с</w:t>
      </w:r>
      <w:r>
        <w:t>о</w:t>
      </w:r>
      <w:r>
        <w:t xml:space="preserve">вершенно четкий идеал правды, истины, справедливости, </w:t>
      </w:r>
      <w:proofErr w:type="gramStart"/>
      <w:r>
        <w:t>гарантом</w:t>
      </w:r>
      <w:proofErr w:type="gramEnd"/>
      <w:r>
        <w:t xml:space="preserve"> котор</w:t>
      </w:r>
      <w:r>
        <w:t>о</w:t>
      </w:r>
      <w:r>
        <w:t>го является Бог (божества), и считают, что человек должен жить праведно. Призывая совершать правосудие, египетский автор напоминает, что в этом человек уподобляется богам. В библейском тексте также присутствует мысль о том, что справедливость и праведность происходят от Бога. Не смотря на все сомнения в существовании в этом мире воздаяния, Екклес</w:t>
      </w:r>
      <w:r>
        <w:t>и</w:t>
      </w:r>
      <w:r>
        <w:t>аст сохраняет убежденность в необходимость верности Богу и Его запов</w:t>
      </w:r>
      <w:r>
        <w:t>е</w:t>
      </w:r>
      <w:r>
        <w:t>дям, опирающуюся на ожидание божественного суда. Египетский автор имеет еще более оптимистичный взгляд на мир, он убежден, что, в коне</w:t>
      </w:r>
      <w:r>
        <w:t>ч</w:t>
      </w:r>
      <w:r>
        <w:t>ном счете, правда победит, зло будет наказано, ложь будет ниспровергнута (что и происходит в соответствии с сюжетом). В обоих текстах с уверенн</w:t>
      </w:r>
      <w:r>
        <w:t>о</w:t>
      </w:r>
      <w:r>
        <w:t>стью говорится о том, что преступник получит наказание (хотя Екклесиаст выражал также и противоположное мнение). Екклесиаст высказывает мысль о том, что наказание неотвратимо, хотя оно зачастую и задержив</w:t>
      </w:r>
      <w:r>
        <w:t>а</w:t>
      </w:r>
      <w:r>
        <w:t>ется. Эта же идея отражена во всей сюжетной линии «Обличений», где обидчик поселянина получает по заслугам только в самом конце истории.</w:t>
      </w:r>
    </w:p>
    <w:p w:rsidR="00266C55" w:rsidRDefault="00266C55" w:rsidP="00266C55">
      <w:r>
        <w:t>Осуждая алчность, египетский автор призывает не проявлять чре</w:t>
      </w:r>
      <w:r>
        <w:t>з</w:t>
      </w:r>
      <w:r>
        <w:t>мерную заботу о завтрашнем дне. Этот призыв перекликается с общим п</w:t>
      </w:r>
      <w:r>
        <w:t>е</w:t>
      </w:r>
      <w:r>
        <w:t>чальным настроением Книги Екклесиаста, в которой часто подчеркивается бессмысленность забот о будущем, поскольку человек все равно умрет. Слова поселянина внешне напоминают Притч. 27:1 и Мф. 6:34, однако употребляются в совершенно ином контексте, в котором они осуждают преступное обогащение и говорят о неотвратимости наказания.</w:t>
      </w:r>
    </w:p>
    <w:p w:rsidR="00266C55" w:rsidRDefault="00266C55" w:rsidP="00266C55">
      <w:r>
        <w:t>Оба автора поднимают тему воздаяния. Но если в египетском прои</w:t>
      </w:r>
      <w:r>
        <w:t>з</w:t>
      </w:r>
      <w:r>
        <w:t>ведении отражена вера в воздаяние и при жизни, и после смерти (бож</w:t>
      </w:r>
      <w:r>
        <w:t>е</w:t>
      </w:r>
      <w:r>
        <w:t>ственный суд), то в Книге Екклесиаста есть сомнения в воздаянии, а о во</w:t>
      </w:r>
      <w:r>
        <w:t>з</w:t>
      </w:r>
      <w:r>
        <w:t>даянии после смерти прямо не говорится, хотя слова, упоминающие суд, зачастую толкуются в эсхатологическом смысле. В качестве назидательн</w:t>
      </w:r>
      <w:r>
        <w:t>о</w:t>
      </w:r>
      <w:r>
        <w:lastRenderedPageBreak/>
        <w:t>го примера в «Обличениях» приводится упоминание о том, что после смерти и погребения праведника продолжает жить память о нем. В би</w:t>
      </w:r>
      <w:r>
        <w:t>б</w:t>
      </w:r>
      <w:r>
        <w:t xml:space="preserve">лейской книге в подобном же контексте упоминается о смерти грешника (Еккл. 8:10). Однако этот отрывок является экзегетической проблемой. </w:t>
      </w:r>
      <w:proofErr w:type="spellStart"/>
      <w:r>
        <w:t>Масоретский</w:t>
      </w:r>
      <w:proofErr w:type="spellEnd"/>
      <w:r>
        <w:t xml:space="preserve"> текст, Синодальный перевод и А. Графов видят в нем соо</w:t>
      </w:r>
      <w:r>
        <w:t>б</w:t>
      </w:r>
      <w:r>
        <w:t>щение о том, что после смерти грешника забывают. Это созвучно и египе</w:t>
      </w:r>
      <w:r>
        <w:t>т</w:t>
      </w:r>
      <w:r>
        <w:t>скому фрагменту. Перевод</w:t>
      </w:r>
      <w:proofErr w:type="gramStart"/>
      <w:r>
        <w:t xml:space="preserve"> С</w:t>
      </w:r>
      <w:proofErr w:type="gramEnd"/>
      <w:r>
        <w:t>емидесяти придает этому отрывку противоп</w:t>
      </w:r>
      <w:r>
        <w:t>о</w:t>
      </w:r>
      <w:r>
        <w:t>ложный смысл. Есть и другое прочтение, которое исключает из этого те</w:t>
      </w:r>
      <w:r>
        <w:t>к</w:t>
      </w:r>
      <w:r>
        <w:t>ста упоминание смерти и погребения.</w:t>
      </w:r>
    </w:p>
    <w:p w:rsidR="00266C55" w:rsidRDefault="00266C55" w:rsidP="00266C55">
      <w:r>
        <w:t>В разделе проводится анализ упоминаний в «Обличениях» термина «</w:t>
      </w:r>
      <w:proofErr w:type="spellStart"/>
      <w:r>
        <w:t>Маат</w:t>
      </w:r>
      <w:proofErr w:type="spellEnd"/>
      <w:r>
        <w:t xml:space="preserve">». Принцип </w:t>
      </w:r>
      <w:proofErr w:type="spellStart"/>
      <w:r>
        <w:t>Маат</w:t>
      </w:r>
      <w:proofErr w:type="spellEnd"/>
      <w:r>
        <w:t xml:space="preserve"> отличается реальностью и действенностью. След</w:t>
      </w:r>
      <w:r>
        <w:t>о</w:t>
      </w:r>
      <w:r>
        <w:t xml:space="preserve">вание </w:t>
      </w:r>
      <w:proofErr w:type="spellStart"/>
      <w:r>
        <w:t>Маат</w:t>
      </w:r>
      <w:proofErr w:type="spellEnd"/>
      <w:r>
        <w:t xml:space="preserve"> обеспечивает успех человека в жизни, а нарушение </w:t>
      </w:r>
      <w:proofErr w:type="spellStart"/>
      <w:r>
        <w:t>Маат</w:t>
      </w:r>
      <w:proofErr w:type="spellEnd"/>
      <w:r>
        <w:t xml:space="preserve"> вл</w:t>
      </w:r>
      <w:r>
        <w:t>е</w:t>
      </w:r>
      <w:r>
        <w:t xml:space="preserve">чет за собой беды. </w:t>
      </w:r>
      <w:proofErr w:type="spellStart"/>
      <w:r>
        <w:t>Маат</w:t>
      </w:r>
      <w:proofErr w:type="spellEnd"/>
      <w:r>
        <w:t xml:space="preserve"> всегда торжествует. </w:t>
      </w:r>
      <w:proofErr w:type="gramStart"/>
      <w:r>
        <w:t xml:space="preserve">Осуществлять </w:t>
      </w:r>
      <w:proofErr w:type="spellStart"/>
      <w:r>
        <w:t>Маат</w:t>
      </w:r>
      <w:proofErr w:type="spellEnd"/>
      <w:r>
        <w:t xml:space="preserve"> призваны</w:t>
      </w:r>
      <w:proofErr w:type="gramEnd"/>
      <w:r>
        <w:t xml:space="preserve"> властители. </w:t>
      </w:r>
      <w:proofErr w:type="spellStart"/>
      <w:r>
        <w:t>Маат</w:t>
      </w:r>
      <w:proofErr w:type="spellEnd"/>
      <w:r>
        <w:t xml:space="preserve"> противостоят ложь и зло. Этому термину в библейской книге примерно соответствуют термины «мудрость», «заповедь», «праве</w:t>
      </w:r>
      <w:r>
        <w:t>д</w:t>
      </w:r>
      <w:r>
        <w:t>ность».</w:t>
      </w:r>
    </w:p>
    <w:p w:rsidR="00266C55" w:rsidRDefault="00266C55" w:rsidP="00266C55">
      <w:r>
        <w:t>Также в этом разделе осуществляется анализ использования термина «сердце». Для обоих памятников характерно Понимание сердца как органа оценивающего, органа, связанного с эмоциональной, волевой и интелле</w:t>
      </w:r>
      <w:r>
        <w:t>к</w:t>
      </w:r>
      <w:r>
        <w:t>туальной сферой человеческой жизни. Однако в египетском тексте нет персонификации сердца.</w:t>
      </w:r>
    </w:p>
    <w:p w:rsidR="00266C55" w:rsidRDefault="00266C55" w:rsidP="00266C55">
      <w:r>
        <w:t>Оба произведения подчеркивают, что красноречие и мудрость не з</w:t>
      </w:r>
      <w:r>
        <w:t>а</w:t>
      </w:r>
      <w:r>
        <w:t>висят от социального положения человека, могут быть присущи даже пр</w:t>
      </w:r>
      <w:r>
        <w:t>о</w:t>
      </w:r>
      <w:r>
        <w:t xml:space="preserve">столюдину. В </w:t>
      </w:r>
      <w:r w:rsidR="00541206" w:rsidRPr="00541206">
        <w:t>(</w:t>
      </w:r>
      <w:r>
        <w:t>Еккл. 9:14-15</w:t>
      </w:r>
      <w:r w:rsidR="00541206" w:rsidRPr="00541206">
        <w:t>)</w:t>
      </w:r>
      <w:r>
        <w:t xml:space="preserve"> упоминается бедняк, который своей мудр</w:t>
      </w:r>
      <w:r>
        <w:t>о</w:t>
      </w:r>
      <w:r>
        <w:t>стью спас целый город, осажденный великим царем, хотя и говорится, что после этого о бедняке никто и не вспомнил. Благодаря мудрости юноша, вышедший из тюрьмы, может стать царем, отняв власть у глупого власт</w:t>
      </w:r>
      <w:r>
        <w:t>и</w:t>
      </w:r>
      <w:r>
        <w:t>теля (Еккл. 4:13-14). Оба текста утверждают веру в силу, действенность слова.</w:t>
      </w:r>
    </w:p>
    <w:p w:rsidR="00266C55" w:rsidRDefault="00266C55" w:rsidP="00266C55">
      <w:r>
        <w:lastRenderedPageBreak/>
        <w:t xml:space="preserve">И Книга Екклесиаста, и «Обличения» отражают представление об ограниченности человека, не понимающего замысла тех, кто выше него (Бога или правителя). Человек зачастую не знает и не понимает того, что происходит в его жизни на самом деле. Так, поселянин не понимал, что </w:t>
      </w:r>
      <w:proofErr w:type="spellStart"/>
      <w:r>
        <w:t>Ренси</w:t>
      </w:r>
      <w:proofErr w:type="spellEnd"/>
      <w:r>
        <w:t xml:space="preserve"> симпатизирует ему и просто испытывает его, что даже фараон си</w:t>
      </w:r>
      <w:r>
        <w:t>м</w:t>
      </w:r>
      <w:r>
        <w:t>патизировал ему, заботился о нем и испытывал его. В «Обличениях» гов</w:t>
      </w:r>
      <w:r>
        <w:t>о</w:t>
      </w:r>
      <w:r>
        <w:t>рится, что человек не в силах проникнуть в сердце (замыслы) другого ч</w:t>
      </w:r>
      <w:r>
        <w:t>е</w:t>
      </w:r>
      <w:r>
        <w:t>ловека. Екклесиаст неоднократно противопоставляет человека, который далек от мудрости и не может постичь происходящего в мире, и Бога, з</w:t>
      </w:r>
      <w:r>
        <w:t>а</w:t>
      </w:r>
      <w:r>
        <w:t>мыслы</w:t>
      </w:r>
      <w:proofErr w:type="gramStart"/>
      <w:r>
        <w:t xml:space="preserve"> К</w:t>
      </w:r>
      <w:proofErr w:type="gramEnd"/>
      <w:r>
        <w:t>оторого непостижимы для человека (отсюда следует необход</w:t>
      </w:r>
      <w:r>
        <w:t>и</w:t>
      </w:r>
      <w:r>
        <w:t>мость смирения человека).</w:t>
      </w:r>
    </w:p>
    <w:p w:rsidR="00266C55" w:rsidRDefault="00266C55" w:rsidP="00266C55">
      <w:r>
        <w:t xml:space="preserve">Образы царя и вельможи из «Обличения» напоминают образ Бога из Книги Екклесиаста. Бог представлен несколько отстраненно, обобщенно и отвлеченно, о Нем можно сказать главным образом только то, что Он есть, что Он превыше мира, сотворенного Им. Бог далек, </w:t>
      </w:r>
      <w:proofErr w:type="spellStart"/>
      <w:r>
        <w:t>дистанцирован</w:t>
      </w:r>
      <w:proofErr w:type="spellEnd"/>
      <w:r>
        <w:t xml:space="preserve"> от ч</w:t>
      </w:r>
      <w:r>
        <w:t>е</w:t>
      </w:r>
      <w:r>
        <w:t>ловека, Его деяния и замыслы неизвестны. Но Он контролирует происх</w:t>
      </w:r>
      <w:r>
        <w:t>о</w:t>
      </w:r>
      <w:r>
        <w:t>дящее, готовит суд. Подобным образом и фараон представляется посел</w:t>
      </w:r>
      <w:r>
        <w:t>я</w:t>
      </w:r>
      <w:r>
        <w:t xml:space="preserve">нину далеким и отстраненным. В глазах поселянина </w:t>
      </w:r>
      <w:proofErr w:type="spellStart"/>
      <w:r>
        <w:t>Ренси</w:t>
      </w:r>
      <w:proofErr w:type="spellEnd"/>
      <w:r>
        <w:t xml:space="preserve"> был высшим чиновником, а фараон – недосягаемым божеством. Но на самом деле фар</w:t>
      </w:r>
      <w:r>
        <w:t>а</w:t>
      </w:r>
      <w:r>
        <w:t>он наблюдал за поселянином, испытывал его, чтобы совершить свой суд. Отсюда проистекает противоречивость позиций поселянина и Екклесиаста. От незнания реального положения вещей крестьянин то восхваляет, то о</w:t>
      </w:r>
      <w:r>
        <w:t>б</w:t>
      </w:r>
      <w:r>
        <w:t xml:space="preserve">виняет </w:t>
      </w:r>
      <w:proofErr w:type="spellStart"/>
      <w:r>
        <w:t>Ренси</w:t>
      </w:r>
      <w:proofErr w:type="spellEnd"/>
      <w:r>
        <w:t>. Подобным образом, Екклесиаст то сомневается в благости Бога, то проявляет абсолютное доверие к Нему.</w:t>
      </w:r>
    </w:p>
    <w:p w:rsidR="00266C55" w:rsidRDefault="00266C55" w:rsidP="00266C55">
      <w:pPr>
        <w:rPr>
          <w:lang w:val="en-US"/>
        </w:rPr>
      </w:pPr>
      <w:r>
        <w:t>В центре обеих книг – человек, надеющийся на высшую справедл</w:t>
      </w:r>
      <w:r>
        <w:t>и</w:t>
      </w:r>
      <w:r>
        <w:t xml:space="preserve">вость, верящий в торжество истины, размышляющий и страдающий, </w:t>
      </w:r>
      <w:proofErr w:type="gramStart"/>
      <w:r>
        <w:t>стр</w:t>
      </w:r>
      <w:r>
        <w:t>а</w:t>
      </w:r>
      <w:r>
        <w:t>дающий</w:t>
      </w:r>
      <w:proofErr w:type="gramEnd"/>
      <w:r>
        <w:t xml:space="preserve"> в том числе от того, что не в силах постичь сущность происход</w:t>
      </w:r>
      <w:r>
        <w:t>я</w:t>
      </w:r>
      <w:r>
        <w:t>щих в его жизни событий. Однако происходящая в мире несправедливость имеет для библейского автора тотальный характер, а в египетском прои</w:t>
      </w:r>
      <w:r>
        <w:t>з</w:t>
      </w:r>
      <w:r>
        <w:lastRenderedPageBreak/>
        <w:t>ведении речь идет только о конкретном проявлении несправедливости. Кроме того, египетского автора не волновала проблема смысла жизни.</w:t>
      </w:r>
    </w:p>
    <w:p w:rsidR="00541206" w:rsidRDefault="00541206" w:rsidP="00541206">
      <w:pPr>
        <w:pStyle w:val="1"/>
      </w:pPr>
      <w:r>
        <w:t>ВЫВОД</w:t>
      </w:r>
    </w:p>
    <w:p w:rsidR="00541206" w:rsidRDefault="00541206" w:rsidP="00541206">
      <w:r>
        <w:t>Сравнение книги Екклесиаста с литературой мудрости древнего Египта показывает, что Екклесиаст обладает всеми общими чертами, х</w:t>
      </w:r>
      <w:r>
        <w:t>а</w:t>
      </w:r>
      <w:r>
        <w:t>рактерными для литературы подобного рода вообще. Этот род литературы имеет начало в образованной среде городского социума, несет в себе во</w:t>
      </w:r>
      <w:r>
        <w:t>с</w:t>
      </w:r>
      <w:r>
        <w:t>питательную роль и отличается общечеловеческим характером затрагив</w:t>
      </w:r>
      <w:r>
        <w:t>а</w:t>
      </w:r>
      <w:r>
        <w:t>емых проблем. Для всей литературы этого жанра характерно взаимное влияние друг на друга, которое легко преодолевает границы стран и кул</w:t>
      </w:r>
      <w:r>
        <w:t>ь</w:t>
      </w:r>
      <w:r>
        <w:t>турные несовмести</w:t>
      </w:r>
      <w:r w:rsidR="00AC3E11">
        <w:t>мости. Общность рассматриваемых тем приводит и к подобности их осмысления в рамках интеллектуальной традиции: необх</w:t>
      </w:r>
      <w:r w:rsidR="00AC3E11">
        <w:t>о</w:t>
      </w:r>
      <w:r w:rsidR="00AC3E11">
        <w:t>димость послушания, мимолетность всего в мире, зыбкость и изменч</w:t>
      </w:r>
      <w:r w:rsidR="00AC3E11">
        <w:t>и</w:t>
      </w:r>
      <w:r w:rsidR="00AC3E11">
        <w:t>вость</w:t>
      </w:r>
      <w:r w:rsidR="00E92A75">
        <w:t xml:space="preserve"> положения человека в мире</w:t>
      </w:r>
      <w:r w:rsidR="00BF01EF">
        <w:t xml:space="preserve"> и пр. </w:t>
      </w:r>
    </w:p>
    <w:p w:rsidR="00BF01EF" w:rsidRPr="00541206" w:rsidRDefault="00BF01EF" w:rsidP="00541206">
      <w:r>
        <w:t>И все же, книга Екклесиаста, являясь органичной частью Ветхого З</w:t>
      </w:r>
      <w:r>
        <w:t>а</w:t>
      </w:r>
      <w:r>
        <w:t>вета, поднимает литературу мудрости на иную высоту. Не отрицая ценн</w:t>
      </w:r>
      <w:r>
        <w:t>о</w:t>
      </w:r>
      <w:r>
        <w:t>сти жизни – учит смирению перед Богом, заостряя внимание на смерти – побуждает к вечной жизни, где есть воздаяние за поступки и надежда на милость Божию.</w:t>
      </w:r>
      <w:bookmarkStart w:id="8" w:name="_GoBack"/>
      <w:bookmarkEnd w:id="8"/>
    </w:p>
    <w:p w:rsidR="00C72D0D" w:rsidRDefault="00C72D0D">
      <w:pPr>
        <w:spacing w:line="240" w:lineRule="auto"/>
        <w:ind w:firstLine="0"/>
        <w:jc w:val="left"/>
        <w:rPr>
          <w:rFonts w:eastAsiaTheme="majorEastAsia"/>
          <w:b/>
          <w:kern w:val="32"/>
          <w:szCs w:val="28"/>
        </w:rPr>
      </w:pPr>
      <w:r>
        <w:rPr>
          <w:bCs/>
          <w:szCs w:val="28"/>
        </w:rPr>
        <w:br w:type="page"/>
      </w:r>
    </w:p>
    <w:p w:rsidR="007D41A6" w:rsidRDefault="0096472C" w:rsidP="00AB1354">
      <w:pPr>
        <w:pStyle w:val="1"/>
      </w:pPr>
      <w:r>
        <w:rPr>
          <w:bCs w:val="0"/>
          <w:noProof/>
          <w:szCs w:val="28"/>
          <w:lang w:eastAsia="ru-RU" w:bidi="he-I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361291</wp:posOffset>
                </wp:positionH>
                <wp:positionV relativeFrom="paragraph">
                  <wp:posOffset>263321</wp:posOffset>
                </wp:positionV>
                <wp:extent cx="2122098" cy="327804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098" cy="3278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28.45pt;margin-top:20.75pt;width:167.1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" fillcolor="white [3212]" stroked="f" strokeweight="2pt"/>
            </w:pict>
          </mc:Fallback>
        </mc:AlternateContent>
      </w:r>
      <w:r w:rsidR="001B1CE1" w:rsidRPr="001B1CE1">
        <w:rPr>
          <w:bCs w:val="0"/>
          <w:szCs w:val="28"/>
        </w:rPr>
        <w:t>БИБЛИОГРАФИЯ</w:t>
      </w:r>
    </w:p>
    <w:sectPr w:rsidR="007D41A6" w:rsidSect="00DB0E84">
      <w:footerReference w:type="default" r:id="rId9"/>
      <w:endnotePr>
        <w:numFmt w:val="decimal"/>
      </w:endnotePr>
      <w:pgSz w:w="11906" w:h="16838" w:code="9"/>
      <w:pgMar w:top="1134" w:right="851" w:bottom="1134" w:left="1985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83D" w:rsidRDefault="0090383D" w:rsidP="00CE7BDA">
      <w:r>
        <w:separator/>
      </w:r>
    </w:p>
  </w:endnote>
  <w:endnote w:type="continuationSeparator" w:id="0">
    <w:p w:rsidR="0090383D" w:rsidRDefault="0090383D" w:rsidP="00CE7BDA">
      <w:r>
        <w:continuationSeparator/>
      </w:r>
    </w:p>
  </w:endnote>
  <w:endnote w:id="1">
    <w:p w:rsidR="00303722" w:rsidRPr="00303722" w:rsidRDefault="00303722">
      <w:pPr>
        <w:pStyle w:val="afa"/>
        <w:rPr>
          <w:sz w:val="28"/>
          <w:szCs w:val="28"/>
          <w:lang w:val="en-US"/>
        </w:rPr>
      </w:pPr>
      <w:r w:rsidRPr="00303722">
        <w:rPr>
          <w:rStyle w:val="afc"/>
          <w:sz w:val="28"/>
          <w:szCs w:val="28"/>
          <w:vertAlign w:val="baseline"/>
        </w:rPr>
        <w:endnoteRef/>
      </w:r>
      <w:r w:rsidRPr="00303722">
        <w:rPr>
          <w:sz w:val="28"/>
          <w:szCs w:val="28"/>
        </w:rPr>
        <w:t xml:space="preserve"> Библия, Синодальный русский перевод. Приложения с комментарием к Ветхому и Новому Завету, 1983, изд. «Жизнь с Богом», Брюссель.</w:t>
      </w:r>
    </w:p>
  </w:endnote>
  <w:endnote w:id="2">
    <w:p w:rsidR="00F50AAF" w:rsidRPr="00F50AAF" w:rsidRDefault="00F50AAF">
      <w:pPr>
        <w:pStyle w:val="afa"/>
        <w:rPr>
          <w:sz w:val="28"/>
          <w:szCs w:val="28"/>
        </w:rPr>
      </w:pPr>
      <w:r w:rsidRPr="00F50AAF">
        <w:rPr>
          <w:rStyle w:val="afc"/>
          <w:sz w:val="28"/>
          <w:szCs w:val="28"/>
          <w:vertAlign w:val="baseline"/>
        </w:rPr>
        <w:endnoteRef/>
      </w:r>
      <w:r w:rsidRPr="00F50AAF">
        <w:rPr>
          <w:sz w:val="28"/>
          <w:szCs w:val="28"/>
        </w:rPr>
        <w:t xml:space="preserve"> </w:t>
      </w:r>
      <w:r w:rsidR="00B23B1A">
        <w:rPr>
          <w:sz w:val="28"/>
          <w:szCs w:val="28"/>
        </w:rPr>
        <w:t xml:space="preserve">Архимандрит Сергий (Акимов), </w:t>
      </w:r>
      <w:proofErr w:type="spellStart"/>
      <w:r>
        <w:rPr>
          <w:sz w:val="28"/>
          <w:szCs w:val="28"/>
        </w:rPr>
        <w:t>Библиейская</w:t>
      </w:r>
      <w:proofErr w:type="spellEnd"/>
      <w:r>
        <w:rPr>
          <w:sz w:val="28"/>
          <w:szCs w:val="28"/>
        </w:rPr>
        <w:t xml:space="preserve"> </w:t>
      </w:r>
      <w:r w:rsidR="00B23B1A">
        <w:rPr>
          <w:sz w:val="28"/>
          <w:szCs w:val="28"/>
        </w:rPr>
        <w:t>Книга Екклесиаста и литер</w:t>
      </w:r>
      <w:r w:rsidR="00B23B1A">
        <w:rPr>
          <w:sz w:val="28"/>
          <w:szCs w:val="28"/>
        </w:rPr>
        <w:t>а</w:t>
      </w:r>
      <w:r w:rsidR="00B23B1A">
        <w:rPr>
          <w:sz w:val="28"/>
          <w:szCs w:val="28"/>
        </w:rPr>
        <w:t>турные памятники Древнего Египта, 2017, «Познание».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8949516"/>
      <w:docPartObj>
        <w:docPartGallery w:val="Page Numbers (Bottom of Page)"/>
        <w:docPartUnique/>
      </w:docPartObj>
    </w:sdtPr>
    <w:sdtEndPr/>
    <w:sdtContent>
      <w:p w:rsidR="00D65C3E" w:rsidRDefault="00D65C3E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1EF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83D" w:rsidRDefault="0090383D" w:rsidP="00CE7BDA">
      <w:r>
        <w:separator/>
      </w:r>
    </w:p>
  </w:footnote>
  <w:footnote w:type="continuationSeparator" w:id="0">
    <w:p w:rsidR="0090383D" w:rsidRDefault="0090383D" w:rsidP="00CE7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1D70A4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7C3DD9"/>
    <w:multiLevelType w:val="hybridMultilevel"/>
    <w:tmpl w:val="43EADC3A"/>
    <w:lvl w:ilvl="0" w:tplc="E6865E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755316"/>
    <w:multiLevelType w:val="multilevel"/>
    <w:tmpl w:val="081ED262"/>
    <w:lvl w:ilvl="0">
      <w:start w:val="1"/>
      <w:numFmt w:val="decimal"/>
      <w:lvlText w:val="%1."/>
      <w:lvlJc w:val="left"/>
      <w:pPr>
        <w:ind w:left="1503" w:hanging="360"/>
      </w:pPr>
    </w:lvl>
    <w:lvl w:ilvl="1">
      <w:start w:val="1"/>
      <w:numFmt w:val="decimal"/>
      <w:isLgl/>
      <w:lvlText w:val="%1.%2"/>
      <w:lvlJc w:val="left"/>
      <w:pPr>
        <w:ind w:left="1743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3" w:hanging="2160"/>
      </w:pPr>
      <w:rPr>
        <w:rFonts w:hint="default"/>
      </w:rPr>
    </w:lvl>
  </w:abstractNum>
  <w:abstractNum w:abstractNumId="3">
    <w:nsid w:val="0E9767FE"/>
    <w:multiLevelType w:val="hybridMultilevel"/>
    <w:tmpl w:val="E4762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2E5B06"/>
    <w:multiLevelType w:val="hybridMultilevel"/>
    <w:tmpl w:val="84C4D1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B164CD9"/>
    <w:multiLevelType w:val="hybridMultilevel"/>
    <w:tmpl w:val="DE561B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D9F1B50"/>
    <w:multiLevelType w:val="hybridMultilevel"/>
    <w:tmpl w:val="95B6E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FC4537"/>
    <w:multiLevelType w:val="hybridMultilevel"/>
    <w:tmpl w:val="12324714"/>
    <w:lvl w:ilvl="0" w:tplc="55A0358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43485B"/>
    <w:multiLevelType w:val="hybridMultilevel"/>
    <w:tmpl w:val="283274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0526E55"/>
    <w:multiLevelType w:val="hybridMultilevel"/>
    <w:tmpl w:val="EB34EE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30F5DA9"/>
    <w:multiLevelType w:val="hybridMultilevel"/>
    <w:tmpl w:val="70B65D0C"/>
    <w:lvl w:ilvl="0" w:tplc="48D21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795670C"/>
    <w:multiLevelType w:val="hybridMultilevel"/>
    <w:tmpl w:val="A978DE78"/>
    <w:lvl w:ilvl="0" w:tplc="5A7E1E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7B1169F"/>
    <w:multiLevelType w:val="hybridMultilevel"/>
    <w:tmpl w:val="BF64DB82"/>
    <w:lvl w:ilvl="0" w:tplc="AB0807E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486458BB"/>
    <w:multiLevelType w:val="hybridMultilevel"/>
    <w:tmpl w:val="C442CBC2"/>
    <w:lvl w:ilvl="0" w:tplc="68FCE7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781922"/>
    <w:multiLevelType w:val="hybridMultilevel"/>
    <w:tmpl w:val="B7CC7D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F315435"/>
    <w:multiLevelType w:val="hybridMultilevel"/>
    <w:tmpl w:val="FCE2286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>
    <w:nsid w:val="4F8325B5"/>
    <w:multiLevelType w:val="hybridMultilevel"/>
    <w:tmpl w:val="D2E67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FA71045"/>
    <w:multiLevelType w:val="hybridMultilevel"/>
    <w:tmpl w:val="B068179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516E34E8"/>
    <w:multiLevelType w:val="hybridMultilevel"/>
    <w:tmpl w:val="EFEA6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1D40913"/>
    <w:multiLevelType w:val="hybridMultilevel"/>
    <w:tmpl w:val="B53AFD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3F814C0"/>
    <w:multiLevelType w:val="hybridMultilevel"/>
    <w:tmpl w:val="675A5E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1A30832"/>
    <w:multiLevelType w:val="hybridMultilevel"/>
    <w:tmpl w:val="DA940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44C0631"/>
    <w:multiLevelType w:val="hybridMultilevel"/>
    <w:tmpl w:val="51E2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78B05A5"/>
    <w:multiLevelType w:val="hybridMultilevel"/>
    <w:tmpl w:val="D57A53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CB942E8"/>
    <w:multiLevelType w:val="hybridMultilevel"/>
    <w:tmpl w:val="961C22C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>
    <w:nsid w:val="6F2D54A3"/>
    <w:multiLevelType w:val="hybridMultilevel"/>
    <w:tmpl w:val="8E3CF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F32174D"/>
    <w:multiLevelType w:val="hybridMultilevel"/>
    <w:tmpl w:val="0DEA4B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F560BB3"/>
    <w:multiLevelType w:val="hybridMultilevel"/>
    <w:tmpl w:val="18C49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7BB03B7"/>
    <w:multiLevelType w:val="hybridMultilevel"/>
    <w:tmpl w:val="D6809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C13295C"/>
    <w:multiLevelType w:val="hybridMultilevel"/>
    <w:tmpl w:val="F64EB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CAC3364"/>
    <w:multiLevelType w:val="hybridMultilevel"/>
    <w:tmpl w:val="A1EC5C48"/>
    <w:lvl w:ilvl="0" w:tplc="B51EB8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CD5590E"/>
    <w:multiLevelType w:val="hybridMultilevel"/>
    <w:tmpl w:val="603AE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2"/>
  </w:num>
  <w:num w:numId="5">
    <w:abstractNumId w:val="10"/>
  </w:num>
  <w:num w:numId="6">
    <w:abstractNumId w:val="7"/>
  </w:num>
  <w:num w:numId="7">
    <w:abstractNumId w:val="2"/>
  </w:num>
  <w:num w:numId="8">
    <w:abstractNumId w:val="14"/>
  </w:num>
  <w:num w:numId="9">
    <w:abstractNumId w:val="5"/>
  </w:num>
  <w:num w:numId="10">
    <w:abstractNumId w:val="9"/>
  </w:num>
  <w:num w:numId="11">
    <w:abstractNumId w:val="8"/>
  </w:num>
  <w:num w:numId="12">
    <w:abstractNumId w:val="18"/>
  </w:num>
  <w:num w:numId="13">
    <w:abstractNumId w:val="20"/>
  </w:num>
  <w:num w:numId="14">
    <w:abstractNumId w:val="11"/>
  </w:num>
  <w:num w:numId="15">
    <w:abstractNumId w:val="26"/>
  </w:num>
  <w:num w:numId="16">
    <w:abstractNumId w:val="16"/>
  </w:num>
  <w:num w:numId="17">
    <w:abstractNumId w:val="25"/>
  </w:num>
  <w:num w:numId="18">
    <w:abstractNumId w:val="19"/>
  </w:num>
  <w:num w:numId="19">
    <w:abstractNumId w:val="28"/>
  </w:num>
  <w:num w:numId="20">
    <w:abstractNumId w:val="23"/>
  </w:num>
  <w:num w:numId="21">
    <w:abstractNumId w:val="22"/>
  </w:num>
  <w:num w:numId="22">
    <w:abstractNumId w:val="3"/>
  </w:num>
  <w:num w:numId="23">
    <w:abstractNumId w:val="6"/>
  </w:num>
  <w:num w:numId="24">
    <w:abstractNumId w:val="21"/>
  </w:num>
  <w:num w:numId="25">
    <w:abstractNumId w:val="15"/>
  </w:num>
  <w:num w:numId="26">
    <w:abstractNumId w:val="24"/>
  </w:num>
  <w:num w:numId="27">
    <w:abstractNumId w:val="31"/>
  </w:num>
  <w:num w:numId="28">
    <w:abstractNumId w:val="30"/>
  </w:num>
  <w:num w:numId="29">
    <w:abstractNumId w:val="17"/>
  </w:num>
  <w:num w:numId="30">
    <w:abstractNumId w:val="29"/>
  </w:num>
  <w:num w:numId="31">
    <w:abstractNumId w:val="4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067"/>
    <w:rsid w:val="00002B01"/>
    <w:rsid w:val="000034D1"/>
    <w:rsid w:val="00004F5C"/>
    <w:rsid w:val="00012DFD"/>
    <w:rsid w:val="00015D09"/>
    <w:rsid w:val="00034421"/>
    <w:rsid w:val="0003506E"/>
    <w:rsid w:val="00044B87"/>
    <w:rsid w:val="000527B3"/>
    <w:rsid w:val="00053333"/>
    <w:rsid w:val="00062509"/>
    <w:rsid w:val="00062CE9"/>
    <w:rsid w:val="0006523E"/>
    <w:rsid w:val="0006729A"/>
    <w:rsid w:val="000711DB"/>
    <w:rsid w:val="000718EF"/>
    <w:rsid w:val="00073362"/>
    <w:rsid w:val="00080CE2"/>
    <w:rsid w:val="000918F7"/>
    <w:rsid w:val="00097DFC"/>
    <w:rsid w:val="000A5BE4"/>
    <w:rsid w:val="000B04FB"/>
    <w:rsid w:val="000B0E54"/>
    <w:rsid w:val="000D2781"/>
    <w:rsid w:val="000D28AA"/>
    <w:rsid w:val="000D427E"/>
    <w:rsid w:val="000D61B4"/>
    <w:rsid w:val="000E0D2C"/>
    <w:rsid w:val="000F3B6C"/>
    <w:rsid w:val="000F758B"/>
    <w:rsid w:val="001172AE"/>
    <w:rsid w:val="00117453"/>
    <w:rsid w:val="0012495A"/>
    <w:rsid w:val="001266CC"/>
    <w:rsid w:val="00126A7F"/>
    <w:rsid w:val="00131B78"/>
    <w:rsid w:val="00140474"/>
    <w:rsid w:val="001445C6"/>
    <w:rsid w:val="00145116"/>
    <w:rsid w:val="00184AAA"/>
    <w:rsid w:val="001869BF"/>
    <w:rsid w:val="00191A85"/>
    <w:rsid w:val="00193621"/>
    <w:rsid w:val="001952C4"/>
    <w:rsid w:val="001A3A58"/>
    <w:rsid w:val="001A4693"/>
    <w:rsid w:val="001B029E"/>
    <w:rsid w:val="001B1CE1"/>
    <w:rsid w:val="001B4D97"/>
    <w:rsid w:val="001C0FC5"/>
    <w:rsid w:val="001C366B"/>
    <w:rsid w:val="001C3E1F"/>
    <w:rsid w:val="001E0726"/>
    <w:rsid w:val="001E1C5D"/>
    <w:rsid w:val="001E270A"/>
    <w:rsid w:val="001E7B8D"/>
    <w:rsid w:val="00200DB2"/>
    <w:rsid w:val="00201022"/>
    <w:rsid w:val="00201437"/>
    <w:rsid w:val="00206694"/>
    <w:rsid w:val="002177D4"/>
    <w:rsid w:val="00222911"/>
    <w:rsid w:val="002233BC"/>
    <w:rsid w:val="00226ED2"/>
    <w:rsid w:val="0022765D"/>
    <w:rsid w:val="0023537C"/>
    <w:rsid w:val="00243199"/>
    <w:rsid w:val="0025035D"/>
    <w:rsid w:val="00252003"/>
    <w:rsid w:val="00254012"/>
    <w:rsid w:val="002559EE"/>
    <w:rsid w:val="0025601E"/>
    <w:rsid w:val="00261F39"/>
    <w:rsid w:val="002653E6"/>
    <w:rsid w:val="00266C55"/>
    <w:rsid w:val="00267D30"/>
    <w:rsid w:val="002704A1"/>
    <w:rsid w:val="002718D4"/>
    <w:rsid w:val="0027308B"/>
    <w:rsid w:val="00274D12"/>
    <w:rsid w:val="00275FCF"/>
    <w:rsid w:val="00280741"/>
    <w:rsid w:val="00287173"/>
    <w:rsid w:val="002A282A"/>
    <w:rsid w:val="002A2FB3"/>
    <w:rsid w:val="002B3140"/>
    <w:rsid w:val="002B7E42"/>
    <w:rsid w:val="002C63B8"/>
    <w:rsid w:val="002D1C6A"/>
    <w:rsid w:val="002D523A"/>
    <w:rsid w:val="002D5B37"/>
    <w:rsid w:val="002F03A8"/>
    <w:rsid w:val="002F334E"/>
    <w:rsid w:val="002F77F0"/>
    <w:rsid w:val="00303722"/>
    <w:rsid w:val="00305354"/>
    <w:rsid w:val="0031071E"/>
    <w:rsid w:val="0031249E"/>
    <w:rsid w:val="00333159"/>
    <w:rsid w:val="00333F5B"/>
    <w:rsid w:val="00344F5E"/>
    <w:rsid w:val="00346BA3"/>
    <w:rsid w:val="00350016"/>
    <w:rsid w:val="003509B9"/>
    <w:rsid w:val="00352043"/>
    <w:rsid w:val="0035664A"/>
    <w:rsid w:val="0036599F"/>
    <w:rsid w:val="00371B00"/>
    <w:rsid w:val="00375056"/>
    <w:rsid w:val="00385254"/>
    <w:rsid w:val="003A016D"/>
    <w:rsid w:val="003A3AE2"/>
    <w:rsid w:val="003B17EF"/>
    <w:rsid w:val="003B50BF"/>
    <w:rsid w:val="003B5606"/>
    <w:rsid w:val="003B5F8E"/>
    <w:rsid w:val="003C4F31"/>
    <w:rsid w:val="003D6F66"/>
    <w:rsid w:val="003E6A60"/>
    <w:rsid w:val="003F0B00"/>
    <w:rsid w:val="00400D0C"/>
    <w:rsid w:val="00410259"/>
    <w:rsid w:val="00411C70"/>
    <w:rsid w:val="00434E87"/>
    <w:rsid w:val="00450B6B"/>
    <w:rsid w:val="00455017"/>
    <w:rsid w:val="004643A4"/>
    <w:rsid w:val="004660D1"/>
    <w:rsid w:val="004747F9"/>
    <w:rsid w:val="004A0E7A"/>
    <w:rsid w:val="004A2FBF"/>
    <w:rsid w:val="004B4468"/>
    <w:rsid w:val="004C5078"/>
    <w:rsid w:val="004D0C7F"/>
    <w:rsid w:val="004E4382"/>
    <w:rsid w:val="004F1CBD"/>
    <w:rsid w:val="005208AB"/>
    <w:rsid w:val="00520E9C"/>
    <w:rsid w:val="005213E6"/>
    <w:rsid w:val="00524E46"/>
    <w:rsid w:val="005379F7"/>
    <w:rsid w:val="00541206"/>
    <w:rsid w:val="0054196E"/>
    <w:rsid w:val="0054316A"/>
    <w:rsid w:val="00543304"/>
    <w:rsid w:val="005511E4"/>
    <w:rsid w:val="00554F3E"/>
    <w:rsid w:val="00564EC2"/>
    <w:rsid w:val="00570580"/>
    <w:rsid w:val="0057155B"/>
    <w:rsid w:val="00572D2E"/>
    <w:rsid w:val="00581548"/>
    <w:rsid w:val="0058327C"/>
    <w:rsid w:val="00586AAC"/>
    <w:rsid w:val="00594F79"/>
    <w:rsid w:val="005A78A3"/>
    <w:rsid w:val="005B0E64"/>
    <w:rsid w:val="005B7DF2"/>
    <w:rsid w:val="005C6CC7"/>
    <w:rsid w:val="005E202D"/>
    <w:rsid w:val="005E5468"/>
    <w:rsid w:val="005F0107"/>
    <w:rsid w:val="00600D58"/>
    <w:rsid w:val="0060133A"/>
    <w:rsid w:val="00603486"/>
    <w:rsid w:val="00610CDD"/>
    <w:rsid w:val="006112EA"/>
    <w:rsid w:val="00625FAE"/>
    <w:rsid w:val="006278A1"/>
    <w:rsid w:val="00633AB9"/>
    <w:rsid w:val="00634B4C"/>
    <w:rsid w:val="00647A25"/>
    <w:rsid w:val="0065119F"/>
    <w:rsid w:val="006527B0"/>
    <w:rsid w:val="006637BE"/>
    <w:rsid w:val="006645A1"/>
    <w:rsid w:val="006650DA"/>
    <w:rsid w:val="006808AB"/>
    <w:rsid w:val="00682937"/>
    <w:rsid w:val="00693E72"/>
    <w:rsid w:val="006943AD"/>
    <w:rsid w:val="006955DD"/>
    <w:rsid w:val="006A2481"/>
    <w:rsid w:val="006C06B7"/>
    <w:rsid w:val="006C5817"/>
    <w:rsid w:val="006D219C"/>
    <w:rsid w:val="006D46FA"/>
    <w:rsid w:val="006E78C6"/>
    <w:rsid w:val="006F087A"/>
    <w:rsid w:val="006F3D72"/>
    <w:rsid w:val="006F4760"/>
    <w:rsid w:val="00713E8D"/>
    <w:rsid w:val="007237D9"/>
    <w:rsid w:val="00723FDF"/>
    <w:rsid w:val="00725FF8"/>
    <w:rsid w:val="0073558E"/>
    <w:rsid w:val="00737969"/>
    <w:rsid w:val="00740288"/>
    <w:rsid w:val="00751EB8"/>
    <w:rsid w:val="007773E3"/>
    <w:rsid w:val="00777E51"/>
    <w:rsid w:val="00780880"/>
    <w:rsid w:val="00781E77"/>
    <w:rsid w:val="00784A46"/>
    <w:rsid w:val="0078769B"/>
    <w:rsid w:val="00793FB0"/>
    <w:rsid w:val="007A3872"/>
    <w:rsid w:val="007A46C0"/>
    <w:rsid w:val="007A5332"/>
    <w:rsid w:val="007A6234"/>
    <w:rsid w:val="007B0BF0"/>
    <w:rsid w:val="007C1407"/>
    <w:rsid w:val="007C1522"/>
    <w:rsid w:val="007D41A6"/>
    <w:rsid w:val="007D68FE"/>
    <w:rsid w:val="007E3D5F"/>
    <w:rsid w:val="007E56FE"/>
    <w:rsid w:val="007E5A73"/>
    <w:rsid w:val="007E6E34"/>
    <w:rsid w:val="007F0FA9"/>
    <w:rsid w:val="007F3941"/>
    <w:rsid w:val="007F4743"/>
    <w:rsid w:val="008068A9"/>
    <w:rsid w:val="0081158C"/>
    <w:rsid w:val="00827585"/>
    <w:rsid w:val="00827EFF"/>
    <w:rsid w:val="0083157A"/>
    <w:rsid w:val="00831F38"/>
    <w:rsid w:val="00836F38"/>
    <w:rsid w:val="00837D45"/>
    <w:rsid w:val="008413D0"/>
    <w:rsid w:val="00846160"/>
    <w:rsid w:val="00853F8D"/>
    <w:rsid w:val="00855666"/>
    <w:rsid w:val="00865796"/>
    <w:rsid w:val="0088037E"/>
    <w:rsid w:val="00883E74"/>
    <w:rsid w:val="00885086"/>
    <w:rsid w:val="008858C0"/>
    <w:rsid w:val="00893560"/>
    <w:rsid w:val="00896FB0"/>
    <w:rsid w:val="00897DBE"/>
    <w:rsid w:val="008A4B7B"/>
    <w:rsid w:val="008B499B"/>
    <w:rsid w:val="008C2FE4"/>
    <w:rsid w:val="008C36D4"/>
    <w:rsid w:val="008C4583"/>
    <w:rsid w:val="008D484F"/>
    <w:rsid w:val="008D54A9"/>
    <w:rsid w:val="008D5FFD"/>
    <w:rsid w:val="008D7865"/>
    <w:rsid w:val="008E64CF"/>
    <w:rsid w:val="008F77D5"/>
    <w:rsid w:val="009003FF"/>
    <w:rsid w:val="00901232"/>
    <w:rsid w:val="009031AF"/>
    <w:rsid w:val="0090383D"/>
    <w:rsid w:val="00904C90"/>
    <w:rsid w:val="00907AED"/>
    <w:rsid w:val="00916697"/>
    <w:rsid w:val="00926DBA"/>
    <w:rsid w:val="00943611"/>
    <w:rsid w:val="009453D4"/>
    <w:rsid w:val="009470E1"/>
    <w:rsid w:val="0096472C"/>
    <w:rsid w:val="00965574"/>
    <w:rsid w:val="00973945"/>
    <w:rsid w:val="0097520B"/>
    <w:rsid w:val="00990D5E"/>
    <w:rsid w:val="00992785"/>
    <w:rsid w:val="009B11A8"/>
    <w:rsid w:val="009B4C32"/>
    <w:rsid w:val="009B5DAD"/>
    <w:rsid w:val="009B69BB"/>
    <w:rsid w:val="009D2EFD"/>
    <w:rsid w:val="009D7604"/>
    <w:rsid w:val="009E4C55"/>
    <w:rsid w:val="009E63F9"/>
    <w:rsid w:val="00A0451C"/>
    <w:rsid w:val="00A05A47"/>
    <w:rsid w:val="00A1134C"/>
    <w:rsid w:val="00A16BA8"/>
    <w:rsid w:val="00A35655"/>
    <w:rsid w:val="00A361A7"/>
    <w:rsid w:val="00A369AC"/>
    <w:rsid w:val="00A4289B"/>
    <w:rsid w:val="00A501FA"/>
    <w:rsid w:val="00A54C4A"/>
    <w:rsid w:val="00A61425"/>
    <w:rsid w:val="00A70A0D"/>
    <w:rsid w:val="00A71435"/>
    <w:rsid w:val="00A73B39"/>
    <w:rsid w:val="00A977BF"/>
    <w:rsid w:val="00AA11CF"/>
    <w:rsid w:val="00AA1711"/>
    <w:rsid w:val="00AA4995"/>
    <w:rsid w:val="00AB1354"/>
    <w:rsid w:val="00AB3DA9"/>
    <w:rsid w:val="00AB7616"/>
    <w:rsid w:val="00AC0535"/>
    <w:rsid w:val="00AC2A3A"/>
    <w:rsid w:val="00AC3E11"/>
    <w:rsid w:val="00AD0138"/>
    <w:rsid w:val="00AD398B"/>
    <w:rsid w:val="00AD46CB"/>
    <w:rsid w:val="00AD7BC1"/>
    <w:rsid w:val="00AE2AAE"/>
    <w:rsid w:val="00AE66BC"/>
    <w:rsid w:val="00AF245E"/>
    <w:rsid w:val="00B045E2"/>
    <w:rsid w:val="00B07D07"/>
    <w:rsid w:val="00B215FD"/>
    <w:rsid w:val="00B223C1"/>
    <w:rsid w:val="00B23B1A"/>
    <w:rsid w:val="00B24FDF"/>
    <w:rsid w:val="00B34B07"/>
    <w:rsid w:val="00B408C1"/>
    <w:rsid w:val="00B55067"/>
    <w:rsid w:val="00B573F3"/>
    <w:rsid w:val="00B61BA1"/>
    <w:rsid w:val="00B85D77"/>
    <w:rsid w:val="00B901BE"/>
    <w:rsid w:val="00BA2237"/>
    <w:rsid w:val="00BA7312"/>
    <w:rsid w:val="00BB059A"/>
    <w:rsid w:val="00BC72D0"/>
    <w:rsid w:val="00BD056C"/>
    <w:rsid w:val="00BD2C21"/>
    <w:rsid w:val="00BE098D"/>
    <w:rsid w:val="00BE0B95"/>
    <w:rsid w:val="00BE2690"/>
    <w:rsid w:val="00BE301B"/>
    <w:rsid w:val="00BF01EF"/>
    <w:rsid w:val="00BF12B5"/>
    <w:rsid w:val="00BF404D"/>
    <w:rsid w:val="00C13EAE"/>
    <w:rsid w:val="00C145DB"/>
    <w:rsid w:val="00C14E2C"/>
    <w:rsid w:val="00C165F0"/>
    <w:rsid w:val="00C2061B"/>
    <w:rsid w:val="00C24A96"/>
    <w:rsid w:val="00C24D56"/>
    <w:rsid w:val="00C31E87"/>
    <w:rsid w:val="00C4274A"/>
    <w:rsid w:val="00C43818"/>
    <w:rsid w:val="00C44A24"/>
    <w:rsid w:val="00C4503F"/>
    <w:rsid w:val="00C47AAA"/>
    <w:rsid w:val="00C52120"/>
    <w:rsid w:val="00C637B4"/>
    <w:rsid w:val="00C67C9C"/>
    <w:rsid w:val="00C72D0D"/>
    <w:rsid w:val="00C74B01"/>
    <w:rsid w:val="00C773D4"/>
    <w:rsid w:val="00C8227B"/>
    <w:rsid w:val="00C90D7A"/>
    <w:rsid w:val="00C91D14"/>
    <w:rsid w:val="00C944EE"/>
    <w:rsid w:val="00CA1D9D"/>
    <w:rsid w:val="00CB4057"/>
    <w:rsid w:val="00CC2109"/>
    <w:rsid w:val="00CC28E5"/>
    <w:rsid w:val="00CC61C6"/>
    <w:rsid w:val="00CC6F71"/>
    <w:rsid w:val="00CD53AD"/>
    <w:rsid w:val="00CD6E36"/>
    <w:rsid w:val="00CE0691"/>
    <w:rsid w:val="00CE189F"/>
    <w:rsid w:val="00CE5F63"/>
    <w:rsid w:val="00CE7BDA"/>
    <w:rsid w:val="00CF28F5"/>
    <w:rsid w:val="00CF6A2A"/>
    <w:rsid w:val="00CF747F"/>
    <w:rsid w:val="00CF7E51"/>
    <w:rsid w:val="00D10BE2"/>
    <w:rsid w:val="00D11900"/>
    <w:rsid w:val="00D27D2A"/>
    <w:rsid w:val="00D33DDB"/>
    <w:rsid w:val="00D3719C"/>
    <w:rsid w:val="00D40ED2"/>
    <w:rsid w:val="00D4789A"/>
    <w:rsid w:val="00D504D2"/>
    <w:rsid w:val="00D6065E"/>
    <w:rsid w:val="00D62150"/>
    <w:rsid w:val="00D65C3E"/>
    <w:rsid w:val="00D723FB"/>
    <w:rsid w:val="00D8180C"/>
    <w:rsid w:val="00D82EC7"/>
    <w:rsid w:val="00D86266"/>
    <w:rsid w:val="00D871BD"/>
    <w:rsid w:val="00D93DFF"/>
    <w:rsid w:val="00D9495E"/>
    <w:rsid w:val="00D970E3"/>
    <w:rsid w:val="00DA24B9"/>
    <w:rsid w:val="00DA62AE"/>
    <w:rsid w:val="00DB0E84"/>
    <w:rsid w:val="00DC7085"/>
    <w:rsid w:val="00DC7462"/>
    <w:rsid w:val="00DE1433"/>
    <w:rsid w:val="00DE1D25"/>
    <w:rsid w:val="00DE1F29"/>
    <w:rsid w:val="00DF01AB"/>
    <w:rsid w:val="00DF3BDB"/>
    <w:rsid w:val="00DF5525"/>
    <w:rsid w:val="00E017DE"/>
    <w:rsid w:val="00E0303D"/>
    <w:rsid w:val="00E05F33"/>
    <w:rsid w:val="00E0763B"/>
    <w:rsid w:val="00E15B27"/>
    <w:rsid w:val="00E17651"/>
    <w:rsid w:val="00E20A3E"/>
    <w:rsid w:val="00E23A67"/>
    <w:rsid w:val="00E30214"/>
    <w:rsid w:val="00E30AF3"/>
    <w:rsid w:val="00E3553A"/>
    <w:rsid w:val="00E42A22"/>
    <w:rsid w:val="00E466CD"/>
    <w:rsid w:val="00E5688C"/>
    <w:rsid w:val="00E62033"/>
    <w:rsid w:val="00E775A8"/>
    <w:rsid w:val="00E77DCF"/>
    <w:rsid w:val="00E83FF1"/>
    <w:rsid w:val="00E87618"/>
    <w:rsid w:val="00E87EA0"/>
    <w:rsid w:val="00E92A75"/>
    <w:rsid w:val="00E9398C"/>
    <w:rsid w:val="00E95BA9"/>
    <w:rsid w:val="00EA296D"/>
    <w:rsid w:val="00EB591C"/>
    <w:rsid w:val="00EC20A9"/>
    <w:rsid w:val="00EC5BF6"/>
    <w:rsid w:val="00ED2045"/>
    <w:rsid w:val="00ED30B7"/>
    <w:rsid w:val="00ED6292"/>
    <w:rsid w:val="00EE31CD"/>
    <w:rsid w:val="00EF2B4C"/>
    <w:rsid w:val="00EF52F3"/>
    <w:rsid w:val="00F0197F"/>
    <w:rsid w:val="00F06AD9"/>
    <w:rsid w:val="00F07201"/>
    <w:rsid w:val="00F160A0"/>
    <w:rsid w:val="00F20A54"/>
    <w:rsid w:val="00F273BB"/>
    <w:rsid w:val="00F32E33"/>
    <w:rsid w:val="00F34897"/>
    <w:rsid w:val="00F43FE0"/>
    <w:rsid w:val="00F47F23"/>
    <w:rsid w:val="00F50AAF"/>
    <w:rsid w:val="00F52056"/>
    <w:rsid w:val="00F54029"/>
    <w:rsid w:val="00F54893"/>
    <w:rsid w:val="00F72944"/>
    <w:rsid w:val="00F76D2C"/>
    <w:rsid w:val="00F76F2A"/>
    <w:rsid w:val="00F844BC"/>
    <w:rsid w:val="00F95ABA"/>
    <w:rsid w:val="00FA2103"/>
    <w:rsid w:val="00FA3865"/>
    <w:rsid w:val="00FA4EC1"/>
    <w:rsid w:val="00FA6152"/>
    <w:rsid w:val="00FB2A66"/>
    <w:rsid w:val="00FB7BFE"/>
    <w:rsid w:val="00FC3C81"/>
    <w:rsid w:val="00FE2537"/>
    <w:rsid w:val="00FE3F27"/>
    <w:rsid w:val="00FE4A4B"/>
    <w:rsid w:val="00FE4B9E"/>
    <w:rsid w:val="00FE5BA1"/>
    <w:rsid w:val="00FF5AED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0B6B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C8227B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54C4A"/>
    <w:pPr>
      <w:keepNext/>
      <w:spacing w:before="240" w:after="60"/>
      <w:outlineLvl w:val="1"/>
    </w:pPr>
    <w:rPr>
      <w:rFonts w:eastAsiaTheme="majorEastAsia"/>
      <w:b/>
      <w:bCs/>
      <w:i/>
      <w:iCs/>
      <w:sz w:val="30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A54C4A"/>
    <w:pPr>
      <w:keepNext/>
      <w:spacing w:before="240" w:after="60"/>
      <w:outlineLvl w:val="2"/>
    </w:pPr>
    <w:rPr>
      <w:rFonts w:eastAsiaTheme="majorEastAsia"/>
      <w:b/>
      <w:bCs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A54C4A"/>
    <w:pPr>
      <w:keepNext/>
      <w:spacing w:before="240" w:after="60"/>
      <w:outlineLvl w:val="3"/>
    </w:pPr>
    <w:rPr>
      <w:b/>
      <w:bCs/>
      <w:sz w:val="26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227B"/>
    <w:rPr>
      <w:rFonts w:ascii="Times New Roman" w:eastAsiaTheme="majorEastAsia" w:hAnsi="Times New Roman"/>
      <w:b/>
      <w:bCs/>
      <w:kern w:val="32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A54C4A"/>
    <w:rPr>
      <w:rFonts w:ascii="Times New Roman" w:eastAsiaTheme="majorEastAsia" w:hAnsi="Times New Roman"/>
      <w:b/>
      <w:bCs/>
      <w:i/>
      <w:iCs/>
      <w:sz w:val="30"/>
      <w:szCs w:val="28"/>
    </w:rPr>
  </w:style>
  <w:style w:type="character" w:customStyle="1" w:styleId="30">
    <w:name w:val="Заголовок 3 Знак"/>
    <w:basedOn w:val="a1"/>
    <w:link w:val="3"/>
    <w:uiPriority w:val="9"/>
    <w:rsid w:val="00A54C4A"/>
    <w:rPr>
      <w:rFonts w:ascii="Times New Roman" w:eastAsiaTheme="majorEastAsia" w:hAnsi="Times New Roman"/>
      <w:b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rsid w:val="00A54C4A"/>
    <w:rPr>
      <w:rFonts w:ascii="Times New Roman" w:hAnsi="Times New Roman"/>
      <w:b/>
      <w:bCs/>
      <w:sz w:val="26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4">
    <w:name w:val="Title"/>
    <w:basedOn w:val="a0"/>
    <w:next w:val="a0"/>
    <w:link w:val="a5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1"/>
    <w:link w:val="a4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1"/>
    <w:link w:val="a6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1"/>
    <w:uiPriority w:val="22"/>
    <w:qFormat/>
    <w:rsid w:val="002A2FB3"/>
    <w:rPr>
      <w:b/>
      <w:bCs/>
    </w:rPr>
  </w:style>
  <w:style w:type="character" w:styleId="a9">
    <w:name w:val="Emphasis"/>
    <w:basedOn w:val="a1"/>
    <w:uiPriority w:val="20"/>
    <w:qFormat/>
    <w:rsid w:val="002A2FB3"/>
    <w:rPr>
      <w:rFonts w:asciiTheme="minorHAnsi" w:hAnsiTheme="minorHAnsi"/>
      <w:b/>
      <w:i/>
      <w:iCs/>
    </w:rPr>
  </w:style>
  <w:style w:type="paragraph" w:styleId="aa">
    <w:name w:val="No Spacing"/>
    <w:basedOn w:val="a0"/>
    <w:link w:val="ab"/>
    <w:uiPriority w:val="1"/>
    <w:qFormat/>
    <w:rsid w:val="002A2FB3"/>
    <w:rPr>
      <w:szCs w:val="32"/>
    </w:rPr>
  </w:style>
  <w:style w:type="paragraph" w:styleId="ac">
    <w:name w:val="List Paragraph"/>
    <w:basedOn w:val="a0"/>
    <w:uiPriority w:val="34"/>
    <w:qFormat/>
    <w:rsid w:val="002A2FB3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1"/>
    <w:link w:val="21"/>
    <w:uiPriority w:val="29"/>
    <w:rsid w:val="002A2FB3"/>
    <w:rPr>
      <w:i/>
      <w:sz w:val="24"/>
      <w:szCs w:val="24"/>
    </w:rPr>
  </w:style>
  <w:style w:type="paragraph" w:styleId="ad">
    <w:name w:val="Intense Quote"/>
    <w:basedOn w:val="a0"/>
    <w:next w:val="a0"/>
    <w:link w:val="ae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1"/>
    <w:link w:val="ad"/>
    <w:uiPriority w:val="30"/>
    <w:rsid w:val="002A2FB3"/>
    <w:rPr>
      <w:b/>
      <w:i/>
      <w:sz w:val="24"/>
    </w:rPr>
  </w:style>
  <w:style w:type="character" w:styleId="af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f0">
    <w:name w:val="Intense Emphasis"/>
    <w:basedOn w:val="a1"/>
    <w:uiPriority w:val="21"/>
    <w:qFormat/>
    <w:rsid w:val="002A2FB3"/>
    <w:rPr>
      <w:b/>
      <w:i/>
      <w:sz w:val="24"/>
      <w:szCs w:val="24"/>
      <w:u w:val="single"/>
    </w:rPr>
  </w:style>
  <w:style w:type="character" w:styleId="af1">
    <w:name w:val="Subtle Reference"/>
    <w:basedOn w:val="a1"/>
    <w:uiPriority w:val="31"/>
    <w:qFormat/>
    <w:rsid w:val="002A2FB3"/>
    <w:rPr>
      <w:sz w:val="24"/>
      <w:szCs w:val="24"/>
      <w:u w:val="single"/>
    </w:rPr>
  </w:style>
  <w:style w:type="character" w:styleId="af2">
    <w:name w:val="Intense Reference"/>
    <w:basedOn w:val="a1"/>
    <w:uiPriority w:val="32"/>
    <w:qFormat/>
    <w:rsid w:val="002A2FB3"/>
    <w:rPr>
      <w:b/>
      <w:sz w:val="24"/>
      <w:u w:val="single"/>
    </w:rPr>
  </w:style>
  <w:style w:type="character" w:styleId="af3">
    <w:name w:val="Book Title"/>
    <w:basedOn w:val="a1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0"/>
    <w:uiPriority w:val="39"/>
    <w:unhideWhenUsed/>
    <w:qFormat/>
    <w:rsid w:val="002A2FB3"/>
    <w:pPr>
      <w:outlineLvl w:val="9"/>
    </w:pPr>
  </w:style>
  <w:style w:type="paragraph" w:styleId="af5">
    <w:name w:val="header"/>
    <w:basedOn w:val="a0"/>
    <w:link w:val="af6"/>
    <w:uiPriority w:val="99"/>
    <w:unhideWhenUsed/>
    <w:rsid w:val="00CE7BD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rsid w:val="00CE7BDA"/>
    <w:rPr>
      <w:rFonts w:ascii="Times New Roman" w:hAnsi="Times New Roman"/>
      <w:sz w:val="28"/>
      <w:szCs w:val="24"/>
    </w:rPr>
  </w:style>
  <w:style w:type="paragraph" w:styleId="af7">
    <w:name w:val="footer"/>
    <w:basedOn w:val="a0"/>
    <w:link w:val="af8"/>
    <w:uiPriority w:val="99"/>
    <w:unhideWhenUsed/>
    <w:rsid w:val="00CE7BD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1"/>
    <w:link w:val="af7"/>
    <w:uiPriority w:val="99"/>
    <w:rsid w:val="00CE7BDA"/>
    <w:rPr>
      <w:rFonts w:ascii="Times New Roman" w:hAnsi="Times New Roman"/>
      <w:sz w:val="28"/>
      <w:szCs w:val="24"/>
    </w:rPr>
  </w:style>
  <w:style w:type="paragraph" w:customStyle="1" w:styleId="af9">
    <w:name w:val="Загловок глава"/>
    <w:basedOn w:val="a"/>
    <w:next w:val="a0"/>
    <w:qFormat/>
    <w:rsid w:val="007F0FA9"/>
    <w:pPr>
      <w:jc w:val="center"/>
    </w:pPr>
    <w:rPr>
      <w:b/>
    </w:rPr>
  </w:style>
  <w:style w:type="paragraph" w:styleId="a">
    <w:name w:val="List Number"/>
    <w:basedOn w:val="a0"/>
    <w:uiPriority w:val="99"/>
    <w:semiHidden/>
    <w:unhideWhenUsed/>
    <w:rsid w:val="007F0FA9"/>
    <w:pPr>
      <w:numPr>
        <w:numId w:val="1"/>
      </w:numPr>
      <w:contextualSpacing/>
    </w:pPr>
  </w:style>
  <w:style w:type="paragraph" w:styleId="afa">
    <w:name w:val="endnote text"/>
    <w:basedOn w:val="a0"/>
    <w:link w:val="afb"/>
    <w:uiPriority w:val="99"/>
    <w:semiHidden/>
    <w:unhideWhenUsed/>
    <w:rsid w:val="003A3AE2"/>
    <w:pPr>
      <w:ind w:firstLine="0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sid w:val="003A3AE2"/>
    <w:rPr>
      <w:rFonts w:eastAsiaTheme="minorEastAsia"/>
      <w:sz w:val="20"/>
      <w:szCs w:val="20"/>
    </w:rPr>
  </w:style>
  <w:style w:type="character" w:styleId="afc">
    <w:name w:val="endnote reference"/>
    <w:basedOn w:val="a1"/>
    <w:uiPriority w:val="99"/>
    <w:semiHidden/>
    <w:unhideWhenUsed/>
    <w:rsid w:val="003A3AE2"/>
    <w:rPr>
      <w:vertAlign w:val="superscript"/>
    </w:rPr>
  </w:style>
  <w:style w:type="table" w:styleId="afd">
    <w:name w:val="Table Grid"/>
    <w:basedOn w:val="a2"/>
    <w:uiPriority w:val="59"/>
    <w:rsid w:val="00603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note text"/>
    <w:basedOn w:val="a0"/>
    <w:link w:val="aff"/>
    <w:uiPriority w:val="99"/>
    <w:semiHidden/>
    <w:unhideWhenUsed/>
    <w:rsid w:val="00793FB0"/>
    <w:rPr>
      <w:sz w:val="20"/>
      <w:szCs w:val="20"/>
    </w:rPr>
  </w:style>
  <w:style w:type="character" w:customStyle="1" w:styleId="aff">
    <w:name w:val="Текст сноски Знак"/>
    <w:basedOn w:val="a1"/>
    <w:link w:val="afe"/>
    <w:uiPriority w:val="99"/>
    <w:semiHidden/>
    <w:rsid w:val="00793FB0"/>
    <w:rPr>
      <w:rFonts w:ascii="Times New Roman" w:hAnsi="Times New Roman"/>
      <w:sz w:val="20"/>
      <w:szCs w:val="20"/>
    </w:rPr>
  </w:style>
  <w:style w:type="character" w:styleId="aff0">
    <w:name w:val="footnote reference"/>
    <w:basedOn w:val="a1"/>
    <w:uiPriority w:val="99"/>
    <w:semiHidden/>
    <w:unhideWhenUsed/>
    <w:rsid w:val="00793FB0"/>
    <w:rPr>
      <w:vertAlign w:val="superscript"/>
    </w:rPr>
  </w:style>
  <w:style w:type="paragraph" w:styleId="11">
    <w:name w:val="toc 1"/>
    <w:basedOn w:val="a0"/>
    <w:next w:val="a0"/>
    <w:autoRedefine/>
    <w:uiPriority w:val="39"/>
    <w:unhideWhenUsed/>
    <w:qFormat/>
    <w:rsid w:val="00BD2C21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qFormat/>
    <w:rsid w:val="00BD2C21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qFormat/>
    <w:rsid w:val="00BD2C21"/>
    <w:pPr>
      <w:spacing w:after="100"/>
      <w:ind w:left="560"/>
    </w:pPr>
  </w:style>
  <w:style w:type="character" w:styleId="aff1">
    <w:name w:val="Hyperlink"/>
    <w:basedOn w:val="a1"/>
    <w:uiPriority w:val="99"/>
    <w:unhideWhenUsed/>
    <w:rsid w:val="00BD2C21"/>
    <w:rPr>
      <w:color w:val="0000FF" w:themeColor="hyperlink"/>
      <w:u w:val="single"/>
    </w:rPr>
  </w:style>
  <w:style w:type="paragraph" w:styleId="aff2">
    <w:name w:val="Balloon Text"/>
    <w:basedOn w:val="a0"/>
    <w:link w:val="aff3"/>
    <w:uiPriority w:val="99"/>
    <w:semiHidden/>
    <w:unhideWhenUsed/>
    <w:rsid w:val="00BD2C21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1"/>
    <w:link w:val="aff2"/>
    <w:uiPriority w:val="99"/>
    <w:semiHidden/>
    <w:rsid w:val="00BD2C21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1"/>
    <w:link w:val="aa"/>
    <w:uiPriority w:val="1"/>
    <w:rsid w:val="00AE66BC"/>
    <w:rPr>
      <w:rFonts w:ascii="Times New Roman" w:hAnsi="Times New Roman"/>
      <w:sz w:val="28"/>
      <w:szCs w:val="32"/>
    </w:rPr>
  </w:style>
  <w:style w:type="character" w:styleId="aff4">
    <w:name w:val="annotation reference"/>
    <w:basedOn w:val="a1"/>
    <w:uiPriority w:val="99"/>
    <w:semiHidden/>
    <w:unhideWhenUsed/>
    <w:rsid w:val="00DE1F29"/>
    <w:rPr>
      <w:sz w:val="16"/>
      <w:szCs w:val="16"/>
    </w:rPr>
  </w:style>
  <w:style w:type="paragraph" w:styleId="aff5">
    <w:name w:val="annotation text"/>
    <w:basedOn w:val="a0"/>
    <w:link w:val="aff6"/>
    <w:uiPriority w:val="99"/>
    <w:semiHidden/>
    <w:unhideWhenUsed/>
    <w:rsid w:val="00DE1F29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1"/>
    <w:link w:val="aff5"/>
    <w:uiPriority w:val="99"/>
    <w:semiHidden/>
    <w:rsid w:val="00DE1F29"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E1F29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DE1F29"/>
    <w:rPr>
      <w:rFonts w:ascii="Times New Roman" w:hAnsi="Times New Roman"/>
      <w:b/>
      <w:bCs/>
      <w:sz w:val="20"/>
      <w:szCs w:val="20"/>
    </w:rPr>
  </w:style>
  <w:style w:type="paragraph" w:customStyle="1" w:styleId="aff9">
    <w:name w:val="Знак"/>
    <w:basedOn w:val="a0"/>
    <w:rsid w:val="00C52120"/>
    <w:pPr>
      <w:spacing w:after="160" w:line="240" w:lineRule="exact"/>
      <w:ind w:firstLine="0"/>
      <w:jc w:val="left"/>
    </w:pPr>
    <w:rPr>
      <w:rFonts w:ascii="Verdana" w:eastAsia="Times New Roman" w:hAnsi="Verdana" w:cs="Verdana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0B6B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C8227B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54C4A"/>
    <w:pPr>
      <w:keepNext/>
      <w:spacing w:before="240" w:after="60"/>
      <w:outlineLvl w:val="1"/>
    </w:pPr>
    <w:rPr>
      <w:rFonts w:eastAsiaTheme="majorEastAsia"/>
      <w:b/>
      <w:bCs/>
      <w:i/>
      <w:iCs/>
      <w:sz w:val="30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A54C4A"/>
    <w:pPr>
      <w:keepNext/>
      <w:spacing w:before="240" w:after="60"/>
      <w:outlineLvl w:val="2"/>
    </w:pPr>
    <w:rPr>
      <w:rFonts w:eastAsiaTheme="majorEastAsia"/>
      <w:b/>
      <w:bCs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A54C4A"/>
    <w:pPr>
      <w:keepNext/>
      <w:spacing w:before="240" w:after="60"/>
      <w:outlineLvl w:val="3"/>
    </w:pPr>
    <w:rPr>
      <w:b/>
      <w:bCs/>
      <w:sz w:val="26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227B"/>
    <w:rPr>
      <w:rFonts w:ascii="Times New Roman" w:eastAsiaTheme="majorEastAsia" w:hAnsi="Times New Roman"/>
      <w:b/>
      <w:bCs/>
      <w:kern w:val="32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A54C4A"/>
    <w:rPr>
      <w:rFonts w:ascii="Times New Roman" w:eastAsiaTheme="majorEastAsia" w:hAnsi="Times New Roman"/>
      <w:b/>
      <w:bCs/>
      <w:i/>
      <w:iCs/>
      <w:sz w:val="30"/>
      <w:szCs w:val="28"/>
    </w:rPr>
  </w:style>
  <w:style w:type="character" w:customStyle="1" w:styleId="30">
    <w:name w:val="Заголовок 3 Знак"/>
    <w:basedOn w:val="a1"/>
    <w:link w:val="3"/>
    <w:uiPriority w:val="9"/>
    <w:rsid w:val="00A54C4A"/>
    <w:rPr>
      <w:rFonts w:ascii="Times New Roman" w:eastAsiaTheme="majorEastAsia" w:hAnsi="Times New Roman"/>
      <w:b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rsid w:val="00A54C4A"/>
    <w:rPr>
      <w:rFonts w:ascii="Times New Roman" w:hAnsi="Times New Roman"/>
      <w:b/>
      <w:bCs/>
      <w:sz w:val="26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4">
    <w:name w:val="Title"/>
    <w:basedOn w:val="a0"/>
    <w:next w:val="a0"/>
    <w:link w:val="a5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1"/>
    <w:link w:val="a4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1"/>
    <w:link w:val="a6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1"/>
    <w:uiPriority w:val="22"/>
    <w:qFormat/>
    <w:rsid w:val="002A2FB3"/>
    <w:rPr>
      <w:b/>
      <w:bCs/>
    </w:rPr>
  </w:style>
  <w:style w:type="character" w:styleId="a9">
    <w:name w:val="Emphasis"/>
    <w:basedOn w:val="a1"/>
    <w:uiPriority w:val="20"/>
    <w:qFormat/>
    <w:rsid w:val="002A2FB3"/>
    <w:rPr>
      <w:rFonts w:asciiTheme="minorHAnsi" w:hAnsiTheme="minorHAnsi"/>
      <w:b/>
      <w:i/>
      <w:iCs/>
    </w:rPr>
  </w:style>
  <w:style w:type="paragraph" w:styleId="aa">
    <w:name w:val="No Spacing"/>
    <w:basedOn w:val="a0"/>
    <w:link w:val="ab"/>
    <w:uiPriority w:val="1"/>
    <w:qFormat/>
    <w:rsid w:val="002A2FB3"/>
    <w:rPr>
      <w:szCs w:val="32"/>
    </w:rPr>
  </w:style>
  <w:style w:type="paragraph" w:styleId="ac">
    <w:name w:val="List Paragraph"/>
    <w:basedOn w:val="a0"/>
    <w:uiPriority w:val="34"/>
    <w:qFormat/>
    <w:rsid w:val="002A2FB3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1"/>
    <w:link w:val="21"/>
    <w:uiPriority w:val="29"/>
    <w:rsid w:val="002A2FB3"/>
    <w:rPr>
      <w:i/>
      <w:sz w:val="24"/>
      <w:szCs w:val="24"/>
    </w:rPr>
  </w:style>
  <w:style w:type="paragraph" w:styleId="ad">
    <w:name w:val="Intense Quote"/>
    <w:basedOn w:val="a0"/>
    <w:next w:val="a0"/>
    <w:link w:val="ae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1"/>
    <w:link w:val="ad"/>
    <w:uiPriority w:val="30"/>
    <w:rsid w:val="002A2FB3"/>
    <w:rPr>
      <w:b/>
      <w:i/>
      <w:sz w:val="24"/>
    </w:rPr>
  </w:style>
  <w:style w:type="character" w:styleId="af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f0">
    <w:name w:val="Intense Emphasis"/>
    <w:basedOn w:val="a1"/>
    <w:uiPriority w:val="21"/>
    <w:qFormat/>
    <w:rsid w:val="002A2FB3"/>
    <w:rPr>
      <w:b/>
      <w:i/>
      <w:sz w:val="24"/>
      <w:szCs w:val="24"/>
      <w:u w:val="single"/>
    </w:rPr>
  </w:style>
  <w:style w:type="character" w:styleId="af1">
    <w:name w:val="Subtle Reference"/>
    <w:basedOn w:val="a1"/>
    <w:uiPriority w:val="31"/>
    <w:qFormat/>
    <w:rsid w:val="002A2FB3"/>
    <w:rPr>
      <w:sz w:val="24"/>
      <w:szCs w:val="24"/>
      <w:u w:val="single"/>
    </w:rPr>
  </w:style>
  <w:style w:type="character" w:styleId="af2">
    <w:name w:val="Intense Reference"/>
    <w:basedOn w:val="a1"/>
    <w:uiPriority w:val="32"/>
    <w:qFormat/>
    <w:rsid w:val="002A2FB3"/>
    <w:rPr>
      <w:b/>
      <w:sz w:val="24"/>
      <w:u w:val="single"/>
    </w:rPr>
  </w:style>
  <w:style w:type="character" w:styleId="af3">
    <w:name w:val="Book Title"/>
    <w:basedOn w:val="a1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0"/>
    <w:uiPriority w:val="39"/>
    <w:unhideWhenUsed/>
    <w:qFormat/>
    <w:rsid w:val="002A2FB3"/>
    <w:pPr>
      <w:outlineLvl w:val="9"/>
    </w:pPr>
  </w:style>
  <w:style w:type="paragraph" w:styleId="af5">
    <w:name w:val="header"/>
    <w:basedOn w:val="a0"/>
    <w:link w:val="af6"/>
    <w:uiPriority w:val="99"/>
    <w:unhideWhenUsed/>
    <w:rsid w:val="00CE7BD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rsid w:val="00CE7BDA"/>
    <w:rPr>
      <w:rFonts w:ascii="Times New Roman" w:hAnsi="Times New Roman"/>
      <w:sz w:val="28"/>
      <w:szCs w:val="24"/>
    </w:rPr>
  </w:style>
  <w:style w:type="paragraph" w:styleId="af7">
    <w:name w:val="footer"/>
    <w:basedOn w:val="a0"/>
    <w:link w:val="af8"/>
    <w:uiPriority w:val="99"/>
    <w:unhideWhenUsed/>
    <w:rsid w:val="00CE7BD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1"/>
    <w:link w:val="af7"/>
    <w:uiPriority w:val="99"/>
    <w:rsid w:val="00CE7BDA"/>
    <w:rPr>
      <w:rFonts w:ascii="Times New Roman" w:hAnsi="Times New Roman"/>
      <w:sz w:val="28"/>
      <w:szCs w:val="24"/>
    </w:rPr>
  </w:style>
  <w:style w:type="paragraph" w:customStyle="1" w:styleId="af9">
    <w:name w:val="Загловок глава"/>
    <w:basedOn w:val="a"/>
    <w:next w:val="a0"/>
    <w:qFormat/>
    <w:rsid w:val="007F0FA9"/>
    <w:pPr>
      <w:jc w:val="center"/>
    </w:pPr>
    <w:rPr>
      <w:b/>
    </w:rPr>
  </w:style>
  <w:style w:type="paragraph" w:styleId="a">
    <w:name w:val="List Number"/>
    <w:basedOn w:val="a0"/>
    <w:uiPriority w:val="99"/>
    <w:semiHidden/>
    <w:unhideWhenUsed/>
    <w:rsid w:val="007F0FA9"/>
    <w:pPr>
      <w:numPr>
        <w:numId w:val="1"/>
      </w:numPr>
      <w:contextualSpacing/>
    </w:pPr>
  </w:style>
  <w:style w:type="paragraph" w:styleId="afa">
    <w:name w:val="endnote text"/>
    <w:basedOn w:val="a0"/>
    <w:link w:val="afb"/>
    <w:uiPriority w:val="99"/>
    <w:semiHidden/>
    <w:unhideWhenUsed/>
    <w:rsid w:val="003A3AE2"/>
    <w:pPr>
      <w:ind w:firstLine="0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sid w:val="003A3AE2"/>
    <w:rPr>
      <w:rFonts w:eastAsiaTheme="minorEastAsia"/>
      <w:sz w:val="20"/>
      <w:szCs w:val="20"/>
    </w:rPr>
  </w:style>
  <w:style w:type="character" w:styleId="afc">
    <w:name w:val="endnote reference"/>
    <w:basedOn w:val="a1"/>
    <w:uiPriority w:val="99"/>
    <w:semiHidden/>
    <w:unhideWhenUsed/>
    <w:rsid w:val="003A3AE2"/>
    <w:rPr>
      <w:vertAlign w:val="superscript"/>
    </w:rPr>
  </w:style>
  <w:style w:type="table" w:styleId="afd">
    <w:name w:val="Table Grid"/>
    <w:basedOn w:val="a2"/>
    <w:uiPriority w:val="59"/>
    <w:rsid w:val="00603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note text"/>
    <w:basedOn w:val="a0"/>
    <w:link w:val="aff"/>
    <w:uiPriority w:val="99"/>
    <w:semiHidden/>
    <w:unhideWhenUsed/>
    <w:rsid w:val="00793FB0"/>
    <w:rPr>
      <w:sz w:val="20"/>
      <w:szCs w:val="20"/>
    </w:rPr>
  </w:style>
  <w:style w:type="character" w:customStyle="1" w:styleId="aff">
    <w:name w:val="Текст сноски Знак"/>
    <w:basedOn w:val="a1"/>
    <w:link w:val="afe"/>
    <w:uiPriority w:val="99"/>
    <w:semiHidden/>
    <w:rsid w:val="00793FB0"/>
    <w:rPr>
      <w:rFonts w:ascii="Times New Roman" w:hAnsi="Times New Roman"/>
      <w:sz w:val="20"/>
      <w:szCs w:val="20"/>
    </w:rPr>
  </w:style>
  <w:style w:type="character" w:styleId="aff0">
    <w:name w:val="footnote reference"/>
    <w:basedOn w:val="a1"/>
    <w:uiPriority w:val="99"/>
    <w:semiHidden/>
    <w:unhideWhenUsed/>
    <w:rsid w:val="00793FB0"/>
    <w:rPr>
      <w:vertAlign w:val="superscript"/>
    </w:rPr>
  </w:style>
  <w:style w:type="paragraph" w:styleId="11">
    <w:name w:val="toc 1"/>
    <w:basedOn w:val="a0"/>
    <w:next w:val="a0"/>
    <w:autoRedefine/>
    <w:uiPriority w:val="39"/>
    <w:unhideWhenUsed/>
    <w:qFormat/>
    <w:rsid w:val="00BD2C21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qFormat/>
    <w:rsid w:val="00BD2C21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qFormat/>
    <w:rsid w:val="00BD2C21"/>
    <w:pPr>
      <w:spacing w:after="100"/>
      <w:ind w:left="560"/>
    </w:pPr>
  </w:style>
  <w:style w:type="character" w:styleId="aff1">
    <w:name w:val="Hyperlink"/>
    <w:basedOn w:val="a1"/>
    <w:uiPriority w:val="99"/>
    <w:unhideWhenUsed/>
    <w:rsid w:val="00BD2C21"/>
    <w:rPr>
      <w:color w:val="0000FF" w:themeColor="hyperlink"/>
      <w:u w:val="single"/>
    </w:rPr>
  </w:style>
  <w:style w:type="paragraph" w:styleId="aff2">
    <w:name w:val="Balloon Text"/>
    <w:basedOn w:val="a0"/>
    <w:link w:val="aff3"/>
    <w:uiPriority w:val="99"/>
    <w:semiHidden/>
    <w:unhideWhenUsed/>
    <w:rsid w:val="00BD2C21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1"/>
    <w:link w:val="aff2"/>
    <w:uiPriority w:val="99"/>
    <w:semiHidden/>
    <w:rsid w:val="00BD2C21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1"/>
    <w:link w:val="aa"/>
    <w:uiPriority w:val="1"/>
    <w:rsid w:val="00AE66BC"/>
    <w:rPr>
      <w:rFonts w:ascii="Times New Roman" w:hAnsi="Times New Roman"/>
      <w:sz w:val="28"/>
      <w:szCs w:val="32"/>
    </w:rPr>
  </w:style>
  <w:style w:type="character" w:styleId="aff4">
    <w:name w:val="annotation reference"/>
    <w:basedOn w:val="a1"/>
    <w:uiPriority w:val="99"/>
    <w:semiHidden/>
    <w:unhideWhenUsed/>
    <w:rsid w:val="00DE1F29"/>
    <w:rPr>
      <w:sz w:val="16"/>
      <w:szCs w:val="16"/>
    </w:rPr>
  </w:style>
  <w:style w:type="paragraph" w:styleId="aff5">
    <w:name w:val="annotation text"/>
    <w:basedOn w:val="a0"/>
    <w:link w:val="aff6"/>
    <w:uiPriority w:val="99"/>
    <w:semiHidden/>
    <w:unhideWhenUsed/>
    <w:rsid w:val="00DE1F29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1"/>
    <w:link w:val="aff5"/>
    <w:uiPriority w:val="99"/>
    <w:semiHidden/>
    <w:rsid w:val="00DE1F29"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E1F29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DE1F29"/>
    <w:rPr>
      <w:rFonts w:ascii="Times New Roman" w:hAnsi="Times New Roman"/>
      <w:b/>
      <w:bCs/>
      <w:sz w:val="20"/>
      <w:szCs w:val="20"/>
    </w:rPr>
  </w:style>
  <w:style w:type="paragraph" w:customStyle="1" w:styleId="aff9">
    <w:name w:val="Знак"/>
    <w:basedOn w:val="a0"/>
    <w:rsid w:val="00C52120"/>
    <w:pPr>
      <w:spacing w:after="160" w:line="240" w:lineRule="exact"/>
      <w:ind w:firstLine="0"/>
      <w:jc w:val="left"/>
    </w:pPr>
    <w:rPr>
      <w:rFonts w:ascii="Verdana" w:eastAsia="Times New Roman" w:hAnsi="Verdana" w:cs="Verdana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5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055AB-0864-4D26-8DB7-2455D7B3F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13</Pages>
  <Words>3044</Words>
  <Characters>17356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9</cp:revision>
  <dcterms:created xsi:type="dcterms:W3CDTF">2021-06-22T12:37:00Z</dcterms:created>
  <dcterms:modified xsi:type="dcterms:W3CDTF">2021-06-22T16:02:00Z</dcterms:modified>
</cp:coreProperties>
</file>