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spent a month hiding from the modern archive.</w:t>
      </w:r>
    </w:p>
    <w:p>
      <w:r>
        <w:t>He did not know that. It did not matter. The foundation was already being chipped away, one approved requisition at a time, and the first stone had already been laid without a single alarm sounding anywhere in Trinity.</w:t>
      </w:r>
    </w:p>
    <w:p>
      <w:r>
        <w:rPr>
          <w:i/>
          <w:color w:val="5C6B7D"/>
        </w:rPr>
        <w:t>Below, the invitation had become a presence at the shack. Gerald had entered carrying the history of the mine on his body, and Camilla had begun asking what his pain was trying to say. The next danger would not come from a system they could simply evade. It would come from deciding whom to let inside.</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seven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He held a low horse stance until his thighs trembled, lowered through five controlled push-ups without letting his chest touch the floor, then settled into a forearm plank while counting each breath. It was not the kind of exercise designed to build muscle for display. Ashoka had no use for display. The movements were slow, punishing, and exact: holds that made the tendons tremble, controlled descents that denied the body momentum, breath measured against strain until the mind stopped asking when it would end. The purpose was not strength alone. Strength could be trained by machinery. This was obedience under pressure, pain without spectacle, the old lesson driven into bone one repetition at a time: failure might happen, but surrender was never permitted to arrive first.</w:t>
      </w:r>
    </w:p>
    <w:p>
      <w:r>
        <w:t>His face did not change. Sweat moved along his temple and down the scar at his jaw, but his expression remained carved into the same hard stillness he carried into every room. Not anger. Not calm. Something more severe than both,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