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Ben said.</w:t>
      </w:r>
    </w:p>
    <w:p>
      <w:r>
        <w:rPr>
          <w:b w:val="0"/>
          <w:i w:val="0"/>
          <w:strike w:val="0"/>
        </w:rPr>
        <w:t>"Goes with you. The tank stays here."</w:t>
      </w:r>
    </w:p>
    <w:p>
      <w:r>
        <w:rPr>
          <w:b w:val="0"/>
          <w:i w:val="0"/>
          <w:strike w:val="0"/>
        </w:rPr>
        <w:t>Camilla went still beside Gage. She was the one who had said it, the first night, with a line still in her hand: he stays where the machines are, or he dies in a shack with his eyes open. Flitzberg looked at her and let it stand.</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 I will not tell you it was kind."</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"What they eat now. The ration is drawn on the quota board, not on the vein, and the quota is coal. The vein is Trinity's profit. The coal keeps the city lit, and the ration is the cheapest way Trinity has found to keep the hands that cut it alive.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