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path of least resistance. If she did nothing, her profile remained untarnished, her clearance intact, and her standing in Drona secure. The system would process Gage, Ben, and Otto through standard culling protocols—separating their quarters, fragmenting their assignments, and ensuring they broke individually before they could threaten the city’s design. To remain passive was to survive, but it meant becoming an accomplice to the very machinery that had erased Teresa.</w:t>
      </w:r>
    </w:p>
    <w:p>
      <w:r>
        <w:t>An official administrative appeal was equally futile.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That left only a third option: direct, unauthorized intervention.</w:t>
      </w:r>
    </w:p>
    <w:p>
      <w:r>
        <w:t>Altering a protected governance document inside the restricted archives was an act of high treason. The stakes were absolute.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