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inzel" w:cs="Cinzel" w:eastAsia="Cinzel" w:hAnsi="Cinzel"/>
          <w:b/>
          <w:bCs/>
          <w:color w:val="B8965A"/>
          <w:spacing w:val="60"/>
          <w:sz w:val="34"/>
          <w:szCs w:val="34"/>
        </w:rPr>
        <w:t xml:space="preserve">TROOMS HOUSE</w:t>
      </w:r>
    </w:p>
    <w:p>
      <w:pPr>
        <w:spacing w:before="80"/>
        <w:jc w:val="center"/>
      </w:pPr>
      <w:r>
        <w:rPr>
          <w:rFonts w:ascii="Cinzel" w:cs="Cinzel" w:eastAsia="Cinzel" w:hAnsi="Cinzel"/>
          <w:b/>
          <w:bCs/>
          <w:color w:val="2C1F0E"/>
          <w:spacing w:val="80"/>
          <w:sz w:val="20"/>
          <w:szCs w:val="20"/>
        </w:rPr>
        <w:t xml:space="preserve">FARMS &amp; EQUESTRIAN</w:t>
      </w:r>
    </w:p>
    <w:p>
      <w:pPr>
        <w:spacing w:after="500"/>
      </w:pPr>
    </w:p>
    <w:p>
      <w:pPr>
        <w:pBdr>
          <w:top w:val="single" w:color="B8965A" w:sz="4" w:space="14"/>
          <w:bottom w:val="single" w:color="B8965A" w:sz="4" w:space="14"/>
        </w:pBdr>
        <w:jc w:val="center"/>
      </w:pPr>
      <w:r>
        <w:rPr>
          <w:sz w:val="2"/>
          <w:szCs w:val="2"/>
        </w:rPr>
        <w:t xml:space="preserve">  </w:t>
      </w:r>
    </w:p>
    <w:p>
      <w:pPr>
        <w:spacing w:after="400"/>
      </w:pPr>
    </w:p>
    <w:p>
      <w:pPr>
        <w:jc w:val="center"/>
      </w:pPr>
      <w:r>
        <w:rPr>
          <w:rFonts w:ascii="Cormorant Garamond" w:cs="Cormorant Garamond" w:eastAsia="Cormorant Garamond" w:hAnsi="Cormorant Garamond"/>
          <w:b/>
          <w:bCs/>
          <w:i/>
          <w:iCs/>
          <w:color w:val="2C1F0E"/>
          <w:sz w:val="56"/>
          <w:szCs w:val="56"/>
        </w:rPr>
        <w:t xml:space="preserve">Farm Operations</w:t>
      </w:r>
    </w:p>
    <w:p>
      <w:pPr>
        <w:spacing w:before="60"/>
        <w:jc w:val="center"/>
      </w:pPr>
      <w:r>
        <w:rPr>
          <w:rFonts w:ascii="Cormorant Garamond" w:cs="Cormorant Garamond" w:eastAsia="Cormorant Garamond" w:hAnsi="Cormorant Garamond"/>
          <w:i/>
          <w:iCs/>
          <w:color w:val="8B4A2A"/>
          <w:sz w:val="40"/>
          <w:szCs w:val="40"/>
        </w:rPr>
        <w:t xml:space="preserve">WhatsApp-to-ERP System Design</w:t>
      </w:r>
    </w:p>
    <w:p>
      <w:pPr>
        <w:spacing w:after="700"/>
      </w:pPr>
    </w:p>
    <w:p>
      <w:pPr>
        <w:jc w:val="center"/>
      </w:pPr>
      <w:r>
        <w:rPr>
          <w:rFonts w:ascii="Cinzel" w:cs="Cinzel" w:eastAsia="Cinzel" w:hAnsi="Cinzel"/>
          <w:color w:val="2D3D2A"/>
          <w:spacing w:val="10"/>
          <w:sz w:val="16"/>
          <w:szCs w:val="16"/>
        </w:rPr>
        <w:t xml:space="preserve">Shared-Group Architecture · Bilingual (English / Swahili) · AI-Structured Ledger</w:t>
      </w:r>
    </w:p>
    <w:p>
      <w:pPr>
        <w:spacing w:after="1600"/>
      </w:pPr>
    </w:p>
    <w:p>
      <w:pPr>
        <w:jc w:val="center"/>
      </w:pPr>
      <w:r>
        <w:rPr>
          <w:rFonts w:ascii="Cormorant Garamond" w:cs="Cormorant Garamond" w:eastAsia="Cormorant Garamond" w:hAnsi="Cormorant Garamond"/>
          <w:i/>
          <w:iCs/>
          <w:color w:val="B8965A"/>
          <w:sz w:val="24"/>
          <w:szCs w:val="24"/>
        </w:rPr>
        <w:t xml:space="preserve">“Where the land meets legacy”</w:t>
      </w:r>
    </w:p>
    <w:p>
      <w:pPr>
        <w:spacing w:after="1000"/>
      </w:pPr>
    </w:p>
    <w:p>
      <w:pPr>
        <w:jc w:val="center"/>
      </w:pPr>
      <w:r>
        <w:rPr>
          <w:rFonts w:ascii="EB Garamond" w:cs="EB Garamond" w:eastAsia="EB Garamond" w:hAnsi="EB Garamond"/>
          <w:color w:val="2C1F0E"/>
          <w:sz w:val="20"/>
          <w:szCs w:val="20"/>
        </w:rPr>
        <w:t xml:space="preserve">Prepared for Matthew · Estate Director</w:t>
      </w:r>
    </w:p>
    <w:p>
      <w:pPr>
        <w:spacing w:before="40"/>
        <w:jc w:val="center"/>
      </w:pPr>
      <w:r>
        <w:rPr>
          <w:rFonts w:ascii="EB Garamond" w:cs="EB Garamond" w:eastAsia="EB Garamond" w:hAnsi="EB Garamond"/>
          <w:color w:val="2C1F0E"/>
          <w:sz w:val="20"/>
          <w:szCs w:val="20"/>
        </w:rPr>
        <w:t xml:space="preserve">July 2026</w:t>
      </w:r>
    </w:p>
    <w:p>
      <w:pPr>
        <w:sectPr>
          <w:pgSz w:w="12240" w:h="15840" w:orient="portrait"/>
          <w:pgMar w:top="1440" w:right="1440" w:bottom="1440" w:left="1440" w:header="708" w:footer="708" w:gutter="0"/>
          <w:pgNumType/>
          <w:docGrid w:linePitch="360"/>
        </w:sectPr>
      </w:pPr>
    </w:p>
    <w:p>
      <w:pPr>
        <w:spacing w:after="40"/>
      </w:pPr>
      <w:r>
        <w:rPr>
          <w:rFonts w:ascii="Cinzel" w:cs="Cinzel" w:eastAsia="Cinzel" w:hAnsi="Cinzel"/>
          <w:b/>
          <w:bCs/>
          <w:color w:val="B8965A"/>
          <w:spacing w:val="30"/>
          <w:sz w:val="15"/>
          <w:szCs w:val="15"/>
        </w:rPr>
        <w:t xml:space="preserve">01 — EXECUTIVE SUMMARY</w:t>
      </w:r>
    </w:p>
    <w:p>
      <w:pPr>
        <w:pBdr>
          <w:bottom w:val="single" w:color="B8965A" w:sz="6" w:space="4"/>
        </w:pBdr>
        <w:spacing w:after="160" w:before="420"/>
      </w:pPr>
      <w:r>
        <w:rPr>
          <w:rFonts w:ascii="Cinzel" w:cs="Cinzel" w:eastAsia="Cinzel" w:hAnsi="Cinzel"/>
          <w:b/>
          <w:bCs/>
          <w:color w:val="2C1F0E"/>
          <w:spacing w:val="20"/>
          <w:sz w:val="26"/>
          <w:szCs w:val="26"/>
        </w:rPr>
        <w:t xml:space="preserve">Why WhatsApp, Not a New System</w:t>
      </w:r>
    </w:p>
    <w:p>
      <w:pPr>
        <w:spacing w:after="140" w:line="300"/>
      </w:pPr>
      <w:r>
        <w:rPr>
          <w:rFonts w:ascii="EB Garamond" w:cs="EB Garamond" w:eastAsia="EB Garamond" w:hAnsi="EB Garamond"/>
          <w:color w:val="2C1F0E"/>
          <w:sz w:val="22"/>
          <w:szCs w:val="22"/>
        </w:rPr>
        <w:t xml:space="preserve">Farm staff already know WhatsApp. Rather than training the team on a new app or dashboard, this design puts the farm's day-to-day record-keeping — harvests, planting, and issues that need attention — inside a WhatsApp group staff already use, and lets AI turn those ordinary messages into a structured Estate Farm Ledger automatically.</w:t>
      </w:r>
    </w:p>
    <w:p>
      <w:pPr>
        <w:spacing w:after="140" w:line="300"/>
      </w:pPr>
      <w:r>
        <w:rPr>
          <w:rFonts w:ascii="EB Garamond" w:cs="EB Garamond" w:eastAsia="EB Garamond" w:hAnsi="EB Garamond"/>
          <w:color w:val="2C1F0E"/>
          <w:sz w:val="22"/>
          <w:szCs w:val="22"/>
        </w:rPr>
        <w:t xml:space="preserve">The pilot module is Farm Operations (harvest and planting logs, plus flagged issues). The same architecture extends later to Equestrian Operations and staff attendance, following the phased rollout in Section 8.</w:t>
      </w:r>
    </w:p>
    <w:p>
      <w:pPr>
        <w:spacing w:after="40"/>
      </w:pPr>
      <w:r>
        <w:rPr>
          <w:rFonts w:ascii="Cinzel" w:cs="Cinzel" w:eastAsia="Cinzel" w:hAnsi="Cinzel"/>
          <w:b/>
          <w:bCs/>
          <w:color w:val="B8965A"/>
          <w:spacing w:val="30"/>
          <w:sz w:val="15"/>
          <w:szCs w:val="15"/>
        </w:rPr>
        <w:t xml:space="preserve">02 — ARCHITECTURE AT A GLANCE</w:t>
      </w:r>
    </w:p>
    <w:p>
      <w:pPr>
        <w:pBdr>
          <w:bottom w:val="single" w:color="B8965A" w:sz="6" w:space="4"/>
        </w:pBdr>
        <w:spacing w:after="160" w:before="420"/>
      </w:pPr>
      <w:r>
        <w:rPr>
          <w:rFonts w:ascii="Cinzel" w:cs="Cinzel" w:eastAsia="Cinzel" w:hAnsi="Cinzel"/>
          <w:b/>
          <w:bCs/>
          <w:color w:val="2C1F0E"/>
          <w:spacing w:val="20"/>
          <w:sz w:val="26"/>
          <w:szCs w:val="26"/>
        </w:rPr>
        <w:t xml:space="preserve">Four 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Layer</w:t>
            </w:r>
          </w:p>
        </w:tc>
        <w:tc>
          <w:tcPr>
            <w:tcW w:type="dxa" w:w="42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Role</w:t>
            </w:r>
          </w:p>
        </w:tc>
        <w:tc>
          <w:tcPr>
            <w:tcW w:type="dxa" w:w="255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Technology</w:t>
            </w:r>
          </w:p>
        </w:tc>
      </w:tr>
      <w:tr>
        <w:tc>
          <w:tcPr>
            <w:tcW w:type="dxa" w:w="26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WhatsApp Layer</w:t>
            </w:r>
          </w:p>
        </w:tc>
        <w:tc>
          <w:tcPr>
            <w:tcW w:type="dxa" w:w="4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Where staff type updates, in a shared group</w:t>
            </w:r>
          </w:p>
        </w:tc>
        <w:tc>
          <w:tcPr>
            <w:tcW w:type="dxa" w:w="25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WhatsApp Cloud API + Groups API</w:t>
            </w:r>
          </w:p>
        </w:tc>
      </w:tr>
      <w:tr>
        <w:tc>
          <w:tcPr>
            <w:tcW w:type="dxa" w:w="26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AI Parsing Layer</w:t>
            </w:r>
          </w:p>
        </w:tc>
        <w:tc>
          <w:tcPr>
            <w:tcW w:type="dxa" w:w="4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Reads each message, detects language, extracts structured data, flags issues</w:t>
            </w:r>
          </w:p>
        </w:tc>
        <w:tc>
          <w:tcPr>
            <w:tcW w:type="dxa" w:w="25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Claude API</w:t>
            </w:r>
          </w:p>
        </w:tc>
      </w:tr>
      <w:tr>
        <w:tc>
          <w:tcPr>
            <w:tcW w:type="dxa" w:w="26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Data Layer</w:t>
            </w:r>
          </w:p>
        </w:tc>
        <w:tc>
          <w:tcPr>
            <w:tcW w:type="dxa" w:w="4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Stores every entry as a permanent, structured record</w:t>
            </w:r>
          </w:p>
        </w:tc>
        <w:tc>
          <w:tcPr>
            <w:tcW w:type="dxa" w:w="25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Database (e.g. Postgres / Airtable for pilot)</w:t>
            </w:r>
          </w:p>
        </w:tc>
      </w:tr>
      <w:tr>
        <w:tc>
          <w:tcPr>
            <w:tcW w:type="dxa" w:w="26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Reporting Layer</w:t>
            </w:r>
          </w:p>
        </w:tc>
        <w:tc>
          <w:tcPr>
            <w:tcW w:type="dxa" w:w="4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Rolled-up view for Matthew and managers</w:t>
            </w:r>
          </w:p>
        </w:tc>
        <w:tc>
          <w:tcPr>
            <w:tcW w:type="dxa" w:w="25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Web dashboard</w:t>
            </w:r>
          </w:p>
        </w:tc>
      </w:tr>
    </w:tbl>
    <w:p>
      <w:pPr>
        <w:spacing w:after="40"/>
      </w:pPr>
      <w:r>
        <w:rPr>
          <w:rFonts w:ascii="Cinzel" w:cs="Cinzel" w:eastAsia="Cinzel" w:hAnsi="Cinzel"/>
          <w:b/>
          <w:bCs/>
          <w:color w:val="B8965A"/>
          <w:spacing w:val="30"/>
          <w:sz w:val="15"/>
          <w:szCs w:val="15"/>
        </w:rPr>
        <w:t xml:space="preserve">03 — THE WHATSAPP LAYER</w:t>
      </w:r>
    </w:p>
    <w:p>
      <w:pPr>
        <w:pBdr>
          <w:bottom w:val="single" w:color="B8965A" w:sz="6" w:space="4"/>
        </w:pBdr>
        <w:spacing w:after="160" w:before="420"/>
      </w:pPr>
      <w:r>
        <w:rPr>
          <w:rFonts w:ascii="Cinzel" w:cs="Cinzel" w:eastAsia="Cinzel" w:hAnsi="Cinzel"/>
          <w:b/>
          <w:bCs/>
          <w:color w:val="2C1F0E"/>
          <w:spacing w:val="20"/>
          <w:sz w:val="26"/>
          <w:szCs w:val="26"/>
        </w:rPr>
        <w:t xml:space="preserve">A Shared Farm Ops Group</w:t>
      </w:r>
    </w:p>
    <w:p>
      <w:pPr>
        <w:spacing w:after="140" w:line="300"/>
      </w:pPr>
      <w:r>
        <w:rPr>
          <w:rFonts w:ascii="EB Garamond" w:cs="EB Garamond" w:eastAsia="EB Garamond" w:hAnsi="EB Garamond"/>
          <w:color w:val="2C1F0E"/>
          <w:sz w:val="22"/>
          <w:szCs w:val="22"/>
        </w:rPr>
        <w:t xml:space="preserve">Meta's WhatsApp Business Platform added a dedicated Groups API in 2026, which is the right fit for this design: a business with an Official Business Account (OBA) can create and manage a WhatsApp group programmatically, with staff joining via an invite link, and the bot posting and reading messages inside it.</w:t>
      </w:r>
    </w:p>
    <w:p>
      <w:pPr>
        <w:spacing w:after="100" w:before="260"/>
      </w:pPr>
      <w:r>
        <w:rPr>
          <w:rFonts w:ascii="Cormorant Garamond" w:cs="Cormorant Garamond" w:eastAsia="Cormorant Garamond" w:hAnsi="Cormorant Garamond"/>
          <w:b/>
          <w:bCs/>
          <w:i/>
          <w:iCs/>
          <w:color w:val="8B4A2A"/>
          <w:sz w:val="24"/>
          <w:szCs w:val="24"/>
        </w:rPr>
        <w:t xml:space="preserve">What this means in practice</w:t>
      </w:r>
    </w:p>
    <w:p>
      <w:pPr>
        <w:pStyle w:val="ListParagraph"/>
        <w:numPr>
          <w:ilvl w:val="0"/>
          <w:numId w:val="1"/>
        </w:numPr>
        <w:spacing w:after="90" w:line="280"/>
      </w:pPr>
      <w:r>
        <w:rPr>
          <w:rFonts w:ascii="EB Garamond" w:cs="EB Garamond" w:eastAsia="EB Garamond" w:hAnsi="EB Garamond"/>
          <w:color w:val="2C1F0E"/>
          <w:sz w:val="22"/>
          <w:szCs w:val="22"/>
        </w:rPr>
        <w:t xml:space="preserve">A single “Trooms House — Farm Ops” group is created, with the farm manager, harvest lead, and farm hands as members.</w:t>
      </w:r>
    </w:p>
    <w:p>
      <w:pPr>
        <w:pStyle w:val="ListParagraph"/>
        <w:numPr>
          <w:ilvl w:val="0"/>
          <w:numId w:val="1"/>
        </w:numPr>
        <w:spacing w:after="90" w:line="280"/>
      </w:pPr>
      <w:r>
        <w:rPr>
          <w:rFonts w:ascii="EB Garamond" w:cs="EB Garamond" w:eastAsia="EB Garamond" w:hAnsi="EB Garamond"/>
          <w:color w:val="2C1F0E"/>
          <w:sz w:val="22"/>
          <w:szCs w:val="22"/>
        </w:rPr>
        <w:t xml:space="preserve">Groups are capped at 8 participants each. This suits a farm ops crew comfortably; if the team grows past that, a second group (e.g. by section of the farm) can be created — a business number can run up to 10,000 groups.</w:t>
      </w:r>
    </w:p>
    <w:p>
      <w:pPr>
        <w:pStyle w:val="ListParagraph"/>
        <w:numPr>
          <w:ilvl w:val="0"/>
          <w:numId w:val="1"/>
        </w:numPr>
        <w:spacing w:after="90" w:line="280"/>
      </w:pPr>
      <w:r>
        <w:rPr>
          <w:rFonts w:ascii="EB Garamond" w:cs="EB Garamond" w:eastAsia="EB Garamond" w:hAnsi="EB Garamond"/>
          <w:color w:val="2C1F0E"/>
          <w:sz w:val="22"/>
          <w:szCs w:val="22"/>
        </w:rPr>
        <w:t xml:space="preserve">Everyone sees every update and every bot confirmation — full transparency across the team, and no one has to remember to “report in” separately to a manager.</w:t>
      </w:r>
    </w:p>
    <w:p>
      <w:pPr>
        <w:pStyle w:val="ListParagraph"/>
        <w:numPr>
          <w:ilvl w:val="0"/>
          <w:numId w:val="1"/>
        </w:numPr>
        <w:spacing w:after="90" w:line="280"/>
      </w:pPr>
      <w:r>
        <w:rPr>
          <w:rFonts w:ascii="EB Garamond" w:cs="EB Garamond" w:eastAsia="EB Garamond" w:hAnsi="EB Garamond"/>
          <w:color w:val="2C1F0E"/>
          <w:sz w:val="22"/>
          <w:szCs w:val="22"/>
        </w:rPr>
        <w:t xml:space="preserve">Groups require an Official Business Account and are not available on the free consumer WhatsApp Business app — this needs the proper Cloud API setup, not the app the team may already use informally.</w:t>
      </w:r>
    </w:p>
    <w:p>
      <w:pPr>
        <w:spacing w:after="40"/>
      </w:pPr>
      <w:r>
        <w:rPr>
          <w:rFonts w:ascii="Cinzel" w:cs="Cinzel" w:eastAsia="Cinzel" w:hAnsi="Cinzel"/>
          <w:b/>
          <w:bCs/>
          <w:color w:val="B8965A"/>
          <w:spacing w:val="30"/>
          <w:sz w:val="15"/>
          <w:szCs w:val="15"/>
        </w:rPr>
        <w:t xml:space="preserve">04 — MESSAGE &amp; DATA FLOW</w:t>
      </w:r>
    </w:p>
    <w:p>
      <w:pPr>
        <w:pBdr>
          <w:bottom w:val="single" w:color="B8965A" w:sz="6" w:space="4"/>
        </w:pBdr>
        <w:spacing w:after="160" w:before="420"/>
      </w:pPr>
      <w:r>
        <w:rPr>
          <w:rFonts w:ascii="Cinzel" w:cs="Cinzel" w:eastAsia="Cinzel" w:hAnsi="Cinzel"/>
          <w:b/>
          <w:bCs/>
          <w:color w:val="2C1F0E"/>
          <w:spacing w:val="20"/>
          <w:sz w:val="26"/>
          <w:szCs w:val="26"/>
        </w:rPr>
        <w:t xml:space="preserve">From a Casual Message to a Ledger Entry</w:t>
      </w:r>
    </w:p>
    <w:p>
      <w:pPr>
        <w:spacing w:after="60"/>
      </w:pPr>
    </w:p>
    <w:tbl>
      <w:tblPr>
        <w:tblW w:type="dxa" w:w="9350"/>
        <w:tblBorders>
          <w:top w:val="none"/>
          <w:left w:val="none"/>
          <w:bottom w:val="none"/>
          <w:right w:val="none"/>
          <w:insideH w:val="none"/>
          <w:insideV w:val="none"/>
        </w:tblBorders>
      </w:tblPr>
      <w:tblGrid>
        <w:gridCol w:w="700"/>
        <w:gridCol w:w="8650"/>
      </w:tblGrid>
      <w:tr>
        <w:tc>
          <w:tcPr>
            <w:tcW w:type="dxa" w:w="700"/>
            <w:shd w:fill="B8965A" w:val="clear"/>
            <w:tcMar>
              <w:top w:type="dxa" w:w="60"/>
              <w:left w:type="dxa" w:w="0"/>
              <w:bottom w:type="dxa" w:w="60"/>
              <w:right w:type="dxa" w:w="0"/>
            </w:tcMar>
            <w:vAlign w:val="center"/>
          </w:tcPr>
          <w:p>
            <w:pPr>
              <w:jc w:val="center"/>
            </w:pPr>
            <w:r>
              <w:rPr>
                <w:rFonts w:ascii="Cinzel" w:cs="Cinzel" w:eastAsia="Cinzel" w:hAnsi="Cinzel"/>
                <w:b/>
                <w:bCs/>
                <w:color w:val="F7F2E8"/>
                <w:sz w:val="22"/>
                <w:szCs w:val="22"/>
              </w:rPr>
              <w:t xml:space="preserve">1</w:t>
            </w:r>
          </w:p>
        </w:tc>
        <w:tc>
          <w:tcPr>
            <w:tcW w:type="dxa" w:w="8650"/>
            <w:tcMar>
              <w:top w:type="dxa" w:w="60"/>
              <w:left w:type="dxa" w:w="160"/>
              <w:bottom w:type="dxa" w:w="80"/>
              <w:right w:type="dxa" w:w="100"/>
            </w:tcMar>
          </w:tcPr>
          <w:p>
            <w:pPr>
              <w:spacing w:after="30"/>
            </w:pPr>
            <w:r>
              <w:rPr>
                <w:rFonts w:ascii="Cinzel" w:cs="Cinzel" w:eastAsia="Cinzel" w:hAnsi="Cinzel"/>
                <w:b/>
                <w:bCs/>
                <w:color w:val="2D3D2A"/>
                <w:sz w:val="19"/>
                <w:szCs w:val="19"/>
              </w:rPr>
              <w:t xml:space="preserve">Staff sends an update in the group</w:t>
            </w:r>
          </w:p>
          <w:p>
            <w:r>
              <w:rPr>
                <w:rFonts w:ascii="EB Garamond" w:cs="EB Garamond" w:eastAsia="EB Garamond" w:hAnsi="EB Garamond"/>
                <w:color w:val="2C1F0E"/>
                <w:sz w:val="20"/>
                <w:szCs w:val="20"/>
              </w:rPr>
              <w:t xml:space="preserve">In English or Swahili, e.g. “Harvested 40kg sukuma wiki from Plot 2” or “Tumepanda mahindi Plot 4.” No special format required.</w:t>
            </w:r>
          </w:p>
        </w:tc>
      </w:tr>
    </w:tbl>
    <w:p>
      <w:pPr>
        <w:spacing w:after="140"/>
      </w:pPr>
    </w:p>
    <w:tbl>
      <w:tblPr>
        <w:tblW w:type="dxa" w:w="9350"/>
        <w:tblBorders>
          <w:top w:val="none"/>
          <w:left w:val="none"/>
          <w:bottom w:val="none"/>
          <w:right w:val="none"/>
          <w:insideH w:val="none"/>
          <w:insideV w:val="none"/>
        </w:tblBorders>
      </w:tblPr>
      <w:tblGrid>
        <w:gridCol w:w="700"/>
        <w:gridCol w:w="8650"/>
      </w:tblGrid>
      <w:tr>
        <w:tc>
          <w:tcPr>
            <w:tcW w:type="dxa" w:w="700"/>
            <w:shd w:fill="B8965A" w:val="clear"/>
            <w:tcMar>
              <w:top w:type="dxa" w:w="60"/>
              <w:left w:type="dxa" w:w="0"/>
              <w:bottom w:type="dxa" w:w="60"/>
              <w:right w:type="dxa" w:w="0"/>
            </w:tcMar>
            <w:vAlign w:val="center"/>
          </w:tcPr>
          <w:p>
            <w:pPr>
              <w:jc w:val="center"/>
            </w:pPr>
            <w:r>
              <w:rPr>
                <w:rFonts w:ascii="Cinzel" w:cs="Cinzel" w:eastAsia="Cinzel" w:hAnsi="Cinzel"/>
                <w:b/>
                <w:bCs/>
                <w:color w:val="F7F2E8"/>
                <w:sz w:val="22"/>
                <w:szCs w:val="22"/>
              </w:rPr>
              <w:t xml:space="preserve">2</w:t>
            </w:r>
          </w:p>
        </w:tc>
        <w:tc>
          <w:tcPr>
            <w:tcW w:type="dxa" w:w="8650"/>
            <w:tcMar>
              <w:top w:type="dxa" w:w="60"/>
              <w:left w:type="dxa" w:w="160"/>
              <w:bottom w:type="dxa" w:w="80"/>
              <w:right w:type="dxa" w:w="100"/>
            </w:tcMar>
          </w:tcPr>
          <w:p>
            <w:pPr>
              <w:spacing w:after="30"/>
            </w:pPr>
            <w:r>
              <w:rPr>
                <w:rFonts w:ascii="Cinzel" w:cs="Cinzel" w:eastAsia="Cinzel" w:hAnsi="Cinzel"/>
                <w:b/>
                <w:bCs/>
                <w:color w:val="2D3D2A"/>
                <w:sz w:val="19"/>
                <w:szCs w:val="19"/>
              </w:rPr>
              <w:t xml:space="preserve">Meta delivers the message via webhook</w:t>
            </w:r>
          </w:p>
          <w:p>
            <w:r>
              <w:rPr>
                <w:rFonts w:ascii="EB Garamond" w:cs="EB Garamond" w:eastAsia="EB Garamond" w:hAnsi="EB Garamond"/>
                <w:color w:val="2C1F0E"/>
                <w:sz w:val="20"/>
                <w:szCs w:val="20"/>
              </w:rPr>
              <w:t xml:space="preserve">The WhatsApp Cloud API forwards the message, sender, and group ID to the Trooms House backend in real time.</w:t>
            </w:r>
          </w:p>
        </w:tc>
      </w:tr>
    </w:tbl>
    <w:p>
      <w:pPr>
        <w:spacing w:after="140"/>
      </w:pPr>
    </w:p>
    <w:tbl>
      <w:tblPr>
        <w:tblW w:type="dxa" w:w="9350"/>
        <w:tblBorders>
          <w:top w:val="none"/>
          <w:left w:val="none"/>
          <w:bottom w:val="none"/>
          <w:right w:val="none"/>
          <w:insideH w:val="none"/>
          <w:insideV w:val="none"/>
        </w:tblBorders>
      </w:tblPr>
      <w:tblGrid>
        <w:gridCol w:w="700"/>
        <w:gridCol w:w="8650"/>
      </w:tblGrid>
      <w:tr>
        <w:tc>
          <w:tcPr>
            <w:tcW w:type="dxa" w:w="700"/>
            <w:shd w:fill="B8965A" w:val="clear"/>
            <w:tcMar>
              <w:top w:type="dxa" w:w="60"/>
              <w:left w:type="dxa" w:w="0"/>
              <w:bottom w:type="dxa" w:w="60"/>
              <w:right w:type="dxa" w:w="0"/>
            </w:tcMar>
            <w:vAlign w:val="center"/>
          </w:tcPr>
          <w:p>
            <w:pPr>
              <w:jc w:val="center"/>
            </w:pPr>
            <w:r>
              <w:rPr>
                <w:rFonts w:ascii="Cinzel" w:cs="Cinzel" w:eastAsia="Cinzel" w:hAnsi="Cinzel"/>
                <w:b/>
                <w:bCs/>
                <w:color w:val="F7F2E8"/>
                <w:sz w:val="22"/>
                <w:szCs w:val="22"/>
              </w:rPr>
              <w:t xml:space="preserve">3</w:t>
            </w:r>
          </w:p>
        </w:tc>
        <w:tc>
          <w:tcPr>
            <w:tcW w:type="dxa" w:w="8650"/>
            <w:tcMar>
              <w:top w:type="dxa" w:w="60"/>
              <w:left w:type="dxa" w:w="160"/>
              <w:bottom w:type="dxa" w:w="80"/>
              <w:right w:type="dxa" w:w="100"/>
            </w:tcMar>
          </w:tcPr>
          <w:p>
            <w:pPr>
              <w:spacing w:after="30"/>
            </w:pPr>
            <w:r>
              <w:rPr>
                <w:rFonts w:ascii="Cinzel" w:cs="Cinzel" w:eastAsia="Cinzel" w:hAnsi="Cinzel"/>
                <w:b/>
                <w:bCs/>
                <w:color w:val="2D3D2A"/>
                <w:sz w:val="19"/>
                <w:szCs w:val="19"/>
              </w:rPr>
              <w:t xml:space="preserve">Claude parses the message</w:t>
            </w:r>
          </w:p>
          <w:p>
            <w:r>
              <w:rPr>
                <w:rFonts w:ascii="EB Garamond" w:cs="EB Garamond" w:eastAsia="EB Garamond" w:hAnsi="EB Garamond"/>
                <w:color w:val="2C1F0E"/>
                <w:sz w:val="20"/>
                <w:szCs w:val="20"/>
              </w:rPr>
              <w:t xml:space="preserve">Detects the language, classifies the entry (harvest / planting / task / other), extracts crop, quantity, and plot, and decides whether it needs to be flagged for attention.</w:t>
            </w:r>
          </w:p>
        </w:tc>
      </w:tr>
    </w:tbl>
    <w:p>
      <w:pPr>
        <w:spacing w:after="140"/>
      </w:pPr>
    </w:p>
    <w:tbl>
      <w:tblPr>
        <w:tblW w:type="dxa" w:w="9350"/>
        <w:tblBorders>
          <w:top w:val="none"/>
          <w:left w:val="none"/>
          <w:bottom w:val="none"/>
          <w:right w:val="none"/>
          <w:insideH w:val="none"/>
          <w:insideV w:val="none"/>
        </w:tblBorders>
      </w:tblPr>
      <w:tblGrid>
        <w:gridCol w:w="700"/>
        <w:gridCol w:w="8650"/>
      </w:tblGrid>
      <w:tr>
        <w:tc>
          <w:tcPr>
            <w:tcW w:type="dxa" w:w="700"/>
            <w:shd w:fill="B8965A" w:val="clear"/>
            <w:tcMar>
              <w:top w:type="dxa" w:w="60"/>
              <w:left w:type="dxa" w:w="0"/>
              <w:bottom w:type="dxa" w:w="60"/>
              <w:right w:type="dxa" w:w="0"/>
            </w:tcMar>
            <w:vAlign w:val="center"/>
          </w:tcPr>
          <w:p>
            <w:pPr>
              <w:jc w:val="center"/>
            </w:pPr>
            <w:r>
              <w:rPr>
                <w:rFonts w:ascii="Cinzel" w:cs="Cinzel" w:eastAsia="Cinzel" w:hAnsi="Cinzel"/>
                <w:b/>
                <w:bCs/>
                <w:color w:val="F7F2E8"/>
                <w:sz w:val="22"/>
                <w:szCs w:val="22"/>
              </w:rPr>
              <w:t xml:space="preserve">4</w:t>
            </w:r>
          </w:p>
        </w:tc>
        <w:tc>
          <w:tcPr>
            <w:tcW w:type="dxa" w:w="8650"/>
            <w:tcMar>
              <w:top w:type="dxa" w:w="60"/>
              <w:left w:type="dxa" w:w="160"/>
              <w:bottom w:type="dxa" w:w="80"/>
              <w:right w:type="dxa" w:w="100"/>
            </w:tcMar>
          </w:tcPr>
          <w:p>
            <w:pPr>
              <w:spacing w:after="30"/>
            </w:pPr>
            <w:r>
              <w:rPr>
                <w:rFonts w:ascii="Cinzel" w:cs="Cinzel" w:eastAsia="Cinzel" w:hAnsi="Cinzel"/>
                <w:b/>
                <w:bCs/>
                <w:color w:val="2D3D2A"/>
                <w:sz w:val="19"/>
                <w:szCs w:val="19"/>
              </w:rPr>
              <w:t xml:space="preserve">The record is saved to the ledger</w:t>
            </w:r>
          </w:p>
          <w:p>
            <w:r>
              <w:rPr>
                <w:rFonts w:ascii="EB Garamond" w:cs="EB Garamond" w:eastAsia="EB Garamond" w:hAnsi="EB Garamond"/>
                <w:color w:val="2C1F0E"/>
                <w:sz w:val="20"/>
                <w:szCs w:val="20"/>
              </w:rPr>
              <w:t xml:space="preserve">Every entry is stored with a timestamp, the sending staff member, and full structured detail — nothing depends on someone remembering to write it down later.</w:t>
            </w:r>
          </w:p>
        </w:tc>
      </w:tr>
    </w:tbl>
    <w:p>
      <w:pPr>
        <w:spacing w:after="140"/>
      </w:pPr>
    </w:p>
    <w:tbl>
      <w:tblPr>
        <w:tblW w:type="dxa" w:w="9350"/>
        <w:tblBorders>
          <w:top w:val="none"/>
          <w:left w:val="none"/>
          <w:bottom w:val="none"/>
          <w:right w:val="none"/>
          <w:insideH w:val="none"/>
          <w:insideV w:val="none"/>
        </w:tblBorders>
      </w:tblPr>
      <w:tblGrid>
        <w:gridCol w:w="700"/>
        <w:gridCol w:w="8650"/>
      </w:tblGrid>
      <w:tr>
        <w:tc>
          <w:tcPr>
            <w:tcW w:type="dxa" w:w="700"/>
            <w:shd w:fill="B8965A" w:val="clear"/>
            <w:tcMar>
              <w:top w:type="dxa" w:w="60"/>
              <w:left w:type="dxa" w:w="0"/>
              <w:bottom w:type="dxa" w:w="60"/>
              <w:right w:type="dxa" w:w="0"/>
            </w:tcMar>
            <w:vAlign w:val="center"/>
          </w:tcPr>
          <w:p>
            <w:pPr>
              <w:jc w:val="center"/>
            </w:pPr>
            <w:r>
              <w:rPr>
                <w:rFonts w:ascii="Cinzel" w:cs="Cinzel" w:eastAsia="Cinzel" w:hAnsi="Cinzel"/>
                <w:b/>
                <w:bCs/>
                <w:color w:val="F7F2E8"/>
                <w:sz w:val="22"/>
                <w:szCs w:val="22"/>
              </w:rPr>
              <w:t xml:space="preserve">5</w:t>
            </w:r>
          </w:p>
        </w:tc>
        <w:tc>
          <w:tcPr>
            <w:tcW w:type="dxa" w:w="8650"/>
            <w:tcMar>
              <w:top w:type="dxa" w:w="60"/>
              <w:left w:type="dxa" w:w="160"/>
              <w:bottom w:type="dxa" w:w="80"/>
              <w:right w:type="dxa" w:w="100"/>
            </w:tcMar>
          </w:tcPr>
          <w:p>
            <w:pPr>
              <w:spacing w:after="30"/>
            </w:pPr>
            <w:r>
              <w:rPr>
                <w:rFonts w:ascii="Cinzel" w:cs="Cinzel" w:eastAsia="Cinzel" w:hAnsi="Cinzel"/>
                <w:b/>
                <w:bCs/>
                <w:color w:val="2D3D2A"/>
                <w:sz w:val="19"/>
                <w:szCs w:val="19"/>
              </w:rPr>
              <w:t xml:space="preserve">The bot replies in the group</w:t>
            </w:r>
          </w:p>
          <w:p>
            <w:r>
              <w:rPr>
                <w:rFonts w:ascii="EB Garamond" w:cs="EB Garamond" w:eastAsia="EB Garamond" w:hAnsi="EB Garamond"/>
                <w:color w:val="2C1F0E"/>
                <w:sz w:val="20"/>
                <w:szCs w:val="20"/>
              </w:rPr>
              <w:t xml:space="preserve">A short confirmation is posted back in the same language the staff member used, so everyone sees the update was received — flagged issues can also trigger a direct alert to the farm manager.</w:t>
            </w:r>
          </w:p>
        </w:tc>
      </w:tr>
    </w:tbl>
    <w:p>
      <w:pPr>
        <w:spacing w:after="140"/>
      </w:pPr>
    </w:p>
    <w:tbl>
      <w:tblPr>
        <w:tblW w:type="dxa" w:w="9350"/>
        <w:tblBorders>
          <w:top w:val="none"/>
          <w:left w:val="none"/>
          <w:bottom w:val="none"/>
          <w:right w:val="none"/>
          <w:insideH w:val="none"/>
          <w:insideV w:val="none"/>
        </w:tblBorders>
      </w:tblPr>
      <w:tblGrid>
        <w:gridCol w:w="700"/>
        <w:gridCol w:w="8650"/>
      </w:tblGrid>
      <w:tr>
        <w:tc>
          <w:tcPr>
            <w:tcW w:type="dxa" w:w="700"/>
            <w:shd w:fill="B8965A" w:val="clear"/>
            <w:tcMar>
              <w:top w:type="dxa" w:w="60"/>
              <w:left w:type="dxa" w:w="0"/>
              <w:bottom w:type="dxa" w:w="60"/>
              <w:right w:type="dxa" w:w="0"/>
            </w:tcMar>
            <w:vAlign w:val="center"/>
          </w:tcPr>
          <w:p>
            <w:pPr>
              <w:jc w:val="center"/>
            </w:pPr>
            <w:r>
              <w:rPr>
                <w:rFonts w:ascii="Cinzel" w:cs="Cinzel" w:eastAsia="Cinzel" w:hAnsi="Cinzel"/>
                <w:b/>
                <w:bCs/>
                <w:color w:val="F7F2E8"/>
                <w:sz w:val="22"/>
                <w:szCs w:val="22"/>
              </w:rPr>
              <w:t xml:space="preserve">6</w:t>
            </w:r>
          </w:p>
        </w:tc>
        <w:tc>
          <w:tcPr>
            <w:tcW w:type="dxa" w:w="8650"/>
            <w:tcMar>
              <w:top w:type="dxa" w:w="60"/>
              <w:left w:type="dxa" w:w="160"/>
              <w:bottom w:type="dxa" w:w="80"/>
              <w:right w:type="dxa" w:w="100"/>
            </w:tcMar>
          </w:tcPr>
          <w:p>
            <w:pPr>
              <w:spacing w:after="30"/>
            </w:pPr>
            <w:r>
              <w:rPr>
                <w:rFonts w:ascii="Cinzel" w:cs="Cinzel" w:eastAsia="Cinzel" w:hAnsi="Cinzel"/>
                <w:b/>
                <w:bCs/>
                <w:color w:val="2D3D2A"/>
                <w:sz w:val="19"/>
                <w:szCs w:val="19"/>
              </w:rPr>
              <w:t xml:space="preserve">Matthew and managers see the roll-up</w:t>
            </w:r>
          </w:p>
          <w:p>
            <w:r>
              <w:rPr>
                <w:rFonts w:ascii="EB Garamond" w:cs="EB Garamond" w:eastAsia="EB Garamond" w:hAnsi="EB Garamond"/>
                <w:color w:val="2C1F0E"/>
                <w:sz w:val="20"/>
                <w:szCs w:val="20"/>
              </w:rPr>
              <w:t xml:space="preserve">The dashboard shows harvest and planting trends, open flags, and staff activity — without anyone touching a system directly.</w:t>
            </w:r>
          </w:p>
        </w:tc>
      </w:tr>
    </w:tbl>
    <w:p>
      <w:pPr>
        <w:spacing w:after="40"/>
      </w:pPr>
      <w:r>
        <w:rPr>
          <w:rFonts w:ascii="Cinzel" w:cs="Cinzel" w:eastAsia="Cinzel" w:hAnsi="Cinzel"/>
          <w:b/>
          <w:bCs/>
          <w:color w:val="B8965A"/>
          <w:spacing w:val="30"/>
          <w:sz w:val="15"/>
          <w:szCs w:val="15"/>
        </w:rPr>
        <w:t xml:space="preserve">05 — DATA CAPTURED (PILOT MODULE)</w:t>
      </w:r>
    </w:p>
    <w:p>
      <w:pPr>
        <w:pBdr>
          <w:bottom w:val="single" w:color="B8965A" w:sz="6" w:space="4"/>
        </w:pBdr>
        <w:spacing w:after="160" w:before="420"/>
      </w:pPr>
      <w:r>
        <w:rPr>
          <w:rFonts w:ascii="Cinzel" w:cs="Cinzel" w:eastAsia="Cinzel" w:hAnsi="Cinzel"/>
          <w:b/>
          <w:bCs/>
          <w:color w:val="2C1F0E"/>
          <w:spacing w:val="20"/>
          <w:sz w:val="26"/>
          <w:szCs w:val="26"/>
        </w:rPr>
        <w:t xml:space="preserve">Farm Operations Log —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rPr>
          <w:tblHeader/>
        </w:trPr>
        <w:tc>
          <w:tcPr>
            <w:tcW w:type="dxa" w:w="22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Field</w:t>
            </w:r>
          </w:p>
        </w:tc>
        <w:tc>
          <w:tcPr>
            <w:tcW w:type="dxa" w:w="33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Example</w:t>
            </w:r>
          </w:p>
        </w:tc>
        <w:tc>
          <w:tcPr>
            <w:tcW w:type="dxa" w:w="385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Notes</w:t>
            </w:r>
          </w:p>
        </w:tc>
      </w:tr>
      <w:tr>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Timestamp</w:t>
            </w:r>
          </w:p>
        </w:tc>
        <w:tc>
          <w:tcPr>
            <w:tcW w:type="dxa" w:w="33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20 Jul 2026, 07:12</w:t>
            </w:r>
          </w:p>
        </w:tc>
        <w:tc>
          <w:tcPr>
            <w:tcW w:type="dxa" w:w="38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Set automatically on receipt</w:t>
            </w:r>
          </w:p>
        </w:tc>
      </w:tr>
      <w:tr>
        <w:tc>
          <w:tcPr>
            <w:tcW w:type="dxa" w:w="2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Staff member</w:t>
            </w:r>
          </w:p>
        </w:tc>
        <w:tc>
          <w:tcPr>
            <w:tcW w:type="dxa" w:w="33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Grace (Harvest Lead)</w:t>
            </w:r>
          </w:p>
        </w:tc>
        <w:tc>
          <w:tcPr>
            <w:tcW w:type="dxa" w:w="38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From WhatsApp sender ID, mapped to staff record</w:t>
            </w:r>
          </w:p>
        </w:tc>
      </w:tr>
      <w:tr>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Type</w:t>
            </w:r>
          </w:p>
        </w:tc>
        <w:tc>
          <w:tcPr>
            <w:tcW w:type="dxa" w:w="33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Harvest / Planting / Task / Other</w:t>
            </w:r>
          </w:p>
        </w:tc>
        <w:tc>
          <w:tcPr>
            <w:tcW w:type="dxa" w:w="38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Classified by AI</w:t>
            </w:r>
          </w:p>
        </w:tc>
      </w:tr>
      <w:tr>
        <w:tc>
          <w:tcPr>
            <w:tcW w:type="dxa" w:w="2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Crop / item</w:t>
            </w:r>
          </w:p>
        </w:tc>
        <w:tc>
          <w:tcPr>
            <w:tcW w:type="dxa" w:w="33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Sukuma wiki</w:t>
            </w:r>
          </w:p>
        </w:tc>
        <w:tc>
          <w:tcPr>
            <w:tcW w:type="dxa" w:w="38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Extracted from message</w:t>
            </w:r>
          </w:p>
        </w:tc>
      </w:tr>
      <w:tr>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Quantity</w:t>
            </w:r>
          </w:p>
        </w:tc>
        <w:tc>
          <w:tcPr>
            <w:tcW w:type="dxa" w:w="33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40kg</w:t>
            </w:r>
          </w:p>
        </w:tc>
        <w:tc>
          <w:tcPr>
            <w:tcW w:type="dxa" w:w="38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Extracted with unit where given</w:t>
            </w:r>
          </w:p>
        </w:tc>
      </w:tr>
      <w:tr>
        <w:tc>
          <w:tcPr>
            <w:tcW w:type="dxa" w:w="2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Plot / area</w:t>
            </w:r>
          </w:p>
        </w:tc>
        <w:tc>
          <w:tcPr>
            <w:tcW w:type="dxa" w:w="33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Plot 2</w:t>
            </w:r>
          </w:p>
        </w:tc>
        <w:tc>
          <w:tcPr>
            <w:tcW w:type="dxa" w:w="38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Extracted where mentioned</w:t>
            </w:r>
          </w:p>
        </w:tc>
      </w:tr>
      <w:tr>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Flag</w:t>
            </w:r>
          </w:p>
        </w:tc>
        <w:tc>
          <w:tcPr>
            <w:tcW w:type="dxa" w:w="33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Yes / No</w:t>
            </w:r>
          </w:p>
        </w:tc>
        <w:tc>
          <w:tcPr>
            <w:tcW w:type="dxa" w:w="38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True for pests, disease, irrigation, damage, safety</w:t>
            </w:r>
          </w:p>
        </w:tc>
      </w:tr>
      <w:tr>
        <w:tc>
          <w:tcPr>
            <w:tcW w:type="dxa" w:w="2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Flag reason</w:t>
            </w:r>
          </w:p>
        </w:tc>
        <w:tc>
          <w:tcPr>
            <w:tcW w:type="dxa" w:w="33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Irrigation line broken, Plot 1</w:t>
            </w:r>
          </w:p>
        </w:tc>
        <w:tc>
          <w:tcPr>
            <w:tcW w:type="dxa" w:w="38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Short note for follow-up</w:t>
            </w:r>
          </w:p>
        </w:tc>
      </w:tr>
      <w:tr>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Original language</w:t>
            </w:r>
          </w:p>
        </w:tc>
        <w:tc>
          <w:tcPr>
            <w:tcW w:type="dxa" w:w="33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English / Swahili</w:t>
            </w:r>
          </w:p>
        </w:tc>
        <w:tc>
          <w:tcPr>
            <w:tcW w:type="dxa" w:w="38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Detected automatically</w:t>
            </w:r>
          </w:p>
        </w:tc>
      </w:tr>
    </w:tbl>
    <w:p>
      <w:pPr>
        <w:spacing w:after="40"/>
      </w:pPr>
      <w:r>
        <w:rPr>
          <w:rFonts w:ascii="Cinzel" w:cs="Cinzel" w:eastAsia="Cinzel" w:hAnsi="Cinzel"/>
          <w:b/>
          <w:bCs/>
          <w:color w:val="B8965A"/>
          <w:spacing w:val="30"/>
          <w:sz w:val="15"/>
          <w:szCs w:val="15"/>
        </w:rPr>
        <w:t xml:space="preserve">06 — BILINGUAL HANDLING</w:t>
      </w:r>
    </w:p>
    <w:p>
      <w:pPr>
        <w:pBdr>
          <w:bottom w:val="single" w:color="B8965A" w:sz="6" w:space="4"/>
        </w:pBdr>
        <w:spacing w:after="160" w:before="420"/>
      </w:pPr>
      <w:r>
        <w:rPr>
          <w:rFonts w:ascii="Cinzel" w:cs="Cinzel" w:eastAsia="Cinzel" w:hAnsi="Cinzel"/>
          <w:b/>
          <w:bCs/>
          <w:color w:val="2C1F0E"/>
          <w:spacing w:val="20"/>
          <w:sz w:val="26"/>
          <w:szCs w:val="26"/>
        </w:rPr>
        <w:t xml:space="preserve">English and Swahili, Auto-Detected</w:t>
      </w:r>
    </w:p>
    <w:p>
      <w:pPr>
        <w:spacing w:after="140" w:line="300"/>
      </w:pPr>
      <w:r>
        <w:rPr>
          <w:rFonts w:ascii="EB Garamond" w:cs="EB Garamond" w:eastAsia="EB Garamond" w:hAnsi="EB Garamond"/>
          <w:color w:val="2C1F0E"/>
          <w:sz w:val="22"/>
          <w:szCs w:val="22"/>
        </w:rPr>
        <w:t xml:space="preserve">Staff never choose a language setting. Each message is read as-is; the AI detects whether it's English, Swahili, or a natural mix of both (common in everyday speech), and replies in kind. This keeps the interaction feeling like an ordinary WhatsApp conversation rather than a form to fill in correctly.</w:t>
      </w:r>
    </w:p>
    <w:p>
      <w:pPr>
        <w:spacing w:after="40"/>
      </w:pPr>
      <w:r>
        <w:rPr>
          <w:rFonts w:ascii="Cinzel" w:cs="Cinzel" w:eastAsia="Cinzel" w:hAnsi="Cinzel"/>
          <w:b/>
          <w:bCs/>
          <w:color w:val="B8965A"/>
          <w:spacing w:val="30"/>
          <w:sz w:val="15"/>
          <w:szCs w:val="15"/>
        </w:rPr>
        <w:t xml:space="preserve">07 — ALERTS &amp; ESCALATION</w:t>
      </w:r>
    </w:p>
    <w:p>
      <w:pPr>
        <w:pBdr>
          <w:bottom w:val="single" w:color="B8965A" w:sz="6" w:space="4"/>
        </w:pBdr>
        <w:spacing w:after="160" w:before="420"/>
      </w:pPr>
      <w:r>
        <w:rPr>
          <w:rFonts w:ascii="Cinzel" w:cs="Cinzel" w:eastAsia="Cinzel" w:hAnsi="Cinzel"/>
          <w:b/>
          <w:bCs/>
          <w:color w:val="2C1F0E"/>
          <w:spacing w:val="20"/>
          <w:sz w:val="26"/>
          <w:szCs w:val="26"/>
        </w:rPr>
        <w:t xml:space="preserve">Not Everything Is a Routine Log</w:t>
      </w:r>
    </w:p>
    <w:p>
      <w:pPr>
        <w:spacing w:after="140" w:line="300"/>
      </w:pPr>
      <w:r>
        <w:rPr>
          <w:rFonts w:ascii="EB Garamond" w:cs="EB Garamond" w:eastAsia="EB Garamond" w:hAnsi="EB Garamond"/>
          <w:color w:val="2C1F0E"/>
          <w:sz w:val="22"/>
          <w:szCs w:val="22"/>
        </w:rPr>
        <w:t xml:space="preserve">Messages describing pest sightings, crop disease, irrigation failures, or damage are flagged automatically and separated from routine harvest/planting entries. In the pilot, flags surface on the dashboard immediately; a later enhancement can have the bot @-mention the farm manager directly in the group, or send a separate direct message, for anything time-sensitive.</w:t>
      </w:r>
    </w:p>
    <w:p>
      <w:pPr>
        <w:spacing w:after="40"/>
      </w:pPr>
      <w:r>
        <w:rPr>
          <w:rFonts w:ascii="Cinzel" w:cs="Cinzel" w:eastAsia="Cinzel" w:hAnsi="Cinzel"/>
          <w:b/>
          <w:bCs/>
          <w:color w:val="B8965A"/>
          <w:spacing w:val="30"/>
          <w:sz w:val="15"/>
          <w:szCs w:val="15"/>
        </w:rPr>
        <w:t xml:space="preserve">08 — ROLLOUT PLAN</w:t>
      </w:r>
    </w:p>
    <w:p>
      <w:pPr>
        <w:pBdr>
          <w:bottom w:val="single" w:color="B8965A" w:sz="6" w:space="4"/>
        </w:pBdr>
        <w:spacing w:after="160" w:before="420"/>
      </w:pPr>
      <w:r>
        <w:rPr>
          <w:rFonts w:ascii="Cinzel" w:cs="Cinzel" w:eastAsia="Cinzel" w:hAnsi="Cinzel"/>
          <w:b/>
          <w:bCs/>
          <w:color w:val="2C1F0E"/>
          <w:spacing w:val="20"/>
          <w:sz w:val="26"/>
          <w:szCs w:val="26"/>
        </w:rPr>
        <w:t xml:space="preserve">Three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50"/>
      </w:tblGrid>
      <w:tr>
        <w:trPr>
          <w:tblHeader/>
        </w:trPr>
        <w:tc>
          <w:tcPr>
            <w:tcW w:type="dxa" w:w="19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Phase</w:t>
            </w:r>
          </w:p>
        </w:tc>
        <w:tc>
          <w:tcPr>
            <w:tcW w:type="dxa" w:w="43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Scope</w:t>
            </w:r>
          </w:p>
        </w:tc>
        <w:tc>
          <w:tcPr>
            <w:tcW w:type="dxa" w:w="315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Goal</w:t>
            </w:r>
          </w:p>
        </w:tc>
      </w:tr>
      <w:tr>
        <w:tc>
          <w:tcPr>
            <w:tcW w:type="dxa" w:w="19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1. Pilot</w:t>
            </w:r>
          </w:p>
        </w:tc>
        <w:tc>
          <w:tcPr>
            <w:tcW w:type="dxa" w:w="43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Farm Operations group only (harvest + planting)</w:t>
            </w:r>
          </w:p>
        </w:tc>
        <w:tc>
          <w:tcPr>
            <w:tcW w:type="dxa" w:w="31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Prove the parsing accuracy and staff comfort with the flow</w:t>
            </w:r>
          </w:p>
        </w:tc>
      </w:tr>
      <w:tr>
        <w:tc>
          <w:tcPr>
            <w:tcW w:type="dxa" w:w="19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2. Expand</w:t>
            </w:r>
          </w:p>
        </w:tc>
        <w:tc>
          <w:tcPr>
            <w:tcW w:type="dxa" w:w="43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Add Equestrian Ops group (feeding, mucking, health flags)</w:t>
            </w:r>
          </w:p>
        </w:tc>
        <w:tc>
          <w:tcPr>
            <w:tcW w:type="dxa" w:w="31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Extend the same architecture to the yard</w:t>
            </w:r>
          </w:p>
        </w:tc>
      </w:tr>
      <w:tr>
        <w:tc>
          <w:tcPr>
            <w:tcW w:type="dxa" w:w="19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3. Full ERP</w:t>
            </w:r>
          </w:p>
        </w:tc>
        <w:tc>
          <w:tcPr>
            <w:tcW w:type="dxa" w:w="43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Add staff attendance/tasks; connect ledger to farm &amp; equestrian financial reporting</w:t>
            </w:r>
          </w:p>
        </w:tc>
        <w:tc>
          <w:tcPr>
            <w:tcW w:type="dxa" w:w="31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Single source of truth across the estate</w:t>
            </w:r>
          </w:p>
        </w:tc>
      </w:tr>
    </w:tbl>
    <w:p>
      <w:pPr>
        <w:spacing w:after="40"/>
      </w:pPr>
      <w:r>
        <w:rPr>
          <w:rFonts w:ascii="Cinzel" w:cs="Cinzel" w:eastAsia="Cinzel" w:hAnsi="Cinzel"/>
          <w:b/>
          <w:bCs/>
          <w:color w:val="B8965A"/>
          <w:spacing w:val="30"/>
          <w:sz w:val="15"/>
          <w:szCs w:val="15"/>
        </w:rPr>
        <w:t xml:space="preserve">09 — INDICATIVE COSTS (KES)</w:t>
      </w:r>
    </w:p>
    <w:p>
      <w:pPr>
        <w:pBdr>
          <w:bottom w:val="single" w:color="B8965A" w:sz="6" w:space="4"/>
        </w:pBdr>
        <w:spacing w:after="160" w:before="420"/>
      </w:pPr>
      <w:r>
        <w:rPr>
          <w:rFonts w:ascii="Cinzel" w:cs="Cinzel" w:eastAsia="Cinzel" w:hAnsi="Cinzel"/>
          <w:b/>
          <w:bCs/>
          <w:color w:val="2C1F0E"/>
          <w:spacing w:val="20"/>
          <w:sz w:val="26"/>
          <w:szCs w:val="26"/>
        </w:rPr>
        <w:t xml:space="preserve">What to Budget For</w:t>
      </w:r>
    </w:p>
    <w:p>
      <w:pPr>
        <w:spacing w:after="140" w:line="300"/>
      </w:pPr>
      <w:r>
        <w:rPr>
          <w:rFonts w:ascii="EB Garamond" w:cs="EB Garamond" w:eastAsia="EB Garamond" w:hAnsi="EB Garamond"/>
          <w:color w:val="2C1F0E"/>
          <w:sz w:val="22"/>
          <w:szCs w:val="22"/>
        </w:rPr>
        <w:t xml:space="preserve">WhatsApp Business Platform pricing changed in 2025: Meta now charges per message rather than per 24-hour conversation, and critically, replies sent within 24 hours of a staff member's own message — which is essentially this entire workflow — fall under free “service messages.” That means the core day-to-day flow (staff logs an update, bot confirms) should cost close to nothing in Meta message fees. Costs mainly come from the Business Solution Provider (BSP) that connects the number, and any proactive reminders sent outside that window.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50"/>
      </w:tblGrid>
      <w:tr>
        <w:trPr>
          <w:tblHeader/>
        </w:trPr>
        <w:tc>
          <w:tcPr>
            <w:tcW w:type="dxa" w:w="40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Line item</w:t>
            </w:r>
          </w:p>
        </w:tc>
        <w:tc>
          <w:tcPr>
            <w:tcW w:type="dxa" w:w="220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Approx. rate (2026)</w:t>
            </w:r>
          </w:p>
        </w:tc>
        <w:tc>
          <w:tcPr>
            <w:tcW w:type="dxa" w:w="3150"/>
            <w:shd w:fill="2C1F0E" w:val="clear"/>
            <w:tcMar>
              <w:top w:type="dxa" w:w="90"/>
              <w:left w:type="dxa" w:w="110"/>
              <w:bottom w:type="dxa" w:w="90"/>
              <w:right w:type="dxa" w:w="110"/>
            </w:tcMar>
          </w:tcPr>
          <w:p>
            <w:r>
              <w:rPr>
                <w:rFonts w:ascii="Cinzel" w:cs="Cinzel" w:eastAsia="Cinzel" w:hAnsi="Cinzel"/>
                <w:b/>
                <w:bCs/>
                <w:color w:val="F7F2E8"/>
                <w:spacing w:val="10"/>
                <w:sz w:val="16"/>
                <w:szCs w:val="16"/>
              </w:rPr>
              <w:t xml:space="preserve">Notes</w:t>
            </w:r>
          </w:p>
        </w:tc>
      </w:tr>
      <w:tr>
        <w:tc>
          <w:tcPr>
            <w:tcW w:type="dxa" w:w="40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Service messages (bot replies within 24h of a staff message)</w:t>
            </w:r>
          </w:p>
        </w:tc>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Free</w:t>
            </w:r>
          </w:p>
        </w:tc>
        <w:tc>
          <w:tcPr>
            <w:tcW w:type="dxa" w:w="31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Covers the core logging flow</w:t>
            </w:r>
          </w:p>
        </w:tc>
      </w:tr>
      <w:tr>
        <w:tc>
          <w:tcPr>
            <w:tcW w:type="dxa" w:w="40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Utility template (e.g. proactive reminders)</w:t>
            </w:r>
          </w:p>
        </w:tc>
        <w:tc>
          <w:tcPr>
            <w:tcW w:type="dxa" w:w="2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~KES 0.80 / message</w:t>
            </w:r>
          </w:p>
        </w:tc>
        <w:tc>
          <w:tcPr>
            <w:tcW w:type="dxa" w:w="31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Only if the bot messages first, outside the 24h window</w:t>
            </w:r>
          </w:p>
        </w:tc>
      </w:tr>
      <w:tr>
        <w:tc>
          <w:tcPr>
            <w:tcW w:type="dxa" w:w="40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Marketing-category template</w:t>
            </w:r>
          </w:p>
        </w:tc>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~KES 5.20 / message</w:t>
            </w:r>
          </w:p>
        </w:tc>
        <w:tc>
          <w:tcPr>
            <w:tcW w:type="dxa" w:w="31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Not expected to be used for internal ops</w:t>
            </w:r>
          </w:p>
        </w:tc>
      </w:tr>
      <w:tr>
        <w:tc>
          <w:tcPr>
            <w:tcW w:type="dxa" w:w="40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BSP / platform access (e.g. local providers)</w:t>
            </w:r>
          </w:p>
        </w:tc>
        <w:tc>
          <w:tcPr>
            <w:tcW w:type="dxa" w:w="220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From ~KES 0.25 / message, or a flat monthly plan</w:t>
            </w:r>
          </w:p>
        </w:tc>
        <w:tc>
          <w:tcPr>
            <w:tcW w:type="dxa" w:w="3150"/>
            <w:shd w:fill="EFE7D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Varies by provider — get a direct quote</w:t>
            </w:r>
          </w:p>
        </w:tc>
      </w:tr>
      <w:tr>
        <w:tc>
          <w:tcPr>
            <w:tcW w:type="dxa" w:w="40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Claude API (message parsing)</w:t>
            </w:r>
          </w:p>
        </w:tc>
        <w:tc>
          <w:tcPr>
            <w:tcW w:type="dxa" w:w="220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Small, usage-based</w:t>
            </w:r>
          </w:p>
        </w:tc>
        <w:tc>
          <w:tcPr>
            <w:tcW w:type="dxa" w:w="3150"/>
            <w:shd w:fill="F7F2E8" w:val="clear"/>
            <w:tcMar>
              <w:top w:type="dxa" w:w="90"/>
              <w:left w:type="dxa" w:w="110"/>
              <w:bottom w:type="dxa" w:w="90"/>
              <w:right w:type="dxa" w:w="110"/>
            </w:tcMar>
          </w:tcPr>
          <w:p>
            <w:r>
              <w:rPr>
                <w:rFonts w:ascii="EB Garamond" w:cs="EB Garamond" w:eastAsia="EB Garamond" w:hAnsi="EB Garamond"/>
                <w:b w:val="false"/>
                <w:bCs w:val="false"/>
                <w:color w:val="2C1F0E"/>
                <w:sz w:val="20"/>
                <w:szCs w:val="20"/>
              </w:rPr>
              <w:t xml:space="preserve">Cost scales with message volume; negligible at farm-team scale</w:t>
            </w:r>
          </w:p>
        </w:tc>
      </w:tr>
    </w:tbl>
    <w:p>
      <w:pPr>
        <w:spacing w:after="140" w:line="300"/>
      </w:pPr>
      <w:r>
        <w:rPr>
          <w:rFonts w:ascii="EB Garamond" w:cs="EB Garamond" w:eastAsia="EB Garamond" w:hAnsi="EB Garamond"/>
          <w:i/>
          <w:iCs/>
          <w:color w:val="8B4A2A"/>
          <w:sz w:val="19"/>
          <w:szCs w:val="19"/>
        </w:rPr>
        <w:t xml:space="preserve">These are indicative market rates as of mid-2026, not a quote — Meta and BSPs adjust pricing periodically, and actual costs should be confirmed directly with the chosen provider before committing.</w:t>
      </w:r>
    </w:p>
    <w:p>
      <w:pPr>
        <w:spacing w:after="40"/>
      </w:pPr>
      <w:r>
        <w:rPr>
          <w:rFonts w:ascii="Cinzel" w:cs="Cinzel" w:eastAsia="Cinzel" w:hAnsi="Cinzel"/>
          <w:b/>
          <w:bCs/>
          <w:color w:val="B8965A"/>
          <w:spacing w:val="30"/>
          <w:sz w:val="15"/>
          <w:szCs w:val="15"/>
        </w:rPr>
        <w:t xml:space="preserve">10 — REQUIREMENTS TO GET STARTED</w:t>
      </w:r>
    </w:p>
    <w:p>
      <w:pPr>
        <w:pBdr>
          <w:bottom w:val="single" w:color="B8965A" w:sz="6" w:space="4"/>
        </w:pBdr>
        <w:spacing w:after="160" w:before="420"/>
      </w:pPr>
      <w:r>
        <w:rPr>
          <w:rFonts w:ascii="Cinzel" w:cs="Cinzel" w:eastAsia="Cinzel" w:hAnsi="Cinzel"/>
          <w:b/>
          <w:bCs/>
          <w:color w:val="2C1F0E"/>
          <w:spacing w:val="20"/>
          <w:sz w:val="26"/>
          <w:szCs w:val="26"/>
        </w:rPr>
        <w:t xml:space="preserve">What Needs to Be in Place</w:t>
      </w:r>
    </w:p>
    <w:p>
      <w:pPr>
        <w:pStyle w:val="ListParagraph"/>
        <w:numPr>
          <w:ilvl w:val="0"/>
          <w:numId w:val="1"/>
        </w:numPr>
        <w:spacing w:after="90" w:line="280"/>
      </w:pPr>
      <w:r>
        <w:rPr>
          <w:rFonts w:ascii="EB Garamond" w:cs="EB Garamond" w:eastAsia="EB Garamond" w:hAnsi="EB Garamond"/>
          <w:color w:val="2C1F0E"/>
          <w:sz w:val="22"/>
          <w:szCs w:val="22"/>
        </w:rPr>
        <w:t xml:space="preserve">Meta Official Business Account (OBA) verification for Trooms House — required for the Groups API.</w:t>
      </w:r>
    </w:p>
    <w:p>
      <w:pPr>
        <w:pStyle w:val="ListParagraph"/>
        <w:numPr>
          <w:ilvl w:val="0"/>
          <w:numId w:val="1"/>
        </w:numPr>
        <w:spacing w:after="90" w:line="280"/>
      </w:pPr>
      <w:r>
        <w:rPr>
          <w:rFonts w:ascii="EB Garamond" w:cs="EB Garamond" w:eastAsia="EB Garamond" w:hAnsi="EB Garamond"/>
          <w:color w:val="2C1F0E"/>
          <w:sz w:val="22"/>
          <w:szCs w:val="22"/>
        </w:rPr>
        <w:t xml:space="preserve">A dedicated WhatsApp Business phone number for the estate (separate from personal numbers).</w:t>
      </w:r>
    </w:p>
    <w:p>
      <w:pPr>
        <w:pStyle w:val="ListParagraph"/>
        <w:numPr>
          <w:ilvl w:val="0"/>
          <w:numId w:val="1"/>
        </w:numPr>
        <w:spacing w:after="90" w:line="280"/>
      </w:pPr>
      <w:r>
        <w:rPr>
          <w:rFonts w:ascii="EB Garamond" w:cs="EB Garamond" w:eastAsia="EB Garamond" w:hAnsi="EB Garamond"/>
          <w:color w:val="2C1F0E"/>
          <w:sz w:val="22"/>
          <w:szCs w:val="22"/>
        </w:rPr>
        <w:t xml:space="preserve">A Business Solution Provider (BSP) or direct Meta Cloud API integration to receive and send messages via webhook.</w:t>
      </w:r>
    </w:p>
    <w:p>
      <w:pPr>
        <w:pStyle w:val="ListParagraph"/>
        <w:numPr>
          <w:ilvl w:val="0"/>
          <w:numId w:val="1"/>
        </w:numPr>
        <w:spacing w:after="90" w:line="280"/>
      </w:pPr>
      <w:r>
        <w:rPr>
          <w:rFonts w:ascii="EB Garamond" w:cs="EB Garamond" w:eastAsia="EB Garamond" w:hAnsi="EB Garamond"/>
          <w:color w:val="2C1F0E"/>
          <w:sz w:val="22"/>
          <w:szCs w:val="22"/>
        </w:rPr>
        <w:t xml:space="preserve">A lightweight backend to receive webhooks, call Claude for parsing, and write to the database.</w:t>
      </w:r>
    </w:p>
    <w:p>
      <w:pPr>
        <w:pStyle w:val="ListParagraph"/>
        <w:numPr>
          <w:ilvl w:val="0"/>
          <w:numId w:val="1"/>
        </w:numPr>
        <w:spacing w:after="90" w:line="280"/>
      </w:pPr>
      <w:r>
        <w:rPr>
          <w:rFonts w:ascii="EB Garamond" w:cs="EB Garamond" w:eastAsia="EB Garamond" w:hAnsi="EB Garamond"/>
          <w:color w:val="2C1F0E"/>
          <w:sz w:val="22"/>
          <w:szCs w:val="22"/>
        </w:rPr>
        <w:t xml:space="preserve">Staff list mapped to WhatsApp numbers, so entries are correctly attributed.</w:t>
      </w:r>
    </w:p>
    <w:p>
      <w:pPr>
        <w:spacing w:after="40"/>
      </w:pPr>
      <w:r>
        <w:rPr>
          <w:rFonts w:ascii="Cinzel" w:cs="Cinzel" w:eastAsia="Cinzel" w:hAnsi="Cinzel"/>
          <w:b/>
          <w:bCs/>
          <w:color w:val="B8965A"/>
          <w:spacing w:val="30"/>
          <w:sz w:val="15"/>
          <w:szCs w:val="15"/>
        </w:rPr>
        <w:t xml:space="preserve">11 — NEXT STEPS</w:t>
      </w:r>
    </w:p>
    <w:p>
      <w:pPr>
        <w:pBdr>
          <w:bottom w:val="single" w:color="B8965A" w:sz="6" w:space="4"/>
        </w:pBdr>
        <w:spacing w:after="160" w:before="420"/>
      </w:pPr>
      <w:r>
        <w:rPr>
          <w:rFonts w:ascii="Cinzel" w:cs="Cinzel" w:eastAsia="Cinzel" w:hAnsi="Cinzel"/>
          <w:b/>
          <w:bCs/>
          <w:color w:val="2C1F0E"/>
          <w:spacing w:val="20"/>
          <w:sz w:val="26"/>
          <w:szCs w:val="26"/>
        </w:rPr>
        <w:t xml:space="preserve">Suggested Sequence</w:t>
      </w:r>
    </w:p>
    <w:p>
      <w:pPr>
        <w:pStyle w:val="ListParagraph"/>
        <w:numPr>
          <w:ilvl w:val="0"/>
          <w:numId w:val="1"/>
        </w:numPr>
        <w:spacing w:after="90" w:line="280"/>
      </w:pPr>
      <w:r>
        <w:rPr>
          <w:rFonts w:ascii="EB Garamond" w:cs="EB Garamond" w:eastAsia="EB Garamond" w:hAnsi="EB Garamond"/>
          <w:color w:val="2C1F0E"/>
          <w:sz w:val="22"/>
          <w:szCs w:val="22"/>
        </w:rPr>
        <w:t xml:space="preserve">Confirm OBA verification status / begin the verification process.</w:t>
      </w:r>
    </w:p>
    <w:p>
      <w:pPr>
        <w:pStyle w:val="ListParagraph"/>
        <w:numPr>
          <w:ilvl w:val="0"/>
          <w:numId w:val="1"/>
        </w:numPr>
        <w:spacing w:after="90" w:line="280"/>
      </w:pPr>
      <w:r>
        <w:rPr>
          <w:rFonts w:ascii="EB Garamond" w:cs="EB Garamond" w:eastAsia="EB Garamond" w:hAnsi="EB Garamond"/>
          <w:color w:val="2C1F0E"/>
          <w:sz w:val="22"/>
          <w:szCs w:val="22"/>
        </w:rPr>
        <w:t xml:space="preserve">Choose a BSP (local Kenyan provider vs. direct Meta integration) and get a firm quote.</w:t>
      </w:r>
    </w:p>
    <w:p>
      <w:pPr>
        <w:pStyle w:val="ListParagraph"/>
        <w:numPr>
          <w:ilvl w:val="0"/>
          <w:numId w:val="1"/>
        </w:numPr>
        <w:spacing w:after="90" w:line="280"/>
      </w:pPr>
      <w:r>
        <w:rPr>
          <w:rFonts w:ascii="EB Garamond" w:cs="EB Garamond" w:eastAsia="EB Garamond" w:hAnsi="EB Garamond"/>
          <w:color w:val="2C1F0E"/>
          <w:sz w:val="22"/>
          <w:szCs w:val="22"/>
        </w:rPr>
        <w:t xml:space="preserve">Build the pilot backend using the parsing logic already validated in the clickable prototype.</w:t>
      </w:r>
    </w:p>
    <w:p>
      <w:pPr>
        <w:pStyle w:val="ListParagraph"/>
        <w:numPr>
          <w:ilvl w:val="0"/>
          <w:numId w:val="1"/>
        </w:numPr>
        <w:spacing w:after="90" w:line="280"/>
      </w:pPr>
      <w:r>
        <w:rPr>
          <w:rFonts w:ascii="EB Garamond" w:cs="EB Garamond" w:eastAsia="EB Garamond" w:hAnsi="EB Garamond"/>
          <w:color w:val="2C1F0E"/>
          <w:sz w:val="22"/>
          <w:szCs w:val="22"/>
        </w:rPr>
        <w:t xml:space="preserve">Run a 2–4 week pilot with the Farm Operations group before expanding to Equestrian.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C1F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2026-07-20T17:39:01.865Z</dcterms:created>
  <dcterms:modified xsi:type="dcterms:W3CDTF">2026-07-20T17:39:01.881Z</dcterms:modified>
</cp:coreProperties>
</file>

<file path=docProps/custom.xml><?xml version="1.0" encoding="utf-8"?>
<Properties xmlns="http://schemas.openxmlformats.org/officeDocument/2006/custom-properties" xmlns:vt="http://schemas.openxmlformats.org/officeDocument/2006/docPropsVTypes"/>
</file>