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A5F"/>
          <w:sz w:val="44"/>
          <w:szCs w:val="44"/>
        </w:rPr>
        <w:t xml:space="preserve">HEDIS OMW Predictive Triage</w:t>
      </w:r>
    </w:p>
    <w:p>
      <w:pPr>
        <w:spacing w:after="320"/>
        <w:jc w:val="center"/>
      </w:pPr>
      <w:r>
        <w:rPr>
          <w:i/>
          <w:iCs/>
          <w:color w:val="2E5C8A"/>
          <w:sz w:val="26"/>
          <w:szCs w:val="26"/>
        </w:rPr>
        <w:t xml:space="preserve">A Three-Front Scoring Model for Real-Time Fracture Identification</w:t>
      </w:r>
    </w:p>
    <w:p>
      <w:pPr>
        <w:pStyle w:val="Heading1"/>
        <w:spacing w:after="200" w:before="360"/>
      </w:pPr>
      <w:r>
        <w:rPr>
          <w:b/>
          <w:bCs/>
          <w:color w:val="1F3A5F"/>
          <w:sz w:val="32"/>
          <w:szCs w:val="32"/>
        </w:rPr>
        <w:t xml:space="preserve">1. The Core Problem</w:t>
      </w:r>
    </w:p>
    <w:p>
      <w:pPr>
        <w:spacing w:after="140"/>
      </w:pPr>
      <w:r>
        <w:t xml:space="preserve">The HEDIS Osteoporosis Management in Women (OMW) measure is retrospective by design, but the work of closing the gap is operational and happens in real time. That mismatch is the source of your problem.</w:t>
      </w:r>
    </w:p>
    <w:p>
      <w:pPr>
        <w:spacing w:after="140"/>
      </w:pPr>
      <w:r>
        <w:t xml:space="preserve">HEDIS evaluates women aged 67–85 with a qualifying fracture during the intake period (7/1 prior year through 6/30 measurement year) who maintain continuous enrollment for 6 months post-fracture. The numerator requires a BMD test or osteoporosis therapy within that 6-month window. Exclusions apply throughout the measurement year, not just at the moment of fracture.</w:t>
      </w:r>
    </w:p>
    <w:p>
      <w:pPr>
        <w:spacing w:after="140"/>
      </w:pPr>
      <w:r>
        <w:t xml:space="preserve">You want to catch fractures as they happen — via ADT feeds or inpatient authorizations — so you have the full 6 months to act. But exclusions develop after the trigger fires. A member who looks denominator-eligible on day 1 may acquire advanced illness, frailty, hospice, or enrollment-termination signals before year-end. Message the provider too aggressively on every trigger and you generate alert fatigue on members who will never count. Wait for the denominator to mature and you lose the intervention window.</w:t>
      </w:r>
    </w:p>
    <w:p>
      <w:pPr>
        <w:spacing w:after="140"/>
      </w:pPr>
      <w:r>
        <w:t xml:space="preserve">A scoring model does not eliminate this tradeoff. It lets you </w:t>
      </w:r>
      <w:r>
        <w:rPr>
          <w:b/>
          <w:bCs/>
        </w:rPr>
        <w:t xml:space="preserve">stratify outreach intensity</w:t>
      </w:r>
      <w:r>
        <w:t xml:space="preserve"> so high-confidence cases get full intervention immediately while low-confidence cases get lighter touch, delayed action, or monitoring only.</w:t>
      </w:r>
    </w:p>
    <w:p>
      <w:pPr>
        <w:pStyle w:val="Heading1"/>
        <w:spacing w:after="200" w:before="360"/>
      </w:pPr>
      <w:r>
        <w:rPr>
          <w:b/>
          <w:bCs/>
          <w:color w:val="1F3A5F"/>
          <w:sz w:val="32"/>
          <w:szCs w:val="32"/>
        </w:rPr>
        <w:t xml:space="preserve">2. The Three Fronts</w:t>
      </w:r>
    </w:p>
    <w:p>
      <w:pPr>
        <w:spacing w:after="140"/>
      </w:pPr>
      <w:r>
        <w:t xml:space="preserve">Think of the model as three independent predictions multiplied together, not a single monolithic score. Keeping them separate lets your analysts diagnose why a member scored the way they did, and lets you retrain each component independently as you accumulate outcome data.</w:t>
      </w:r>
    </w:p>
    <w:p>
      <w:pPr>
        <w:pStyle w:val="ListParagraph"/>
        <w:numPr>
          <w:ilvl w:val="0"/>
          <w:numId w:val="2"/>
        </w:numPr>
        <w:spacing w:after="80"/>
      </w:pPr>
      <w:r>
        <w:rPr>
          <w:b/>
          <w:bCs/>
        </w:rPr>
        <w:t xml:space="preserve">Front 1 — Fracture Confirmation Score (FCS):</w:t>
      </w:r>
      <w:r>
        <w:t xml:space="preserve"> Given this signal, is this actually a HEDIS-qualifying fragility fracture?</w:t>
      </w:r>
    </w:p>
    <w:p>
      <w:pPr>
        <w:pStyle w:val="ListParagraph"/>
        <w:numPr>
          <w:ilvl w:val="0"/>
          <w:numId w:val="2"/>
        </w:numPr>
        <w:spacing w:after="80"/>
      </w:pPr>
      <w:r>
        <w:rPr>
          <w:b/>
          <w:bCs/>
        </w:rPr>
        <w:t xml:space="preserve">Front 2 — Exclusion Development Risk Score (EDRS):</w:t>
      </w:r>
      <w:r>
        <w:t xml:space="preserve"> Will this member acquire HEDIS exclusions before year-end?</w:t>
      </w:r>
    </w:p>
    <w:p>
      <w:pPr>
        <w:pStyle w:val="ListParagraph"/>
        <w:numPr>
          <w:ilvl w:val="0"/>
          <w:numId w:val="2"/>
        </w:numPr>
        <w:spacing w:after="80"/>
      </w:pPr>
      <w:r>
        <w:rPr>
          <w:b/>
          <w:bCs/>
        </w:rPr>
        <w:t xml:space="preserve">Front 3 — Non-Compliance Risk Score (NCRS):</w:t>
      </w:r>
      <w:r>
        <w:t xml:space="preserve"> If this member stays in the denominator, will they miss the BMD test or therapy?</w:t>
      </w:r>
    </w:p>
    <w:p>
      <w:pPr>
        <w:spacing w:after="140"/>
      </w:pPr>
      <w:r>
        <w:t xml:space="preserve">The analogy is a medical triage nurse: one glance tells you (a) is this actually an emergency, (b) is the patient stable enough to benefit from the intervention, and (c) will the patient follow through. A good triage system weights all three.</w:t>
      </w:r>
    </w:p>
    <w:p>
      <w:pPr>
        <w:pStyle w:val="Heading1"/>
        <w:spacing w:after="200" w:before="360"/>
      </w:pPr>
      <w:r>
        <w:rPr>
          <w:b/>
          <w:bCs/>
          <w:color w:val="1F3A5F"/>
          <w:sz w:val="32"/>
          <w:szCs w:val="32"/>
        </w:rPr>
        <w:t xml:space="preserve">3. Front 1 — Fracture Confirmation Score (FCS)</w:t>
      </w:r>
    </w:p>
    <w:p>
      <w:pPr>
        <w:spacing w:after="140"/>
      </w:pPr>
      <w:r>
        <w:t xml:space="preserve">Not every ADT or authorization for 'fracture' becomes a HEDIS-qualifying fracture. ED visits get recoded. Sites turn out to be excluded (toe, finger, face, skull). Some events are pathologic or high-trauma. FCS filters the signal before you spend outreach resources.</w:t>
      </w:r>
    </w:p>
    <w:p>
      <w:pPr>
        <w:pStyle w:val="Heading3"/>
        <w:spacing w:after="120" w:before="220"/>
      </w:pPr>
      <w:r>
        <w:rPr>
          <w:b/>
          <w:bCs/>
          <w:color w:val="2E5C8A"/>
          <w:sz w:val="22"/>
          <w:szCs w:val="22"/>
        </w:rPr>
        <w:t xml:space="preserve">Scoring Variables (points sum to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Points</w:t>
            </w:r>
          </w:p>
        </w:tc>
        <w:tc>
          <w:tcPr>
            <w:tcW w:type="dxa" w:w="5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Signal source: inpatient ADT with ortho consult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Highest specificity; fracture almost always confirmed</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Signal source: ED ADT with ortho authorization</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+25</w:t>
            </w:r>
          </w:p>
        </w:tc>
        <w:tc>
          <w:tcPr>
            <w:tcW w:type="dxa" w:w="53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Strong confirmation pathway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Signal source: ED ADT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Moderate — often recoded</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Signal source: outpatient ortho authorization only</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+10</w:t>
            </w:r>
          </w:p>
        </w:tc>
        <w:tc>
          <w:tcPr>
            <w:tcW w:type="dxa" w:w="53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Weakest; many auths never result in confirmed fracture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Site: hip, femur, pelvis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Highest qualifying rate; rarely non-qualifying</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Site: vertebral</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+20</w:t>
            </w:r>
          </w:p>
        </w:tc>
        <w:tc>
          <w:tcPr>
            <w:tcW w:type="dxa" w:w="53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Qualifies but higher rate of later recoding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Site: wrist, forearm, humerus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Qualifies; watch for traumatic coding</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Site: other qualifying</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+10</w:t>
            </w:r>
          </w:p>
        </w:tc>
        <w:tc>
          <w:tcPr>
            <w:tcW w:type="dxa" w:w="53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Lower-confidence qualifying sites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Site: non-qualifying (toe/finger/face/skull)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 (suppress)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Not HEDIS-eligible</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Age 75+</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+15</w:t>
            </w:r>
          </w:p>
        </w:tc>
        <w:tc>
          <w:tcPr>
            <w:tcW w:type="dxa" w:w="53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Nearly all fractures osteoporotic regardless of stated mechanism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Age 67–74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Still high probability</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Prior osteoporosis dx or DXA on record</w:t>
            </w:r>
          </w:p>
        </w:tc>
        <w:tc>
          <w:tcPr>
            <w:tcW w:type="dxa" w:w="1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+15</w:t>
            </w:r>
          </w:p>
        </w:tc>
        <w:tc>
          <w:tcPr>
            <w:tcW w:type="dxa" w:w="53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Strong evidence of fragility etiology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High-trauma external-cause code present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Suggests non-fragility fracture</w:t>
            </w:r>
          </w:p>
        </w:tc>
      </w:tr>
    </w:tbl>
    <w:p>
      <w:pPr>
        <w:spacing w:after="140"/>
      </w:pPr>
      <w:r>
        <w:rPr>
          <w:b/>
          <w:bCs/>
        </w:rPr>
        <w:t xml:space="preserve">Interpretation:</w:t>
      </w:r>
      <w:r>
        <w:t xml:space="preserve"> FCS ≥70 = high confidence, proceed immediately. FCS 40–69 = moderate confidence, pull additional data before acting. FCS &lt;40 = weak signal, hold until claims confirm.</w:t>
      </w:r>
    </w:p>
    <w:p>
      <w:pPr>
        <w:pStyle w:val="Heading1"/>
        <w:spacing w:after="200" w:before="360"/>
      </w:pPr>
      <w:r>
        <w:rPr>
          <w:b/>
          <w:bCs/>
          <w:color w:val="1F3A5F"/>
          <w:sz w:val="32"/>
          <w:szCs w:val="32"/>
        </w:rPr>
        <w:t xml:space="preserve">4. Front 2 — Exclusion Development Risk Score (EDRS)</w:t>
      </w:r>
    </w:p>
    <w:p>
      <w:pPr>
        <w:spacing w:after="140"/>
      </w:pPr>
      <w:r>
        <w:t xml:space="preserve">This is your critical differentiator — and the place where the published literature gives you the most leverage. HEDIS OMW exclusions fall into two groups: those observable at fracture time (prior BMD, prior therapy, existing advanced illness) and those that develop during the measurement year (new hospice, new advanced illness + frailty, death, enrollment loss). You handle the first group with your existing lookback rules. EDRS handles the second.</w:t>
      </w:r>
    </w:p>
    <w:p>
      <w:pPr>
        <w:pStyle w:val="Heading3"/>
        <w:spacing w:after="120" w:before="220"/>
      </w:pPr>
      <w:r>
        <w:rPr>
          <w:b/>
          <w:bCs/>
          <w:color w:val="2E5C8A"/>
          <w:sz w:val="22"/>
          <w:szCs w:val="22"/>
        </w:rPr>
        <w:t xml:space="preserve">Age-Stratified Logic (mirrors HEDIS exclusion structure)</w:t>
      </w:r>
    </w:p>
    <w:p>
      <w:pPr>
        <w:pStyle w:val="ListParagraph"/>
        <w:numPr>
          <w:ilvl w:val="0"/>
          <w:numId w:val="2"/>
        </w:numPr>
        <w:spacing w:after="80"/>
      </w:pPr>
      <w:r>
        <w:rPr>
          <w:b/>
          <w:bCs/>
        </w:rPr>
        <w:t xml:space="preserve">Ages 67–80:</w:t>
      </w:r>
      <w:r>
        <w:t xml:space="preserve"> Exclusion requires both advanced illness AND frailty markers. EDRS must predict both tracks.</w:t>
      </w:r>
    </w:p>
    <w:p>
      <w:pPr>
        <w:pStyle w:val="ListParagraph"/>
        <w:numPr>
          <w:ilvl w:val="0"/>
          <w:numId w:val="2"/>
        </w:numPr>
        <w:spacing w:after="80"/>
      </w:pPr>
      <w:r>
        <w:rPr>
          <w:b/>
          <w:bCs/>
        </w:rPr>
        <w:t xml:space="preserve">Ages 81+:</w:t>
      </w:r>
      <w:r>
        <w:t xml:space="preserve"> Frailty alone excludes. EDRS weights frailty signals much more heavily.</w:t>
      </w:r>
    </w:p>
    <w:p>
      <w:pPr>
        <w:pStyle w:val="Heading3"/>
        <w:spacing w:after="120" w:before="220"/>
      </w:pPr>
      <w:r>
        <w:rPr>
          <w:b/>
          <w:bCs/>
          <w:color w:val="2E5C8A"/>
          <w:sz w:val="22"/>
          <w:szCs w:val="22"/>
        </w:rPr>
        <w:t xml:space="preserve">Primary Engine: Claims-Based Frailty Instrument</w:t>
      </w:r>
    </w:p>
    <w:p>
      <w:pPr>
        <w:spacing w:after="140"/>
      </w:pPr>
      <w:r>
        <w:t xml:space="preserve">Rather than build comorbidity logic from scratch, operationalize one of two published, Medicare-validated instruments. Both are directly computable from ICD-10 claims and have extensive validation for predicting mortality, functional decline, and (by proxy) acquisition of HEDIS exclusions.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Instrument</w:t>
            </w:r>
          </w:p>
        </w:tc>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Input Data</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Output</w:t>
            </w:r>
          </w:p>
        </w:tc>
        <w:tc>
          <w:tcPr>
            <w:tcW w:type="dxa" w:w="2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Threshold for EDRS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Hospital Frailty Risk Score (HFRS)</w:t>
            </w:r>
            <w:r>
              <w:t xml:space="preserve"> — Gilbert et al. 2018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ICD-10 codes, past 2 years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0–173 continuous score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&gt;15 = high risk (strong 1-year mortality signal)</w:t>
            </w:r>
          </w:p>
        </w:tc>
      </w:tr>
      <w:tr>
        <w:tc>
          <w:tcPr>
            <w:tcW w:type="dxa" w:w="2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Kim Claims-Based Frailty Index (CFI)</w:t>
            </w:r>
            <w:r>
              <w:t xml:space="preserve"> — 2018</w:t>
            </w:r>
          </w:p>
        </w:tc>
        <w:tc>
          <w:tcPr>
            <w:tcW w:type="dxa" w:w="24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93 deficit indicators from claims</w:t>
            </w:r>
          </w:p>
        </w:tc>
        <w:tc>
          <w:tcPr>
            <w:tcW w:type="dxa" w:w="2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0–1 continuous score</w:t>
            </w:r>
          </w:p>
        </w:tc>
        <w:tc>
          <w:tcPr>
            <w:tcW w:type="dxa" w:w="25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≥0.25 = frail; ≥0.35 = severely frail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Charlson Comorbidity Index</w:t>
            </w:r>
            <w:r>
              <w:t xml:space="preserve"> (fallback)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17 chronic conditions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0–24 weighted score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 correlates with ~50% 1-year mortality in post-fracture cohorts</w:t>
            </w:r>
          </w:p>
        </w:tc>
      </w:tr>
    </w:tbl>
    <w:p>
      <w:pPr>
        <w:spacing w:after="140"/>
      </w:pPr>
      <w:r>
        <w:rPr>
          <w:b/>
          <w:bCs/>
        </w:rPr>
        <w:t xml:space="preserve">Recommendation:</w:t>
      </w:r>
      <w:r>
        <w:t xml:space="preserve"> pick one (HFRS is marginally easier to implement because it uses raw ICD-10 without deficit-mapping), operationalize it once, and use the normalized output as the EDRS core. Layer the additional variables below on top.</w:t>
      </w:r>
    </w:p>
    <w:p>
      <w:pPr>
        <w:pStyle w:val="Heading3"/>
        <w:spacing w:after="120" w:before="220"/>
      </w:pPr>
      <w:r>
        <w:rPr>
          <w:b/>
          <w:bCs/>
          <w:color w:val="2E5C8A"/>
          <w:sz w:val="22"/>
          <w:szCs w:val="22"/>
        </w:rPr>
        <w:t xml:space="preserve">EDRS Scoring (points sum to 0–100, higher = more exclusion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000"/>
        <w:gridCol w:w="4160"/>
      </w:tblGrid>
      <w:tr>
        <w:trPr>
          <w:tblHeader/>
        </w:trPr>
        <w:tc>
          <w:tcPr>
            <w:tcW w:type="dxa" w:w="4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Variable</w:t>
            </w:r>
          </w:p>
        </w:tc>
        <w:tc>
          <w:tcPr>
            <w:tcW w:type="dxa" w:w="1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Points</w:t>
            </w:r>
          </w:p>
        </w:tc>
        <w:tc>
          <w:tcPr>
            <w:tcW w:type="dxa" w:w="4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Signal Type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HFRS &gt;15 or CFI ≥0.35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Base frailty engine — strongest single predictor</w:t>
            </w:r>
          </w:p>
        </w:tc>
      </w:tr>
      <w:tr>
        <w:tc>
          <w:tcPr>
            <w:tcW w:type="dxa" w:w="4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HFRS 5–15 or CFI 0.25–0.34</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+20</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Moderate frailty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Age 85+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Independent of comorbidity; frailty-alone exclusion applies</w:t>
            </w:r>
          </w:p>
        </w:tc>
      </w:tr>
      <w:tr>
        <w:tc>
          <w:tcPr>
            <w:tcW w:type="dxa" w:w="4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Age 81–84</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+10</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Frailty-alone exclusion window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Existing advanced illness dx at trigger</w:t>
            </w:r>
            <w:r>
              <w:t xml:space="preserve"> (CHF, dementia, metastatic cancer, ESRD, severe COPD, Parkinson's)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 per category, cap +15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HEDIS exclusion-qualifying conditions already on file</w:t>
            </w:r>
          </w:p>
        </w:tc>
      </w:tr>
      <w:tr>
        <w:tc>
          <w:tcPr>
            <w:tcW w:type="dxa" w:w="4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New dementia medication fill</w:t>
            </w:r>
            <w:r>
              <w:t xml:space="preserve"> (donepezil, memantine, rivastigmine)</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+20</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Near-immediate advanced-illness exclusion trigger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Existing hospice or palliative consult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Direct HEDIS exclusion pathway</w:t>
            </w:r>
          </w:p>
        </w:tc>
      </w:tr>
      <w:tr>
        <w:tc>
          <w:tcPr>
            <w:tcW w:type="dxa" w:w="4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≥2 inpatient stays in prior 12 months</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+10</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Decline trajectory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SNF stay in prior 12 months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LTI risk signal</w:t>
            </w:r>
          </w:p>
        </w:tc>
      </w:tr>
      <w:tr>
        <w:tc>
          <w:tcPr>
            <w:tcW w:type="dxa" w:w="4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Home health or DME for mobility</w:t>
            </w:r>
            <w:r>
              <w:t xml:space="preserve"> (walker, wheelchair, hospital bed, oxygen)</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+10</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Frailty progression marker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Polypharmacy (≥10 chronic meds)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Frailty-adjacent indicator</w:t>
            </w:r>
          </w:p>
        </w:tc>
      </w:tr>
      <w:tr>
        <w:tc>
          <w:tcPr>
            <w:tcW w:type="dxa" w:w="4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Dual-eligible / LIS status</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+5</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Modestly higher churn and LTI transition rates</w:t>
            </w:r>
          </w:p>
        </w:tc>
      </w:tr>
    </w:tbl>
    <w:p>
      <w:pPr>
        <w:spacing w:after="140"/>
      </w:pPr>
      <w:r>
        <w:rPr>
          <w:b/>
          <w:bCs/>
        </w:rPr>
        <w:t xml:space="preserve">Interpretation:</w:t>
      </w:r>
      <w:r>
        <w:t xml:space="preserve"> EDRS ≥60 = suppress provider messaging (likely to wash out); EDRS 30–59 = delay 30–60 days and re-score; EDRS &lt;30 = safe to proceed with full outreach.</w:t>
      </w:r>
    </w:p>
    <w:p>
      <w:pPr>
        <w:pStyle w:val="Heading3"/>
        <w:spacing w:after="120" w:before="220"/>
      </w:pPr>
      <w:r>
        <w:rPr>
          <w:b/>
          <w:bCs/>
          <w:color w:val="2E5C8A"/>
          <w:sz w:val="22"/>
          <w:szCs w:val="22"/>
        </w:rPr>
        <w:t xml:space="preserve">Time-Decay Consideration</w:t>
      </w:r>
    </w:p>
    <w:p>
      <w:pPr>
        <w:spacing w:after="140"/>
      </w:pPr>
      <w:r>
        <w:t xml:space="preserve">A member who hasn't acquired exclusion indicators by post-fracture day 90 is substantially less likely to by day 180. Re-run EDRS monthly on open triggers and apply a time-decay factor — after 90 days without new exclusion signals, multiply EDRS by 0.7; after 120 days, by 0.5. This lets members who initially scored moderate-risk graduate into full outreach once they've demonstrated stability.</w:t>
      </w:r>
    </w:p>
    <w:p>
      <w:pPr>
        <w:pStyle w:val="Heading1"/>
        <w:spacing w:after="200" w:before="360"/>
      </w:pPr>
      <w:r>
        <w:rPr>
          <w:b/>
          <w:bCs/>
          <w:color w:val="1F3A5F"/>
          <w:sz w:val="32"/>
          <w:szCs w:val="32"/>
        </w:rPr>
        <w:t xml:space="preserve">5. Front 3 — Non-Compliance Risk Score (NCRS)</w:t>
      </w:r>
    </w:p>
    <w:p>
      <w:pPr>
        <w:spacing w:after="140"/>
      </w:pPr>
      <w:r>
        <w:t xml:space="preserve">Of members who stay in the denominator, who won't get a BMD or start therapy within 6 months? Real-world post-fracture osteoporosis treatment rates are only ~25–50% in Medicare populations, so this is the highest-volume failure mode even after you filter out the exclusions.</w:t>
      </w:r>
    </w:p>
    <w:p>
      <w:pPr>
        <w:pStyle w:val="Heading3"/>
        <w:spacing w:after="120" w:before="220"/>
      </w:pPr>
      <w:r>
        <w:rPr>
          <w:b/>
          <w:bCs/>
          <w:color w:val="2E5C8A"/>
          <w:sz w:val="22"/>
          <w:szCs w:val="22"/>
        </w:rPr>
        <w:t xml:space="preserve">Evidence-Based Predictors</w:t>
      </w:r>
    </w:p>
    <w:p>
      <w:pPr>
        <w:spacing w:after="140"/>
      </w:pPr>
      <w:r>
        <w:t xml:space="preserve">The single strongest predictor in the adherence literature is </w:t>
      </w:r>
      <w:r>
        <w:rPr>
          <w:b/>
          <w:bCs/>
        </w:rPr>
        <w:t xml:space="preserve">prior medication adherence on any chronic medication</w:t>
      </w:r>
      <w:r>
        <w:t xml:space="preserve">. Members with PDC ≥0.8 on their existing statin, antihypertensive, or diabetes regimen are substantially more likely to initiate and continue osteoporosis therapy. Members with PDC &lt;0.6 on existing meds are roughly 9x more likely to be non-compliant with new osteoporosis therapy per published prediction rules.</w:t>
      </w:r>
    </w:p>
    <w:p>
      <w:pPr>
        <w:pStyle w:val="Heading3"/>
        <w:spacing w:after="120" w:before="220"/>
      </w:pPr>
      <w:r>
        <w:rPr>
          <w:b/>
          <w:bCs/>
          <w:color w:val="2E5C8A"/>
          <w:sz w:val="22"/>
          <w:szCs w:val="22"/>
        </w:rPr>
        <w:t xml:space="preserve">NCRS Scoring (points sum to 0–100, higher = more non-compliance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000"/>
        <w:gridCol w:w="4160"/>
      </w:tblGrid>
      <w:tr>
        <w:trPr>
          <w:tblHeader/>
        </w:trPr>
        <w:tc>
          <w:tcPr>
            <w:tcW w:type="dxa" w:w="4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Variable</w:t>
            </w:r>
          </w:p>
        </w:tc>
        <w:tc>
          <w:tcPr>
            <w:tcW w:type="dxa" w:w="1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Points</w:t>
            </w:r>
          </w:p>
        </w:tc>
        <w:tc>
          <w:tcPr>
            <w:tcW w:type="dxa" w:w="4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Rationale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Prior PDC &lt;0.6 on any chronic medication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Strongest single adherence predictor</w:t>
            </w:r>
          </w:p>
        </w:tc>
      </w:tr>
      <w:tr>
        <w:tc>
          <w:tcPr>
            <w:tcW w:type="dxa" w:w="4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Prior PDC 0.6–0.79 on any chronic medication</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+10</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Moderate concern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Prior PDC ≥0.8 on chronic medications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Strong positive signal; subtract from score</w:t>
            </w:r>
          </w:p>
        </w:tc>
      </w:tr>
      <w:tr>
        <w:tc>
          <w:tcPr>
            <w:tcW w:type="dxa" w:w="4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No PCP visit in prior 12 months</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+20</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Engagement deficit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2+ preventive care gaps</w:t>
            </w:r>
            <w:r>
              <w:t xml:space="preserve"> (mammo, CRC screen, flu vax) in prior 2 years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Generalized non-engagement pattern</w:t>
            </w:r>
          </w:p>
        </w:tc>
      </w:tr>
      <w:tr>
        <w:tc>
          <w:tcPr>
            <w:tcW w:type="dxa" w:w="4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Vertebral fracture (vs hip)</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+15</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Notoriously low recognition/follow-up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Active depression or anxiety dx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Behavioral health reduces follow-through</w:t>
            </w:r>
          </w:p>
        </w:tc>
      </w:tr>
      <w:tr>
        <w:tc>
          <w:tcPr>
            <w:tcW w:type="dxa" w:w="4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Cognitive impairment</w:t>
            </w:r>
            <w:r>
              <w:t xml:space="preserve"> (if not excluded by EDRS)</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+10</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Functional barrier to follow-through</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Polypharmacy (≥10 meds)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'Already taking too many pills' objection</w:t>
            </w:r>
          </w:p>
        </w:tc>
      </w:tr>
      <w:tr>
        <w:tc>
          <w:tcPr>
            <w:tcW w:type="dxa" w:w="4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Prior bisphosphonate discontinuation / GI complaint claims</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+10</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Documented intolerance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Prior osteoporosis diagnosis on record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Existing awareness; higher follow-through</w:t>
            </w:r>
          </w:p>
        </w:tc>
      </w:tr>
      <w:tr>
        <w:tc>
          <w:tcPr>
            <w:tcW w:type="dxa" w:w="4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Rural residence or &gt;25 miles from nearest DXA</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+10</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Geographic access barrier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Specialist follow-up scheduled within 30 days of fracture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Strong positive; scheduled care substantially closes gaps</w:t>
            </w:r>
          </w:p>
        </w:tc>
      </w:tr>
      <w:tr>
        <w:tc>
          <w:tcPr>
            <w:tcW w:type="dxa" w:w="42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Hip fracture with orthopedic inpatient admission</w:t>
            </w:r>
          </w:p>
        </w:tc>
        <w:tc>
          <w:tcPr>
            <w:tcW w:type="dxa" w:w="1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−10</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Fracture Liaison Service pathway; highest treatment rates</w:t>
            </w:r>
          </w:p>
        </w:tc>
      </w:tr>
    </w:tbl>
    <w:p>
      <w:pPr>
        <w:spacing w:after="140"/>
      </w:pPr>
      <w:r>
        <w:rPr>
          <w:b/>
          <w:bCs/>
        </w:rPr>
        <w:t xml:space="preserve">Interpretation:</w:t>
      </w:r>
      <w:r>
        <w:t xml:space="preserve"> NCRS ≥60 = high-touch intervention needed (care manager, transportation assistance, in-home BMD option); NCRS 30–59 = standard outreach with scheduling assistance; NCRS &lt;30 = light-touch nudge sufficient.</w:t>
      </w:r>
    </w:p>
    <w:p>
      <w:pPr>
        <w:pStyle w:val="Heading1"/>
        <w:spacing w:after="200" w:before="360"/>
      </w:pPr>
      <w:r>
        <w:rPr>
          <w:b/>
          <w:bCs/>
          <w:color w:val="1F3A5F"/>
          <w:sz w:val="32"/>
          <w:szCs w:val="32"/>
        </w:rPr>
        <w:t xml:space="preserve">6. Combining the Three Scores</w:t>
      </w:r>
    </w:p>
    <w:p>
      <w:pPr>
        <w:pStyle w:val="Heading3"/>
        <w:spacing w:after="120" w:before="220"/>
      </w:pPr>
      <w:r>
        <w:rPr>
          <w:b/>
          <w:bCs/>
          <w:color w:val="2E5C8A"/>
          <w:sz w:val="22"/>
          <w:szCs w:val="22"/>
        </w:rPr>
        <w:t xml:space="preserve">Option A: Multiplicative (Probabilistic)</w:t>
      </w:r>
    </w:p>
    <w:p>
      <w:pPr>
        <w:spacing w:after="140"/>
      </w:pPr>
      <w:r>
        <w:t xml:space="preserve">The cleanest mathematical approach treats each component as a probability and multiplies them. This is the framing most of the recent literature converges on.</w:t>
      </w:r>
    </w:p>
    <w:p>
      <w:pPr>
        <w:spacing w:after="160" w:before="120"/>
        <w:jc w:val="center"/>
      </w:pPr>
      <w:r>
        <w:rPr>
          <w:rFonts w:ascii="Consolas" w:cs="Consolas" w:eastAsia="Consolas" w:hAnsi="Consolas"/>
          <w:b/>
          <w:bCs/>
          <w:sz w:val="22"/>
          <w:szCs w:val="22"/>
        </w:rPr>
        <w:t xml:space="preserve">Opportunity Score = FCS/100 × (1 − EDRS/100) × (1 − NCRS/100) × 100</w:t>
      </w:r>
    </w:p>
    <w:p>
      <w:pPr>
        <w:spacing w:after="140"/>
      </w:pPr>
      <w:r>
        <w:t xml:space="preserve">This yields a 0–100 'expected HEDIS-countable compliant case' score. It naturally zeros out members with very high exclusion or non-compliance risk even if the fracture signal is strong.</w:t>
      </w:r>
    </w:p>
    <w:p>
      <w:pPr>
        <w:pStyle w:val="Heading3"/>
        <w:spacing w:after="120" w:before="220"/>
      </w:pPr>
      <w:r>
        <w:rPr>
          <w:b/>
          <w:bCs/>
          <w:color w:val="2E5C8A"/>
          <w:sz w:val="22"/>
          <w:szCs w:val="22"/>
        </w:rPr>
        <w:t xml:space="preserve">Option B: Weighted Additive (Interpretable)</w:t>
      </w:r>
    </w:p>
    <w:p>
      <w:pPr>
        <w:spacing w:after="140"/>
      </w:pPr>
      <w:r>
        <w:t xml:space="preserve">If your rules engine handles weighted sums better than multiplicative probabilities, use this form with directional weights that can be tuned later.</w:t>
      </w:r>
    </w:p>
    <w:p>
      <w:pPr>
        <w:spacing w:after="160" w:before="120"/>
        <w:jc w:val="center"/>
      </w:pPr>
      <w:r>
        <w:rPr>
          <w:rFonts w:ascii="Consolas" w:cs="Consolas" w:eastAsia="Consolas" w:hAnsi="Consolas"/>
          <w:b/>
          <w:bCs/>
          <w:sz w:val="22"/>
          <w:szCs w:val="22"/>
        </w:rPr>
        <w:t xml:space="preserve">Opportunity = 0.40 × FCS + 0.35 × (100 − EDRS) + 0.25 × (100 − NCRS)</w:t>
      </w:r>
    </w:p>
    <w:p>
      <w:pPr>
        <w:spacing w:after="140"/>
      </w:pPr>
      <w:r>
        <w:t xml:space="preserve">Weights reflect that fracture confirmation is the gating question, exclusion risk is the main efficiency lever, and compliance risk is modifiable through intervention design.</w:t>
      </w:r>
    </w:p>
    <w:p>
      <w:pPr>
        <w:pStyle w:val="Heading3"/>
        <w:spacing w:after="120" w:before="220"/>
      </w:pPr>
      <w:r>
        <w:rPr>
          <w:b/>
          <w:bCs/>
          <w:color w:val="2E5C8A"/>
          <w:sz w:val="22"/>
          <w:szCs w:val="22"/>
        </w:rPr>
        <w:t xml:space="preserve">Four-Tier Outreach Segmentation</w:t>
      </w:r>
    </w:p>
    <w:p>
      <w:pPr>
        <w:spacing w:after="140"/>
      </w:pPr>
      <w:r>
        <w:t xml:space="preserve">Translate the composite score into discrete operational actions. These four tiers have emerged consistently across the literature and map directly to your provider-abrasion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Tier</w:t>
            </w:r>
          </w:p>
        </w:tc>
        <w:tc>
          <w:tcPr>
            <w:tcW w:type="dxa" w:w="3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Member Profile</w:t>
            </w:r>
          </w:p>
        </w:tc>
        <w:tc>
          <w:tcPr>
            <w:tcW w:type="dxa" w:w="4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Operational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Tier 1 — Act Now</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High FCS, low EDRS, low-to-moderate NCRS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Immediate PCP alert within 48h of trigger; full care coordination; schedule BMD</w:t>
            </w:r>
          </w:p>
        </w:tc>
      </w:tr>
      <w:tr>
        <w:tc>
          <w:tcPr>
            <w:tcW w:type="dxa" w:w="1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Tier 2 — Support Needed</w:t>
            </w:r>
          </w:p>
        </w:tc>
        <w:tc>
          <w:tcPr>
            <w:tcW w:type="dxa" w:w="34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High FCS, low EDRS, high NCRS</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Refer to care manager / CHW; address SDOH barriers (transport, in-home DXA); member-level outreach before provider messaging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Tier 3 — Monitor, Don't Message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High FCS, moderate-to-high EDRS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90-day hold on provider messaging; re-score monthly; fire alert only if exclusions fail to develop</w:t>
            </w:r>
          </w:p>
        </w:tc>
      </w:tr>
      <w:tr>
        <w:tc>
          <w:tcPr>
            <w:tcW w:type="dxa" w:w="1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Tier 4 — Suppress</w:t>
            </w:r>
          </w:p>
        </w:tc>
        <w:tc>
          <w:tcPr>
            <w:tcW w:type="dxa" w:w="34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Very high EDRS, or low FCS with weak signal</w:t>
            </w:r>
          </w:p>
        </w:tc>
        <w:tc>
          <w:tcPr>
            <w:tcW w:type="dxa" w:w="41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No provider outreach; internal monitoring only; avoid alert fatigue</w:t>
            </w:r>
          </w:p>
        </w:tc>
      </w:tr>
    </w:tbl>
    <w:p>
      <w:pPr>
        <w:pStyle w:val="Heading1"/>
        <w:spacing w:after="200" w:before="360"/>
      </w:pPr>
      <w:r>
        <w:rPr>
          <w:b/>
          <w:bCs/>
          <w:color w:val="1F3A5F"/>
          <w:sz w:val="32"/>
          <w:szCs w:val="32"/>
        </w:rPr>
        <w:t xml:space="preserve">7. Critical Design Principles</w:t>
      </w:r>
    </w:p>
    <w:p>
      <w:pPr>
        <w:pStyle w:val="Heading3"/>
        <w:spacing w:after="120" w:before="220"/>
      </w:pPr>
      <w:r>
        <w:rPr>
          <w:b/>
          <w:bCs/>
          <w:color w:val="2E5C8A"/>
          <w:sz w:val="22"/>
          <w:szCs w:val="22"/>
        </w:rPr>
        <w:t xml:space="preserve">Use ADTs as Sensitive Triggers, Not Definitive Denominator Entries</w:t>
      </w:r>
    </w:p>
    <w:p>
      <w:pPr>
        <w:spacing w:after="140"/>
      </w:pPr>
      <w:r>
        <w:t xml:space="preserve">An ADT or authorization should fire the scoring workflow, not commit the member to the denominator. Treat every trigger as a 'suspected OMW event' that runs through FCS/EDRS/NCRS before generating any provider-facing action. This philosophy alone eliminates most provider abrasion.</w:t>
      </w:r>
    </w:p>
    <w:p>
      <w:pPr>
        <w:pStyle w:val="Heading3"/>
        <w:spacing w:after="120" w:before="220"/>
      </w:pPr>
      <w:r>
        <w:rPr>
          <w:b/>
          <w:bCs/>
          <w:color w:val="2E5C8A"/>
          <w:sz w:val="22"/>
          <w:szCs w:val="22"/>
        </w:rPr>
        <w:t xml:space="preserve">Build in a Post-Trigger Maturation Window</w:t>
      </w:r>
    </w:p>
    <w:p>
      <w:pPr>
        <w:spacing w:after="140"/>
      </w:pPr>
      <w:r>
        <w:t xml:space="preserve">Most exclusion acquisition happens in the first 60–90 days post-fracture. For Tier 3 members, a 90-day hold before firing full outreach catches the majority of future exclusions while still leaving 90 days of the 6-month window for intervention. This is the single most impactful operational change you can make.</w:t>
      </w:r>
    </w:p>
    <w:p>
      <w:pPr>
        <w:pStyle w:val="Heading3"/>
        <w:spacing w:after="120" w:before="220"/>
      </w:pPr>
      <w:r>
        <w:rPr>
          <w:b/>
          <w:bCs/>
          <w:color w:val="2E5C8A"/>
          <w:sz w:val="22"/>
          <w:szCs w:val="22"/>
        </w:rPr>
        <w:t xml:space="preserve">Re-Score Dynamically on Open Cases</w:t>
      </w:r>
    </w:p>
    <w:p>
      <w:pPr>
        <w:spacing w:after="140"/>
      </w:pPr>
      <w:r>
        <w:t xml:space="preserve">Re-run the full score every 30–60 days on open triggers. New claims, new authorizations, new pharmacy fills can move a member between tiers. A member who graduates from Tier 3 to Tier 1 at day 90 is your highest-ROI catch — caught early, confirmed stable, and you still have 3 months to close the gap.</w:t>
      </w:r>
    </w:p>
    <w:p>
      <w:pPr>
        <w:pStyle w:val="Heading3"/>
        <w:spacing w:after="120" w:before="220"/>
      </w:pPr>
      <w:r>
        <w:rPr>
          <w:b/>
          <w:bCs/>
          <w:color w:val="2E5C8A"/>
          <w:sz w:val="22"/>
          <w:szCs w:val="22"/>
        </w:rPr>
        <w:t xml:space="preserve">Pharmacy Data is Real-Time Exclusion Data</w:t>
      </w:r>
    </w:p>
    <w:p>
      <w:pPr>
        <w:spacing w:after="140"/>
      </w:pPr>
      <w:r>
        <w:t xml:space="preserve">A new dementia medication fill (donepezil, memantine, rivastigmine) can satisfy the advanced-illness exclusion via a single pharmacy event. Pipe Part D data into EDRS with minimal latency — a member who fills donepezil today should move to Tier 3 or 4 immediately.</w:t>
      </w:r>
    </w:p>
    <w:p>
      <w:pPr>
        <w:pStyle w:val="Heading3"/>
        <w:spacing w:after="120" w:before="220"/>
      </w:pPr>
      <w:r>
        <w:rPr>
          <w:b/>
          <w:bCs/>
          <w:color w:val="2E5C8A"/>
          <w:sz w:val="22"/>
          <w:szCs w:val="22"/>
        </w:rPr>
        <w:t xml:space="preserve">Vertebral Fractures Are the Wildcard</w:t>
      </w:r>
    </w:p>
    <w:p>
      <w:pPr>
        <w:spacing w:after="140"/>
      </w:pPr>
      <w:r>
        <w:t xml:space="preserve">Vertebral fractures have the lowest FCS confidence (hard to confirm from signals), the highest exclusion rate over time (populations tend to be frailer), and the worst compliance (often not recognized as osteoporotic by patients). Consider a vertebral-specific sub-pathway with enhanced chart review before messaging.</w:t>
      </w:r>
    </w:p>
    <w:p>
      <w:pPr>
        <w:pStyle w:val="Heading1"/>
        <w:spacing w:after="200" w:before="360"/>
      </w:pPr>
      <w:r>
        <w:rPr>
          <w:b/>
          <w:bCs/>
          <w:color w:val="1F3A5F"/>
          <w:sz w:val="32"/>
          <w:szCs w:val="32"/>
        </w:rPr>
        <w:t xml:space="preserve">8. Implementation Roadmap</w:t>
      </w:r>
    </w:p>
    <w:p>
      <w:pPr>
        <w:pStyle w:val="Heading3"/>
        <w:spacing w:after="120" w:before="220"/>
      </w:pPr>
      <w:r>
        <w:rPr>
          <w:b/>
          <w:bCs/>
          <w:color w:val="2E5C8A"/>
          <w:sz w:val="22"/>
          <w:szCs w:val="22"/>
        </w:rPr>
        <w:t xml:space="preserve">Phase 1 — Rules-Based Directional Model (Months 1–3)</w:t>
      </w:r>
    </w:p>
    <w:p>
      <w:pPr>
        <w:pStyle w:val="ListParagraph"/>
        <w:numPr>
          <w:ilvl w:val="0"/>
          <w:numId w:val="2"/>
        </w:numPr>
        <w:spacing w:after="80"/>
      </w:pPr>
      <w:r>
        <w:t xml:space="preserve">Implement the three components as weighted point systems using the values in sections 3–5.</w:t>
      </w:r>
    </w:p>
    <w:p>
      <w:pPr>
        <w:pStyle w:val="ListParagraph"/>
        <w:numPr>
          <w:ilvl w:val="0"/>
          <w:numId w:val="2"/>
        </w:numPr>
        <w:spacing w:after="80"/>
      </w:pPr>
      <w:r>
        <w:t xml:space="preserve">Operationalize HFRS or Kim CFI from your ICD-10 claims data — published code lists exist and open-source implementations are available.</w:t>
      </w:r>
    </w:p>
    <w:p>
      <w:pPr>
        <w:pStyle w:val="ListParagraph"/>
        <w:numPr>
          <w:ilvl w:val="0"/>
          <w:numId w:val="2"/>
        </w:numPr>
        <w:spacing w:after="80"/>
      </w:pPr>
      <w:r>
        <w:t xml:space="preserve">Build the four-tier outreach segmentation into your existing alerting workflow.</w:t>
      </w:r>
    </w:p>
    <w:p>
      <w:pPr>
        <w:pStyle w:val="ListParagraph"/>
        <w:numPr>
          <w:ilvl w:val="0"/>
          <w:numId w:val="2"/>
        </w:numPr>
        <w:spacing w:after="80"/>
      </w:pPr>
      <w:r>
        <w:t xml:space="preserve">Set conservative tier thresholds initially to minimize provider abrasion.</w:t>
      </w:r>
    </w:p>
    <w:p>
      <w:pPr>
        <w:pStyle w:val="Heading3"/>
        <w:spacing w:after="120" w:before="220"/>
      </w:pPr>
      <w:r>
        <w:rPr>
          <w:b/>
          <w:bCs/>
          <w:color w:val="2E5C8A"/>
          <w:sz w:val="22"/>
          <w:szCs w:val="22"/>
        </w:rPr>
        <w:t xml:space="preserve">Phase 2 — Back-Test and Calibrate (Months 3–6)</w:t>
      </w:r>
    </w:p>
    <w:p>
      <w:pPr>
        <w:pStyle w:val="ListParagraph"/>
        <w:numPr>
          <w:ilvl w:val="0"/>
          <w:numId w:val="2"/>
        </w:numPr>
        <w:spacing w:after="80"/>
      </w:pPr>
      <w:r>
        <w:t xml:space="preserve">Apply the model retrospectively to 2 prior HEDIS measurement years.</w:t>
      </w:r>
    </w:p>
    <w:p>
      <w:pPr>
        <w:pStyle w:val="ListParagraph"/>
        <w:numPr>
          <w:ilvl w:val="0"/>
          <w:numId w:val="2"/>
        </w:numPr>
        <w:spacing w:after="80"/>
      </w:pPr>
      <w:r>
        <w:t xml:space="preserve">For each member who triggered, record: (a) did they make the final HEDIS denominator? (b) did they hit the numerator?</w:t>
      </w:r>
    </w:p>
    <w:p>
      <w:pPr>
        <w:pStyle w:val="ListParagraph"/>
        <w:numPr>
          <w:ilvl w:val="0"/>
          <w:numId w:val="2"/>
        </w:numPr>
        <w:spacing w:after="80"/>
      </w:pPr>
      <w:r>
        <w:t xml:space="preserve">Compute confusion matrices for each tier. Expect Tier 1 precision of 60–80% and Tier 4 suppression accuracy of 70%+ if weights are reasonable.</w:t>
      </w:r>
    </w:p>
    <w:p>
      <w:pPr>
        <w:pStyle w:val="ListParagraph"/>
        <w:numPr>
          <w:ilvl w:val="0"/>
          <w:numId w:val="2"/>
        </w:numPr>
        <w:spacing w:after="80"/>
      </w:pPr>
      <w:r>
        <w:t xml:space="preserve">Tune threshold cutoffs using Youden's J statistic or cost-benefit analysis based on your messaging cost vs. rate lift.</w:t>
      </w:r>
    </w:p>
    <w:p>
      <w:pPr>
        <w:pStyle w:val="Heading3"/>
        <w:spacing w:after="120" w:before="220"/>
      </w:pPr>
      <w:r>
        <w:rPr>
          <w:b/>
          <w:bCs/>
          <w:color w:val="2E5C8A"/>
          <w:sz w:val="22"/>
          <w:szCs w:val="22"/>
        </w:rPr>
        <w:t xml:space="preserve">Phase 3 — Statistical Calibration (Months 6–12)</w:t>
      </w:r>
    </w:p>
    <w:p>
      <w:pPr>
        <w:pStyle w:val="ListParagraph"/>
        <w:numPr>
          <w:ilvl w:val="0"/>
          <w:numId w:val="2"/>
        </w:numPr>
        <w:spacing w:after="80"/>
      </w:pPr>
      <w:r>
        <w:t xml:space="preserve">Replace directional point weights with logistic regression coefficients fitted to your historical data.</w:t>
      </w:r>
    </w:p>
    <w:p>
      <w:pPr>
        <w:pStyle w:val="ListParagraph"/>
        <w:numPr>
          <w:ilvl w:val="0"/>
          <w:numId w:val="2"/>
        </w:numPr>
        <w:spacing w:after="80"/>
      </w:pPr>
      <w:r>
        <w:t xml:space="preserve">Keep the three-component architecture for explainability — don't collapse to a single black-box score.</w:t>
      </w:r>
    </w:p>
    <w:p>
      <w:pPr>
        <w:pStyle w:val="ListParagraph"/>
        <w:numPr>
          <w:ilvl w:val="0"/>
          <w:numId w:val="2"/>
        </w:numPr>
        <w:spacing w:after="80"/>
      </w:pPr>
      <w:r>
        <w:t xml:space="preserve">Validate on a held-out year before production deployment.</w:t>
      </w:r>
    </w:p>
    <w:p>
      <w:pPr>
        <w:pStyle w:val="Heading3"/>
        <w:spacing w:after="120" w:before="220"/>
      </w:pPr>
      <w:r>
        <w:rPr>
          <w:b/>
          <w:bCs/>
          <w:color w:val="2E5C8A"/>
          <w:sz w:val="22"/>
          <w:szCs w:val="22"/>
        </w:rPr>
        <w:t xml:space="preserve">Phase 4 — Production Monitoring (Month 12+)</w:t>
      </w:r>
    </w:p>
    <w:p>
      <w:pPr>
        <w:pStyle w:val="ListParagraph"/>
        <w:numPr>
          <w:ilvl w:val="0"/>
          <w:numId w:val="2"/>
        </w:numPr>
        <w:spacing w:after="80"/>
      </w:pPr>
      <w:r>
        <w:t xml:space="preserve">Track messaging volume, provider response rates, and final OMW rate month-over-month.</w:t>
      </w:r>
    </w:p>
    <w:p>
      <w:pPr>
        <w:pStyle w:val="ListParagraph"/>
        <w:numPr>
          <w:ilvl w:val="0"/>
          <w:numId w:val="2"/>
        </w:numPr>
        <w:spacing w:after="80"/>
      </w:pPr>
      <w:r>
        <w:t xml:space="preserve">Monitor drift — if your population's exclusion patterns shift (e.g., growing MA penetration, benefit changes), EDRS weights will need recalibration annually.</w:t>
      </w:r>
    </w:p>
    <w:p>
      <w:pPr>
        <w:pStyle w:val="ListParagraph"/>
        <w:numPr>
          <w:ilvl w:val="0"/>
          <w:numId w:val="2"/>
        </w:numPr>
        <w:spacing w:after="80"/>
      </w:pPr>
      <w:r>
        <w:t xml:space="preserve">Consider gradient-boosted tree models (XGBoost) for each component once you have 2+ years of labeled outcomes, but maintain SHAP-based explainability for clinical defensibility.</w:t>
      </w:r>
    </w:p>
    <w:p>
      <w:pPr>
        <w:pStyle w:val="Heading1"/>
        <w:spacing w:after="200" w:before="360"/>
      </w:pPr>
      <w:r>
        <w:rPr>
          <w:b/>
          <w:bCs/>
          <w:color w:val="1F3A5F"/>
          <w:sz w:val="32"/>
          <w:szCs w:val="32"/>
        </w:rPr>
        <w:t xml:space="preserve">9. Expected Performance</w:t>
      </w:r>
    </w:p>
    <w:p>
      <w:pPr>
        <w:spacing w:after="140"/>
      </w:pPr>
      <w:r>
        <w:t xml:space="preserve">Based on the published performance of the component instruments, realistic expectations for a properly calibrated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Expected Performance</w:t>
            </w:r>
          </w:p>
        </w:tc>
        <w:tc>
          <w:tcPr>
            <w:tcW w:type="dxa" w:w="3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Benchmark 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Fracture confirmation (FCS)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C-statistic 0.80–0.85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Site + age models in claims achieve this level</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Exclusion prediction (EDRS)</w:t>
            </w:r>
          </w:p>
        </w:tc>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C-statistic 0.75–0.82</w:t>
            </w:r>
          </w:p>
        </w:tc>
        <w:tc>
          <w:tcPr>
            <w:tcW w:type="dxa" w:w="35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HFRS/CFI 1-year mortality C-statistic 0.70–0.80 in Medicare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Compliance prediction (NCRS)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AUC 0.65–0.72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Cross-medication PDC approach achieves 0.70 AUC ceiling</w:t>
            </w:r>
          </w:p>
        </w:tc>
      </w:tr>
      <w:tr>
        <w:tc>
          <w:tcPr>
            <w:tcW w:type="dxa" w:w="2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rPr>
                <w:b/>
                <w:bCs/>
              </w:rPr>
              <w:t xml:space="preserve">Composite operational impact</w:t>
            </w:r>
          </w:p>
        </w:tc>
        <w:tc>
          <w:tcPr>
            <w:tcW w:type="dxa" w:w="3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30–50% reduction in provider messages with ≤5% loss in numerator catches</w:t>
            </w:r>
          </w:p>
        </w:tc>
        <w:tc>
          <w:tcPr>
            <w:tcW w:type="dxa" w:w="35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pPr>
              <w:spacing w:after="0"/>
            </w:pPr>
            <w:r>
              <w:t xml:space="preserve">Directional estimate from analogous care-gap programs</w:t>
            </w:r>
          </w:p>
        </w:tc>
      </w:tr>
    </w:tbl>
    <w:p>
      <w:pPr>
        <w:spacing w:after="140"/>
      </w:pPr>
      <w:r>
        <w:t xml:space="preserve">The model will not be perfect. It will, however, transform the OMW problem from 'blast every ADT trigger and hope for the best' into an intelligence-layered workflow that respects provider attention and concentrates care-management resources where they have the highest probability of closing a real HEDIS gap.</w:t>
      </w:r>
    </w:p>
    <w:p>
      <w:pPr>
        <w:pStyle w:val="Heading1"/>
        <w:spacing w:after="200" w:before="360"/>
      </w:pPr>
      <w:r>
        <w:rPr>
          <w:b/>
          <w:bCs/>
          <w:color w:val="1F3A5F"/>
          <w:sz w:val="32"/>
          <w:szCs w:val="32"/>
        </w:rPr>
        <w:t xml:space="preserve">10. One-Page Summary</w:t>
      </w:r>
    </w:p>
    <w:p>
      <w:pPr>
        <w:spacing w:after="140"/>
      </w:pPr>
      <w:r>
        <w:rPr>
          <w:b/>
          <w:bCs/>
        </w:rPr>
        <w:t xml:space="preserve">What you're building:</w:t>
      </w:r>
      <w:r>
        <w:t xml:space="preserve"> a triage layer that sits between your ADT/authorization fracture trigger and any provider-facing action.</w:t>
      </w:r>
    </w:p>
    <w:p>
      <w:pPr>
        <w:spacing w:after="140"/>
      </w:pPr>
      <w:r>
        <w:rPr>
          <w:b/>
          <w:bCs/>
        </w:rPr>
        <w:t xml:space="preserve">How it works:</w:t>
      </w:r>
      <w:r>
        <w:t xml:space="preserve"> three independent scores multiplied together —</w:t>
      </w:r>
    </w:p>
    <w:p>
      <w:pPr>
        <w:pStyle w:val="ListParagraph"/>
        <w:numPr>
          <w:ilvl w:val="0"/>
          <w:numId w:val="2"/>
        </w:numPr>
        <w:spacing w:after="80"/>
      </w:pPr>
      <w:r>
        <w:rPr>
          <w:b/>
          <w:bCs/>
        </w:rPr>
        <w:t xml:space="preserve">FCS</w:t>
      </w:r>
      <w:r>
        <w:t xml:space="preserve"> (fracture confirmation): is this actually a qualifying fracture?</w:t>
      </w:r>
    </w:p>
    <w:p>
      <w:pPr>
        <w:pStyle w:val="ListParagraph"/>
        <w:numPr>
          <w:ilvl w:val="0"/>
          <w:numId w:val="2"/>
        </w:numPr>
        <w:spacing w:after="80"/>
      </w:pPr>
      <w:r>
        <w:rPr>
          <w:b/>
          <w:bCs/>
        </w:rPr>
        <w:t xml:space="preserve">EDRS</w:t>
      </w:r>
      <w:r>
        <w:t xml:space="preserve"> (exclusion risk): will this member wash out before year-end?</w:t>
      </w:r>
    </w:p>
    <w:p>
      <w:pPr>
        <w:pStyle w:val="ListParagraph"/>
        <w:numPr>
          <w:ilvl w:val="0"/>
          <w:numId w:val="2"/>
        </w:numPr>
        <w:spacing w:after="80"/>
      </w:pPr>
      <w:r>
        <w:rPr>
          <w:b/>
          <w:bCs/>
        </w:rPr>
        <w:t xml:space="preserve">NCRS</w:t>
      </w:r>
      <w:r>
        <w:t xml:space="preserve"> (compliance risk): if they stay in, will they miss the numerator?</w:t>
      </w:r>
    </w:p>
    <w:p>
      <w:pPr>
        <w:spacing w:after="140"/>
      </w:pPr>
      <w:r>
        <w:rPr>
          <w:b/>
          <w:bCs/>
        </w:rPr>
        <w:t xml:space="preserve">What's new versus 'blast every trigger':</w:t>
      </w:r>
    </w:p>
    <w:p>
      <w:pPr>
        <w:pStyle w:val="ListParagraph"/>
        <w:numPr>
          <w:ilvl w:val="0"/>
          <w:numId w:val="2"/>
        </w:numPr>
        <w:spacing w:after="80"/>
      </w:pPr>
      <w:r>
        <w:t xml:space="preserve">Operationalizes one published frailty instrument (HFRS or Kim CFI) as the EDRS engine — this is the most evidence-backed single improvement you can make.</w:t>
      </w:r>
    </w:p>
    <w:p>
      <w:pPr>
        <w:pStyle w:val="ListParagraph"/>
        <w:numPr>
          <w:ilvl w:val="0"/>
          <w:numId w:val="2"/>
        </w:numPr>
        <w:spacing w:after="80"/>
      </w:pPr>
      <w:r>
        <w:t xml:space="preserve">Introduces a 90-day maturation window for Tier 3 cases, which catches most late-developing exclusions before you message the provider.</w:t>
      </w:r>
    </w:p>
    <w:p>
      <w:pPr>
        <w:pStyle w:val="ListParagraph"/>
        <w:numPr>
          <w:ilvl w:val="0"/>
          <w:numId w:val="2"/>
        </w:numPr>
        <w:spacing w:after="80"/>
      </w:pPr>
      <w:r>
        <w:t xml:space="preserve">Uses prior cross-medication adherence (PDC on any chronic med) as the NCRS anchor — strongest published single predictor of future osteoporosis-therapy adherence.</w:t>
      </w:r>
    </w:p>
    <w:p>
      <w:pPr>
        <w:pStyle w:val="ListParagraph"/>
        <w:numPr>
          <w:ilvl w:val="0"/>
          <w:numId w:val="2"/>
        </w:numPr>
        <w:spacing w:after="80"/>
      </w:pPr>
      <w:r>
        <w:t xml:space="preserve">Dynamically re-scores open cases every 30–60 days so members can graduate between tiers as the picture clarifies.</w:t>
      </w:r>
    </w:p>
    <w:p>
      <w:pPr>
        <w:spacing w:after="140"/>
      </w:pPr>
      <w:r>
        <w:rPr>
          <w:b/>
          <w:bCs/>
        </w:rPr>
        <w:t xml:space="preserve">What to do first:</w:t>
      </w:r>
      <w:r>
        <w:t xml:space="preserve"> implement HFRS from your ICD-10 claims, plug it into EDRS, and run the whole framework retrospectively against 2 prior HEDIS years. That single back-test will tell you whether your weights need to shift before you put anything in front of a provider.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2026-04-19T16:52:08.656Z</dcterms:created>
  <dcterms:modified xsi:type="dcterms:W3CDTF">2026-04-19T16:52:08.657Z</dcterms:modified>
</cp:coreProperties>
</file>

<file path=docProps/custom.xml><?xml version="1.0" encoding="utf-8"?>
<Properties xmlns="http://schemas.openxmlformats.org/officeDocument/2006/custom-properties" xmlns:vt="http://schemas.openxmlformats.org/officeDocument/2006/docPropsVTypes"/>
</file>