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60" w:before="0"/>
              <w:jc w:val="center"/>
            </w:pPr>
            <w:r>
              <w:rPr>
                <w:rFonts w:ascii="Arial" w:cs="Arial" w:eastAsia="Arial" w:hAnsi="Arial"/>
                <w:b/>
                <w:bCs/>
                <w:i w:val="false"/>
                <w:iCs w:val="false"/>
                <w:color w:val="B2DFDB"/>
                <w:sz w:val="16"/>
                <w:szCs w:val="16"/>
              </w:rPr>
              <w:t xml:space="preserve">STRATEGIC RISK ANALYSIS</w:t>
            </w:r>
          </w:p>
          <w:p>
            <w:pPr>
              <w:spacing w:after="60" w:before="0"/>
              <w:jc w:val="center"/>
            </w:pPr>
            <w:r>
              <w:rPr>
                <w:rFonts w:ascii="Arial" w:cs="Arial" w:eastAsia="Arial" w:hAnsi="Arial"/>
                <w:b/>
                <w:bCs/>
                <w:i w:val="false"/>
                <w:iCs w:val="false"/>
                <w:color w:val="FFFFFF"/>
                <w:sz w:val="38"/>
                <w:szCs w:val="38"/>
              </w:rPr>
              <w:t xml:space="preserve">OMW Pre-Denominator Scoring Layer</w:t>
            </w:r>
          </w:p>
          <w:p>
            <w:pPr>
              <w:spacing w:after="60" w:before="0"/>
              <w:jc w:val="center"/>
            </w:pPr>
            <w:r>
              <w:rPr>
                <w:rFonts w:ascii="Arial" w:cs="Arial" w:eastAsia="Arial" w:hAnsi="Arial"/>
                <w:b w:val="false"/>
                <w:bCs w:val="false"/>
                <w:i/>
                <w:iCs/>
                <w:color w:val="B2DFDB"/>
                <w:sz w:val="20"/>
                <w:szCs w:val="20"/>
              </w:rPr>
              <w:t xml:space="preserve">Five Structural Problems — and How to Turn Each Into a Competitive Advantage</w:t>
            </w:r>
          </w:p>
          <w:p>
            <w:pPr>
              <w:spacing w:after="0" w:before="0"/>
              <w:jc w:val="center"/>
            </w:pPr>
            <w:r>
              <w:rPr>
                <w:rFonts w:ascii="Arial" w:cs="Arial" w:eastAsia="Arial" w:hAnsi="Arial"/>
                <w:b w:val="false"/>
                <w:bCs w:val="false"/>
                <w:i w:val="false"/>
                <w:iCs w:val="false"/>
                <w:color w:val="B2DFDB"/>
                <w:sz w:val="17"/>
                <w:szCs w:val="17"/>
              </w:rPr>
              <w:t xml:space="preserve">Clinical Rules Engine  |  Stars Quality Strategy  |  April 2026</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004D40"/>
                <w:sz w:val="20"/>
                <w:szCs w:val="20"/>
              </w:rPr>
              <w:t xml:space="preserve">Purpose of This Document</w:t>
            </w:r>
          </w:p>
          <w:p>
            <w:pPr>
              <w:spacing w:after="100" w:before="0"/>
              <w:jc w:val="left"/>
            </w:pPr>
            <w:r>
              <w:rPr>
                <w:rFonts w:ascii="Arial" w:cs="Arial" w:eastAsia="Arial" w:hAnsi="Arial"/>
                <w:b w:val="false"/>
                <w:bCs w:val="false"/>
                <w:i w:val="false"/>
                <w:iCs w:val="false"/>
                <w:sz w:val="19"/>
                <w:szCs w:val="19"/>
              </w:rPr>
              <w:t xml:space="preserve">This document takes a deliberate devil's advocate position on the OMW Pre-Denominator Scoring Layer (PRE_OMW_RISK_SCORE) developed for HEDIS MY 2026. The scoring architecture is clinically sound and strategically well-motivated. The problems identified here are real structural and operational risks — not objections to the concept. Each problem is paired with a concrete opportunity that, if acted on, would transform the risk into a meaningful organizational advantage.</w:t>
            </w:r>
          </w:p>
          <w:p>
            <w:pPr>
              <w:spacing w:after="0" w:before="0"/>
              <w:jc w:val="left"/>
            </w:pPr>
            <w:r>
              <w:rPr>
                <w:rFonts w:ascii="Arial" w:cs="Arial" w:eastAsia="Arial" w:hAnsi="Arial"/>
                <w:b w:val="false"/>
                <w:bCs w:val="false"/>
                <w:i w:val="false"/>
                <w:iCs w:val="false"/>
                <w:sz w:val="19"/>
                <w:szCs w:val="19"/>
              </w:rPr>
              <w:t xml:space="preserve">Some elements of the scoring model are aspirational — EPIC integration, FHIR-native architecture, real-time exclusion refresh. The analysis applies equally to both current-state and aspirational components. The goal is to ensure the implementation succeeds, the Stars team adopts it, and the engine earns its place as the authoritative clinical intelligence layer for quality intervention.</w:t>
            </w:r>
          </w:p>
        </w:tc>
      </w:tr>
    </w:tbl>
    <w:p>
      <w:pPr>
        <w:spacing w:after="240" w:before="0"/>
      </w:pPr>
    </w:p>
    <w:p>
      <w:pPr>
        <w:spacing w:after="120" w:before="0"/>
      </w:pPr>
      <w:r>
        <w:rPr>
          <w:rFonts w:ascii="Arial" w:cs="Arial" w:eastAsia="Arial" w:hAnsi="Arial"/>
          <w:b/>
          <w:bCs/>
          <w:i w:val="false"/>
          <w:iCs w:val="false"/>
          <w:color w:val="263238"/>
          <w:sz w:val="26"/>
          <w:szCs w:val="2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320"/>
        <w:gridCol w:w="2960"/>
        <w:gridCol w:w="3640"/>
      </w:tblGrid>
      <w:tr>
        <w:trPr>
          <w:tblHeader/>
        </w:trPr>
        <w:tc>
          <w:tcPr>
            <w:tcW w:type="dxa" w:w="44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w:t>
            </w:r>
          </w:p>
        </w:tc>
        <w:tc>
          <w:tcPr>
            <w:tcW w:type="dxa" w:w="232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Problem</w:t>
            </w:r>
          </w:p>
        </w:tc>
        <w:tc>
          <w:tcPr>
            <w:tcW w:type="dxa" w:w="296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Real Risk if Unaddressed</w:t>
            </w:r>
          </w:p>
        </w:tc>
        <w:tc>
          <w:tcPr>
            <w:tcW w:type="dxa" w:w="364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Game-Changing Opportunity</w:t>
            </w:r>
          </w:p>
        </w:tc>
      </w:tr>
      <w:tr>
        <w:tc>
          <w:tcPr>
            <w:tcW w:type="dxa" w:w="44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1</w:t>
            </w:r>
          </w:p>
        </w:tc>
        <w:tc>
          <w:tcPr>
            <w:tcW w:type="dxa" w:w="232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Scoring weights are unvalidated against your population</w:t>
            </w:r>
          </w:p>
        </w:tc>
        <w:tc>
          <w:tcPr>
            <w:tcW w:type="dxa" w:w="29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Model dismissed after year one if conversion rates don't differentiate from flat outreach</w:t>
            </w:r>
          </w:p>
        </w:tc>
        <w:tc>
          <w:tcPr>
            <w:tcW w:type="dxa" w:w="364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Retrospective validation against prior-year OMW population — deploy a proven model, not a hypothesis</w:t>
            </w:r>
          </w:p>
        </w:tc>
      </w:tr>
      <w:tr>
        <w:tc>
          <w:tcPr>
            <w:tcW w:type="dxa" w:w="440"/>
            <w:tcBorders>
              <w:top w:val="single" w:color="B0BEC5" w:sz="1"/>
              <w:left w:val="single" w:color="B0BEC5" w:sz="1"/>
              <w:bottom w:val="single" w:color="B0BEC5" w:sz="1"/>
              <w:right w:val="single" w:color="B0BEC5" w:sz="1"/>
            </w:tcBorders>
            <w:shd w:fill="00695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2</w:t>
            </w:r>
          </w:p>
        </w:tc>
        <w:tc>
          <w:tcPr>
            <w:tcW w:type="dxa" w:w="232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Two-system architecture is fragile — Stars may ignore the score</w:t>
            </w:r>
          </w:p>
        </w:tc>
        <w:tc>
          <w:tcPr>
            <w:tcW w:type="dxa" w:w="29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Scores exist in a lookup table nobody queries; no behavioral change, no ROI</w:t>
            </w:r>
          </w:p>
        </w:tc>
        <w:tc>
          <w:tcPr>
            <w:tcW w:type="dxa" w:w="364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Flip the dependency: engine delivers the enriched alert — Stars doesn't have to query separately</w:t>
            </w:r>
          </w:p>
        </w:tc>
      </w:tr>
      <w:tr>
        <w:tc>
          <w:tcPr>
            <w:tcW w:type="dxa" w:w="440"/>
            <w:tcBorders>
              <w:top w:val="single" w:color="B0BEC5" w:sz="1"/>
              <w:left w:val="single" w:color="B0BEC5" w:sz="1"/>
              <w:bottom w:val="single" w:color="B0BEC5" w:sz="1"/>
              <w:right w:val="single" w:color="B0BEC5" w:sz="1"/>
            </w:tcBorders>
            <w:shd w:fill="880E4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3</w:t>
            </w:r>
          </w:p>
        </w:tc>
        <w:tc>
          <w:tcPr>
            <w:tcW w:type="dxa" w:w="232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BMD retroactive disqualification is not fully solved by scoring</w:t>
            </w:r>
          </w:p>
        </w:tc>
        <w:tc>
          <w:tcPr>
            <w:tcW w:type="dxa" w:w="29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DUAL_HIGH members still wash out; Stars loses confidence in the model</w:t>
            </w:r>
          </w:p>
        </w:tc>
        <w:tc>
          <w:tcPr>
            <w:tcW w:type="dxa" w:w="364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Real-time exclusion refresh at ADT trigger time + explicit hold window protocol</w:t>
            </w:r>
          </w:p>
        </w:tc>
      </w:tr>
      <w:tr>
        <w:tc>
          <w:tcPr>
            <w:tcW w:type="dxa" w:w="440"/>
            <w:tcBorders>
              <w:top w:val="single" w:color="B0BEC5" w:sz="1"/>
              <w:left w:val="single" w:color="B0BEC5" w:sz="1"/>
              <w:bottom w:val="single" w:color="B0BEC5" w:sz="1"/>
              <w:right w:val="single" w:color="B0BEC5" w:sz="1"/>
            </w:tcBorders>
            <w:shd w:fill="00695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4</w:t>
            </w:r>
          </w:p>
        </w:tc>
        <w:tc>
          <w:tcPr>
            <w:tcW w:type="dxa" w:w="232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Signal quality is uneven across data sources</w:t>
            </w:r>
          </w:p>
        </w:tc>
        <w:tc>
          <w:tcPr>
            <w:tcW w:type="dxa" w:w="29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Score instability month-to-month erodes trust; care managers notice tier changes that defy clinical reality</w:t>
            </w:r>
          </w:p>
        </w:tc>
        <w:tc>
          <w:tcPr>
            <w:tcW w:type="dxa" w:w="364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Source confidence metadata in output — turns a quality problem into a quality improvement feedback loop</w:t>
            </w:r>
          </w:p>
        </w:tc>
      </w:tr>
      <w:tr>
        <w:tc>
          <w:tcPr>
            <w:tcW w:type="dxa" w:w="44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5</w:t>
            </w:r>
          </w:p>
        </w:tc>
        <w:tc>
          <w:tcPr>
            <w:tcW w:type="dxa" w:w="232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The two-system architecture is being hardened into permanent infrastructure</w:t>
            </w:r>
          </w:p>
        </w:tc>
        <w:tc>
          <w:tcPr>
            <w:tcW w:type="dxa" w:w="29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Duplicate logic, duplicate maintenance, divergent conclusions in the EPIC/FHIR future</w:t>
            </w:r>
          </w:p>
        </w:tc>
        <w:tc>
          <w:tcPr>
            <w:tcW w:type="dxa" w:w="364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Use the validated score as the proof point to reopen the architectural conversation at EPIC onboarding</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PROBLEM 1  </w:t>
            </w:r>
            <w:r>
              <w:rPr>
                <w:rFonts w:ascii="Arial" w:cs="Arial" w:eastAsia="Arial" w:hAnsi="Arial"/>
                <w:b/>
                <w:bCs/>
                <w:i w:val="false"/>
                <w:iCs w:val="false"/>
                <w:color w:val="FFFFFF"/>
                <w:sz w:val="22"/>
                <w:szCs w:val="22"/>
              </w:rPr>
              <w:t xml:space="preserve">THE SCORING MODEL HAS NEVER BEEN VALIDATED AGAINST ACTUAL OUTCOMES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BF360C"/>
                <w:sz w:val="19"/>
                <w:szCs w:val="19"/>
              </w:rPr>
              <w:t xml:space="preserve">The Problem</w:t>
            </w:r>
          </w:p>
          <w:p>
            <w:pPr>
              <w:spacing w:after="100" w:before="0"/>
              <w:jc w:val="left"/>
            </w:pPr>
            <w:r>
              <w:rPr>
                <w:rFonts w:ascii="Arial" w:cs="Arial" w:eastAsia="Arial" w:hAnsi="Arial"/>
                <w:b w:val="false"/>
                <w:bCs w:val="false"/>
                <w:i w:val="false"/>
                <w:iCs w:val="false"/>
                <w:sz w:val="19"/>
                <w:szCs w:val="19"/>
              </w:rPr>
              <w:t xml:space="preserve">The signal weights in the scoring model — 4 pts for osteoporosis diagnosis, 3 pts for corticosteroids, 1 pt for age 67–79 — are clinically informed estimates. They are not derived from your population. They were designed by reasoning from clinical literature and measure logic, not by analyzing which members in your book of business who had a fracture actually failed to comply with the OMW numerator.</w:t>
            </w:r>
          </w:p>
          <w:p>
            <w:pPr>
              <w:spacing w:after="0" w:before="0"/>
              <w:jc w:val="left"/>
            </w:pPr>
            <w:r>
              <w:rPr>
                <w:rFonts w:ascii="Arial" w:cs="Arial" w:eastAsia="Arial" w:hAnsi="Arial"/>
                <w:b w:val="false"/>
                <w:bCs w:val="false"/>
                <w:i w:val="false"/>
                <w:iCs w:val="false"/>
                <w:sz w:val="19"/>
                <w:szCs w:val="19"/>
              </w:rPr>
              <w:t xml:space="preserve">The DUAL_HIGH thresholds (FRAC ≥ 7, N-CMP ≥ 5) are similarly proposed, not validated. If the weights are wrong — even directionally right but proportionally off — DUAL_HIGH may not identify the true non-compliers. You could route same-day calls to members who would have complied anyway, while genuine gaps sit at MEDIUM.</w:t>
            </w:r>
          </w:p>
        </w:tc>
        <w:tc>
          <w:tcPr>
            <w:tcW w:type="dxa" w:w="48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BF360C"/>
                <w:sz w:val="19"/>
                <w:szCs w:val="19"/>
              </w:rPr>
              <w:t xml:space="preserve">The Real Risk</w:t>
            </w:r>
          </w:p>
          <w:p>
            <w:pPr>
              <w:spacing w:after="100" w:before="0"/>
              <w:jc w:val="left"/>
            </w:pPr>
            <w:r>
              <w:rPr>
                <w:rFonts w:ascii="Arial" w:cs="Arial" w:eastAsia="Arial" w:hAnsi="Arial"/>
                <w:b w:val="false"/>
                <w:bCs w:val="false"/>
                <w:i w:val="false"/>
                <w:iCs w:val="false"/>
                <w:sz w:val="19"/>
                <w:szCs w:val="19"/>
              </w:rPr>
              <w:t xml:space="preserve">You spend real organizational capital implementing this, deploy it for a measurement year, and the DUAL_HIGH tier conversion rate is not meaningfully better than the current flat-outreach rate.</w:t>
            </w:r>
          </w:p>
          <w:p>
            <w:pPr>
              <w:spacing w:after="0" w:before="0"/>
              <w:jc w:val="left"/>
            </w:pPr>
            <w:r>
              <w:rPr>
                <w:rFonts w:ascii="Arial" w:cs="Arial" w:eastAsia="Arial" w:hAnsi="Arial"/>
                <w:b w:val="false"/>
                <w:bCs w:val="false"/>
                <w:i w:val="false"/>
                <w:iCs w:val="false"/>
                <w:sz w:val="19"/>
                <w:szCs w:val="19"/>
              </w:rPr>
              <w:t xml:space="preserve">The scoring layer gets dismissed as noise rather than signal. That is a credibility loss for the engine and for the team that built it — and it makes the next proposal harder to fund and harder to sell.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THE OPPORTUNITY — GAME-CHANGING WIN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100" w:before="0"/>
              <w:jc w:val="left"/>
            </w:pPr>
            <w:r>
              <w:rPr>
                <w:rFonts w:ascii="Arial" w:cs="Arial" w:eastAsia="Arial" w:hAnsi="Arial"/>
                <w:b/>
                <w:bCs/>
                <w:i w:val="false"/>
                <w:iCs w:val="false"/>
                <w:color w:val="1B5E20"/>
                <w:sz w:val="20"/>
                <w:szCs w:val="20"/>
              </w:rPr>
              <w:t xml:space="preserve">Don't deploy this as a scoring model. Deploy it first as a retrospective learning engine.</w:t>
            </w:r>
          </w:p>
          <w:p>
            <w:pPr>
              <w:spacing w:after="80" w:before="0"/>
              <w:jc w:val="left"/>
            </w:pPr>
            <w:r>
              <w:rPr>
                <w:rFonts w:ascii="Arial" w:cs="Arial" w:eastAsia="Arial" w:hAnsi="Arial"/>
                <w:b w:val="false"/>
                <w:bCs w:val="false"/>
                <w:i w:val="false"/>
                <w:iCs w:val="false"/>
                <w:sz w:val="19"/>
                <w:szCs w:val="19"/>
              </w:rPr>
              <w:t xml:space="preserve">Run the score against the prior 2–3 years of OMW denominator populations — members who actually had a fracture and either complied or didn't. Specifically:</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Test whether the N-CMP signals that fired for prior-year members map to actual post-fracture non-compliance. Do members with N-CMP ≥ 5 genuinely fail the numerator at a higher rate?</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Test whether the FRAC signals that fired correlate with actual fracture occurrence within the pre-denominator pool. Do members with FRAC ≥ 7 fracture at a meaningfully higher rate than those with FRAC ≤ 3?</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Use logistic regression or a simpler weight calibration against the empirical outcome data to tune the point values and thresholds before production deployment.</w:t>
            </w:r>
          </w:p>
          <w:p>
            <w:pPr>
              <w:spacing w:after="60" w:before="0"/>
            </w:pPr>
          </w:p>
          <w:p>
            <w:pPr>
              <w:spacing w:after="80" w:before="0"/>
              <w:jc w:val="left"/>
            </w:pPr>
            <w:r>
              <w:rPr>
                <w:rFonts w:ascii="Arial" w:cs="Arial" w:eastAsia="Arial" w:hAnsi="Arial"/>
                <w:b w:val="false"/>
                <w:bCs w:val="false"/>
                <w:i w:val="false"/>
                <w:iCs w:val="false"/>
                <w:sz w:val="19"/>
                <w:szCs w:val="19"/>
              </w:rPr>
              <w:t xml:space="preserve">This gives you empirically calibrated weights before a single outreach call is made. The model goes live already validated, and the validation itself becomes a story you can tell: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0" w:before="0"/>
                    <w:jc w:val="center"/>
                  </w:pPr>
                  <w:r>
                    <w:rPr>
                      <w:rFonts w:ascii="Arial" w:cs="Arial" w:eastAsia="Arial" w:hAnsi="Arial"/>
                      <w:b/>
                      <w:bCs/>
                      <w:i/>
                      <w:iCs/>
                      <w:color w:val="1B5E20"/>
                      <w:sz w:val="20"/>
                      <w:szCs w:val="20"/>
                    </w:rPr>
                    <w:t xml:space="preserve">“We didn’t guess at who matters — we proved it against three years of your own denominator population before we made a single call.”</w:t>
                  </w:r>
                </w:p>
              </w:tc>
            </w:tr>
          </w:tbl>
          <w:p>
            <w:pPr>
              <w:spacing w:after="60" w:before="0"/>
            </w:pPr>
          </w:p>
          <w:p>
            <w:pPr>
              <w:spacing w:after="0" w:before="0"/>
              <w:jc w:val="left"/>
            </w:pPr>
            <w:r>
              <w:rPr>
                <w:rFonts w:ascii="Arial" w:cs="Arial" w:eastAsia="Arial" w:hAnsi="Arial"/>
                <w:b w:val="false"/>
                <w:bCs w:val="false"/>
                <w:i w:val="false"/>
                <w:iCs w:val="false"/>
                <w:sz w:val="19"/>
                <w:szCs w:val="19"/>
              </w:rPr>
              <w:t xml:space="preserve">That is a fundamentally different pitch to leadership than "we think this scoring approach is sound." It also gives you a performance baseline against which to measure year-over-year improvement.</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004D4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PROBLEM 2  </w:t>
            </w:r>
            <w:r>
              <w:rPr>
                <w:rFonts w:ascii="Arial" w:cs="Arial" w:eastAsia="Arial" w:hAnsi="Arial"/>
                <w:b/>
                <w:bCs/>
                <w:i w:val="false"/>
                <w:iCs w:val="false"/>
                <w:color w:val="FFFFFF"/>
                <w:sz w:val="22"/>
                <w:szCs w:val="22"/>
              </w:rPr>
              <w:t xml:space="preserve">THE TWO-SYSTEM ARCHITECTURE IS FRAGILE BY DESIGN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BEC5" w:sz="1"/>
              <w:left w:val="single" w:color="B0BEC5" w:sz="1"/>
              <w:bottom w:val="single" w:color="B0BEC5" w:sz="1"/>
              <w:right w:val="single" w:color="B0BEC5" w:sz="1"/>
            </w:tcBorders>
            <w:shd w:fill="E0F2F1"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004D40"/>
                <w:sz w:val="19"/>
                <w:szCs w:val="19"/>
              </w:rPr>
              <w:t xml:space="preserve">The Problem</w:t>
            </w:r>
          </w:p>
          <w:p>
            <w:pPr>
              <w:spacing w:after="100" w:before="0"/>
              <w:jc w:val="left"/>
            </w:pPr>
            <w:r>
              <w:rPr>
                <w:rFonts w:ascii="Arial" w:cs="Arial" w:eastAsia="Arial" w:hAnsi="Arial"/>
                <w:b w:val="false"/>
                <w:bCs w:val="false"/>
                <w:i w:val="false"/>
                <w:iCs w:val="false"/>
                <w:sz w:val="19"/>
                <w:szCs w:val="19"/>
              </w:rPr>
              <w:t xml:space="preserve">The Stars team controls their own ADT feed, their own activation trigger, and their own intervention workflow. The engine provides a lookup table that enriches what Stars does — but Stars doesn't have to use it, doesn't have to act on the tier, and doesn't have to change their behavior at all.</w:t>
            </w:r>
          </w:p>
          <w:p>
            <w:pPr>
              <w:spacing w:after="0" w:before="0"/>
              <w:jc w:val="left"/>
            </w:pPr>
            <w:r>
              <w:rPr>
                <w:rFonts w:ascii="Arial" w:cs="Arial" w:eastAsia="Arial" w:hAnsi="Arial"/>
                <w:b w:val="false"/>
                <w:bCs w:val="false"/>
                <w:i w:val="false"/>
                <w:iCs w:val="false"/>
                <w:sz w:val="19"/>
                <w:szCs w:val="19"/>
              </w:rPr>
              <w:t xml:space="preserve">If Stars continues to treat every ADT fracture cross-reference with the same urgency regardless of tier — because the care manager has a personal workflow, because the system doesn't surface the tier prominently, because there's no SLA enforcement — the scoring layer produces no behavioral change. The model runs, the scores exist, nobody looks at them.</w:t>
            </w:r>
          </w:p>
        </w:tc>
        <w:tc>
          <w:tcPr>
            <w:tcW w:type="dxa" w:w="48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004D40"/>
                <w:sz w:val="19"/>
                <w:szCs w:val="19"/>
              </w:rPr>
              <w:t xml:space="preserve">The Real Risk</w:t>
            </w:r>
          </w:p>
          <w:p>
            <w:pPr>
              <w:spacing w:after="100" w:before="0"/>
              <w:jc w:val="left"/>
            </w:pPr>
            <w:r>
              <w:rPr>
                <w:rFonts w:ascii="Arial" w:cs="Arial" w:eastAsia="Arial" w:hAnsi="Arial"/>
                <w:b w:val="false"/>
                <w:bCs w:val="false"/>
                <w:i w:val="false"/>
                <w:iCs w:val="false"/>
                <w:sz w:val="19"/>
                <w:szCs w:val="19"/>
              </w:rPr>
              <w:t xml:space="preserve">This is the most common failure mode for enrichment layers. They get built, validated even, and then the consuming team ignores them because the data isn't surfaced in the right place at the right moment in the right format.</w:t>
            </w:r>
          </w:p>
          <w:p>
            <w:pPr>
              <w:spacing w:after="0" w:before="0"/>
              <w:jc w:val="left"/>
            </w:pPr>
            <w:r>
              <w:rPr>
                <w:rFonts w:ascii="Arial" w:cs="Arial" w:eastAsia="Arial" w:hAnsi="Arial"/>
                <w:b w:val="false"/>
                <w:bCs w:val="false"/>
                <w:i w:val="false"/>
                <w:iCs w:val="false"/>
                <w:sz w:val="19"/>
                <w:szCs w:val="19"/>
              </w:rPr>
              <w:t xml:space="preserve">A lookup table that Stars has to query separately, or a field appended to an alert that gets buried in a payload, changes nothing. The intervention pattern stays flat. The ROI never materializes.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THE OPPORTUNITY — GAME-CHANGING WIN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100" w:before="0"/>
              <w:jc w:val="left"/>
            </w:pPr>
            <w:r>
              <w:rPr>
                <w:rFonts w:ascii="Arial" w:cs="Arial" w:eastAsia="Arial" w:hAnsi="Arial"/>
                <w:b/>
                <w:bCs/>
                <w:i w:val="false"/>
                <w:iCs w:val="false"/>
                <w:color w:val="1B5E20"/>
                <w:sz w:val="20"/>
                <w:szCs w:val="20"/>
              </w:rPr>
              <w:t xml:space="preserve">Flip the dependency. The engine should deliver the enriched alert — Stars shouldn't have to query for anything.</w:t>
            </w:r>
          </w:p>
          <w:p>
            <w:pPr>
              <w:spacing w:after="100" w:before="0"/>
              <w:jc w:val="left"/>
            </w:pPr>
            <w:r>
              <w:rPr>
                <w:rFonts w:ascii="Arial" w:cs="Arial" w:eastAsia="Arial" w:hAnsi="Arial"/>
                <w:b w:val="false"/>
                <w:bCs w:val="false"/>
                <w:i w:val="false"/>
                <w:iCs w:val="false"/>
                <w:sz w:val="19"/>
                <w:szCs w:val="19"/>
              </w:rPr>
              <w:t xml:space="preserve">Instead of the engine providing a table that Stars queries, the engine should be the system that delivers the enriched alert. Stars' ADT cross-reference fires into an engine-mediated workflow, not a Stars-internal one. The score, tier, and outreach note are in the alert payload by default — not optional metadata.</w:t>
            </w:r>
          </w:p>
          <w:p>
            <w:pPr>
              <w:spacing w:after="80" w:before="0"/>
              <w:jc w:val="left"/>
            </w:pPr>
            <w:r>
              <w:rPr>
                <w:rFonts w:ascii="Arial" w:cs="Arial" w:eastAsia="Arial" w:hAnsi="Arial"/>
                <w:b w:val="false"/>
                <w:bCs w:val="false"/>
                <w:i w:val="false"/>
                <w:iCs w:val="false"/>
                <w:sz w:val="19"/>
                <w:szCs w:val="19"/>
              </w:rPr>
              <w:t xml:space="preserve">This requires Stars to agree to a workflow change, which is the hard conversation. But the scoring model gives you the leverage to have it. The framing matters enormously: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B0BEC5" w:sz="1"/>
                    <w:left w:val="single" w:color="B0BEC5" w:sz="1"/>
                    <w:bottom w:val="single" w:color="B0BEC5" w:sz="1"/>
                    <w:right w:val="single" w:color="B0BEC5" w:sz="1"/>
                  </w:tcBorders>
                  <w:shd w:fill="FBE9E7" w:val="clear"/>
                  <w:tcMar>
                    <w:top w:type="dxa" w:w="100"/>
                    <w:left w:type="dxa" w:w="160"/>
                    <w:bottom w:type="dxa" w:w="100"/>
                    <w:right w:type="dxa" w:w="160"/>
                  </w:tcMar>
                  <w:vAlign w:val="top"/>
                </w:tcPr>
                <w:p>
                  <w:pPr>
                    <w:spacing w:after="40" w:before="0"/>
                    <w:jc w:val="left"/>
                  </w:pPr>
                  <w:r>
                    <w:rPr>
                      <w:rFonts w:ascii="Arial" w:cs="Arial" w:eastAsia="Arial" w:hAnsi="Arial"/>
                      <w:b/>
                      <w:bCs/>
                      <w:i w:val="false"/>
                      <w:iCs w:val="false"/>
                      <w:color w:val="BF360C"/>
                      <w:sz w:val="18"/>
                      <w:szCs w:val="18"/>
                    </w:rPr>
                    <w:t xml:space="preserve">DON’T say:</w:t>
                  </w:r>
                </w:p>
                <w:p>
                  <w:pPr>
                    <w:spacing w:after="0" w:before="0"/>
                    <w:jc w:val="left"/>
                  </w:pPr>
                  <w:r>
                    <w:rPr>
                      <w:rFonts w:ascii="Arial" w:cs="Arial" w:eastAsia="Arial" w:hAnsi="Arial"/>
                      <w:b w:val="false"/>
                      <w:bCs w:val="false"/>
                      <w:i/>
                      <w:iCs/>
                      <w:sz w:val="19"/>
                      <w:szCs w:val="19"/>
                    </w:rPr>
                    <w:t xml:space="preserve">“Use our score.”</w:t>
                  </w:r>
                </w:p>
              </w:tc>
              <w:tc>
                <w:tcPr>
                  <w:tcW w:type="dxa" w:w="440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40" w:before="0"/>
                    <w:jc w:val="left"/>
                  </w:pPr>
                  <w:r>
                    <w:rPr>
                      <w:rFonts w:ascii="Arial" w:cs="Arial" w:eastAsia="Arial" w:hAnsi="Arial"/>
                      <w:b/>
                      <w:bCs/>
                      <w:i w:val="false"/>
                      <w:iCs w:val="false"/>
                      <w:color w:val="1B5E20"/>
                      <w:sz w:val="18"/>
                      <w:szCs w:val="18"/>
                    </w:rPr>
                    <w:t xml:space="preserve">DO say:</w:t>
                  </w:r>
                </w:p>
                <w:p>
                  <w:pPr>
                    <w:spacing w:after="0" w:before="0"/>
                    <w:jc w:val="left"/>
                  </w:pPr>
                  <w:r>
                    <w:rPr>
                      <w:rFonts w:ascii="Arial" w:cs="Arial" w:eastAsia="Arial" w:hAnsi="Arial"/>
                      <w:b w:val="false"/>
                      <w:bCs w:val="false"/>
                      <w:i/>
                      <w:iCs/>
                      <w:sz w:val="19"/>
                      <w:szCs w:val="19"/>
                    </w:rPr>
                    <w:t xml:space="preserve">“We can tell you, at the moment your ADT fires, whether this intervention is worth making today or can safely wait five days — so your team stops spending capacity on calls that wash out.”</w:t>
                  </w:r>
                </w:p>
              </w:tc>
            </w:tr>
          </w:tbl>
          <w:p>
            <w:pPr>
              <w:spacing w:after="80" w:before="0"/>
            </w:pPr>
          </w:p>
          <w:p>
            <w:pPr>
              <w:spacing w:after="0" w:before="0"/>
              <w:jc w:val="left"/>
            </w:pPr>
            <w:r>
              <w:rPr>
                <w:rFonts w:ascii="Arial" w:cs="Arial" w:eastAsia="Arial" w:hAnsi="Arial"/>
                <w:b w:val="false"/>
                <w:bCs w:val="false"/>
                <w:i w:val="false"/>
                <w:iCs w:val="false"/>
                <w:sz w:val="19"/>
                <w:szCs w:val="19"/>
              </w:rPr>
              <w:t xml:space="preserve">That's a capacity argument, not a technical one. It lands differently with a team that is stretched, and it leads to exactly the same architectural outcome: the engine controls the enriched alert delivery.</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880E4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PROBLEM 3  </w:t>
            </w:r>
            <w:r>
              <w:rPr>
                <w:rFonts w:ascii="Arial" w:cs="Arial" w:eastAsia="Arial" w:hAnsi="Arial"/>
                <w:b/>
                <w:bCs/>
                <w:i w:val="false"/>
                <w:iCs w:val="false"/>
                <w:color w:val="FFFFFF"/>
                <w:sz w:val="22"/>
                <w:szCs w:val="22"/>
              </w:rPr>
              <w:t xml:space="preserve">THE BMD RETROACTIVE DISQUALIFICATION PROBLEM IS NOT FULLY SOLVED BY SCORING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BEC5" w:sz="1"/>
              <w:left w:val="single" w:color="B0BEC5" w:sz="1"/>
              <w:bottom w:val="single" w:color="B0BEC5" w:sz="1"/>
              <w:right w:val="single" w:color="B0BEC5" w:sz="1"/>
            </w:tcBorders>
            <w:shd w:fill="FCE4EC"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880E4F"/>
                <w:sz w:val="19"/>
                <w:szCs w:val="19"/>
              </w:rPr>
              <w:t xml:space="preserve">The Problem</w:t>
            </w:r>
          </w:p>
          <w:p>
            <w:pPr>
              <w:spacing w:after="100" w:before="0"/>
              <w:jc w:val="left"/>
            </w:pPr>
            <w:r>
              <w:rPr>
                <w:rFonts w:ascii="Arial" w:cs="Arial" w:eastAsia="Arial" w:hAnsi="Arial"/>
                <w:b w:val="false"/>
                <w:bCs w:val="false"/>
                <w:i w:val="false"/>
                <w:iCs w:val="false"/>
                <w:sz w:val="19"/>
                <w:szCs w:val="19"/>
              </w:rPr>
              <w:t xml:space="preserve">The score identifies which members are high-confidence gaps — those who have never had a BMD, never been on an OMW drug, have high fracture risk. But the retroactive disqualification problem affects members who have a BMD claim in transit: a BMD that exists clinically but hasn't yet arrived in the engine.</w:t>
            </w:r>
          </w:p>
          <w:p>
            <w:pPr>
              <w:spacing w:after="0" w:before="0"/>
              <w:jc w:val="left"/>
            </w:pPr>
            <w:r>
              <w:rPr>
                <w:rFonts w:ascii="Arial" w:cs="Arial" w:eastAsia="Arial" w:hAnsi="Arial"/>
                <w:b w:val="false"/>
                <w:bCs w:val="false"/>
                <w:i w:val="false"/>
                <w:iCs w:val="false"/>
                <w:sz w:val="19"/>
                <w:szCs w:val="19"/>
              </w:rPr>
              <w:t xml:space="preserve">The score says "no BMD ever" because the engine hasn't seen the claim yet. Stars acts. The claim arrives with a service date prior to the fracture. The member was excluded all along. The scoring model cannot solve this — it can only reduce the frequency by focusing outreach on members where the BMD-in-transit scenario is least likely.</w:t>
            </w:r>
          </w:p>
        </w:tc>
        <w:tc>
          <w:tcPr>
            <w:tcW w:type="dxa" w:w="48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880E4F"/>
                <w:sz w:val="19"/>
                <w:szCs w:val="19"/>
              </w:rPr>
              <w:t xml:space="preserve">The Real Risk</w:t>
            </w:r>
          </w:p>
          <w:p>
            <w:pPr>
              <w:spacing w:after="100" w:before="0"/>
              <w:jc w:val="left"/>
            </w:pPr>
            <w:r>
              <w:rPr>
                <w:rFonts w:ascii="Arial" w:cs="Arial" w:eastAsia="Arial" w:hAnsi="Arial"/>
                <w:b w:val="false"/>
                <w:bCs w:val="false"/>
                <w:i w:val="false"/>
                <w:iCs w:val="false"/>
                <w:sz w:val="19"/>
                <w:szCs w:val="19"/>
              </w:rPr>
              <w:t xml:space="preserve">If retroactive disqualifications continue even for DUAL_HIGH members — which they will for some portion — Stars loses confidence in the scoring layer.</w:t>
            </w:r>
          </w:p>
          <w:p>
            <w:pPr>
              <w:spacing w:after="0" w:before="0"/>
              <w:jc w:val="left"/>
            </w:pPr>
            <w:r>
              <w:rPr>
                <w:rFonts w:ascii="Arial" w:cs="Arial" w:eastAsia="Arial" w:hAnsi="Arial"/>
                <w:b w:val="false"/>
                <w:bCs w:val="false"/>
                <w:i w:val="false"/>
                <w:iCs w:val="false"/>
                <w:sz w:val="19"/>
                <w:szCs w:val="19"/>
              </w:rPr>
              <w:t xml:space="preserve">"We called someone at DUAL_HIGH priority and they still washed out" is a failure that sticks in the memory of a care team. The scoring layer gets blamed for a structural data timing problem that predates it — and that association is very hard to undo.</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THE OPPORTUNITY — GAME-CHANGING WIN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100" w:before="0"/>
              <w:jc w:val="left"/>
            </w:pPr>
            <w:r>
              <w:rPr>
                <w:rFonts w:ascii="Arial" w:cs="Arial" w:eastAsia="Arial" w:hAnsi="Arial"/>
                <w:b/>
                <w:bCs/>
                <w:i w:val="false"/>
                <w:iCs w:val="false"/>
                <w:color w:val="1B5E20"/>
                <w:sz w:val="20"/>
                <w:szCs w:val="20"/>
              </w:rPr>
              <w:t xml:space="preserve">Implement a real-time exclusion refresh at ADT trigger time — not just at monthly run time.</w:t>
            </w:r>
          </w:p>
          <w:p>
            <w:pPr>
              <w:spacing w:after="80" w:before="0"/>
              <w:jc w:val="left"/>
            </w:pPr>
            <w:r>
              <w:rPr>
                <w:rFonts w:ascii="Arial" w:cs="Arial" w:eastAsia="Arial" w:hAnsi="Arial"/>
                <w:b w:val="false"/>
                <w:bCs w:val="false"/>
                <w:i w:val="false"/>
                <w:iCs w:val="false"/>
                <w:sz w:val="19"/>
                <w:szCs w:val="19"/>
              </w:rPr>
              <w:t xml:space="preserve">The monthly score run is a batch process. By the time the ADT fires, the score may be up to 60 days stale. A BMD or drug claim that arrived after the run date would not be reflected. The fix has two components:</w:t>
            </w:r>
          </w:p>
          <w:p>
            <w:pPr>
              <w:spacing w:after="60" w:before="0"/>
              <w:jc w:val="left"/>
            </w:pPr>
            <w:r>
              <w:rPr>
                <w:rFonts w:ascii="Arial" w:cs="Arial" w:eastAsia="Arial" w:hAnsi="Arial"/>
                <w:b/>
                <w:bCs/>
                <w:i w:val="false"/>
                <w:iCs w:val="false"/>
                <w:color w:val="1B5E20"/>
                <w:sz w:val="19"/>
                <w:szCs w:val="19"/>
              </w:rPr>
              <w:t xml:space="preserve">Component 1 — Real-Time Refresh:</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When the ADT fires and the score is retrieved, the enrichment layer also fires a real-time point query against the pharmacy claims feed and lab/LOINC feed at that exact moment.</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If a BMD (any source) or OMW drug claim has arrived since the last monthly run date, catch it here — before the alert is routed to Stars.</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This closes the window between the monthly run and the ADT event. It is the actual fix to the retroactive disqualification problem, not a mitigation.</w:t>
            </w:r>
          </w:p>
          <w:p>
            <w:pPr>
              <w:spacing w:after="60" w:before="0"/>
            </w:pPr>
          </w:p>
          <w:p>
            <w:pPr>
              <w:spacing w:after="60" w:before="0"/>
              <w:jc w:val="left"/>
            </w:pPr>
            <w:r>
              <w:rPr>
                <w:rFonts w:ascii="Arial" w:cs="Arial" w:eastAsia="Arial" w:hAnsi="Arial"/>
                <w:b/>
                <w:bCs/>
                <w:i w:val="false"/>
                <w:iCs w:val="false"/>
                <w:color w:val="1B5E20"/>
                <w:sz w:val="19"/>
                <w:szCs w:val="19"/>
              </w:rPr>
              <w:t xml:space="preserve">Component 2 — Hold Window Protocol:</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For members scoring MEDIUM or below on N-CMP — indicating some prior bone health engagement — impose a 7–14 day hold window before outreach is initiated.</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If the BMD claim arrives within the hold window, the member falls off cleanly without consuming intervention resources.</w:t>
            </w:r>
          </w:p>
          <w:p>
            <w:pPr>
              <w:pStyle w:val="ListParagraph"/>
              <w:numPr>
                <w:ilvl w:val="0"/>
                <w:numId w:val="3"/>
              </w:numPr>
              <w:spacing w:after="60" w:before="0"/>
            </w:pPr>
            <w:r>
              <w:rPr>
                <w:rFonts w:ascii="Arial" w:cs="Arial" w:eastAsia="Arial" w:hAnsi="Arial"/>
                <w:b w:val="false"/>
                <w:bCs w:val="false"/>
                <w:i w:val="false"/>
                <w:iCs w:val="false"/>
                <w:sz w:val="19"/>
                <w:szCs w:val="19"/>
              </w:rPr>
              <w:t xml:space="preserve">If no BMD arrives within the hold window, escalate to active outreach. The delay cost is minimal; the savings in wasted interventions is material.</w:t>
            </w:r>
          </w:p>
          <w:p>
            <w:pPr>
              <w:spacing w:after="60" w:before="0"/>
            </w:pPr>
          </w:p>
          <w:p>
            <w:pPr>
              <w:spacing w:after="0" w:before="0"/>
              <w:jc w:val="left"/>
            </w:pPr>
            <w:r>
              <w:rPr>
                <w:rFonts w:ascii="Arial" w:cs="Arial" w:eastAsia="Arial" w:hAnsi="Arial"/>
                <w:b w:val="false"/>
                <w:bCs w:val="false"/>
                <w:i w:val="false"/>
                <w:iCs w:val="false"/>
                <w:sz w:val="19"/>
                <w:szCs w:val="19"/>
              </w:rPr>
              <w:t xml:space="preserve">Together, these two components address the problem at both ends: catch the BMD at the moment of ADT, and don't act immediately on members where a brief wait costs little but saves the intervention. This should be codified as an explicit operational protocol — not left as an open design decision in the spec.</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455A64"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PROBLEM 4  </w:t>
            </w:r>
            <w:r>
              <w:rPr>
                <w:rFonts w:ascii="Arial" w:cs="Arial" w:eastAsia="Arial" w:hAnsi="Arial"/>
                <w:b/>
                <w:bCs/>
                <w:i w:val="false"/>
                <w:iCs w:val="false"/>
                <w:color w:val="FFFFFF"/>
                <w:sz w:val="22"/>
                <w:szCs w:val="22"/>
              </w:rPr>
              <w:t xml:space="preserve">SIGNAL QUALITY IS UNEVEN ACROSS DATA SOURCES — AND THE MODEL TREATS THEM AS EQUIVALENT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263238"/>
                <w:sz w:val="19"/>
                <w:szCs w:val="19"/>
              </w:rPr>
              <w:t xml:space="preserve">The Problem</w:t>
            </w:r>
          </w:p>
          <w:p>
            <w:pPr>
              <w:spacing w:after="100" w:before="0"/>
              <w:jc w:val="left"/>
            </w:pPr>
            <w:r>
              <w:rPr>
                <w:rFonts w:ascii="Arial" w:cs="Arial" w:eastAsia="Arial" w:hAnsi="Arial"/>
                <w:b w:val="false"/>
                <w:bCs w:val="false"/>
                <w:i w:val="false"/>
                <w:iCs w:val="false"/>
                <w:sz w:val="19"/>
                <w:szCs w:val="19"/>
              </w:rPr>
              <w:t xml:space="preserve">The scoring model draws signals from pharmacy claims (very reliable, fast), medical claims (reliable, slow), lab/LOINC feeds (variable reliability, moderate speed), and EMR supplemental data (variable reliability, slow, often incomplete).</w:t>
            </w:r>
          </w:p>
          <w:p>
            <w:pPr>
              <w:spacing w:after="0" w:before="0"/>
              <w:jc w:val="left"/>
            </w:pPr>
            <w:r>
              <w:rPr>
                <w:rFonts w:ascii="Arial" w:cs="Arial" w:eastAsia="Arial" w:hAnsi="Arial"/>
                <w:b w:val="false"/>
                <w:bCs w:val="false"/>
                <w:i w:val="false"/>
                <w:iCs w:val="false"/>
                <w:sz w:val="19"/>
                <w:szCs w:val="19"/>
              </w:rPr>
              <w:t xml:space="preserve">A member who scores +3 for "BMD T-score ≤ −2.5" because a T-score came through an EMR feed may be scored differently than an identical member where the T-score came through a structured lab claim — because EMR data quality varies by health system, and some T-score fields are unstructured text that requires extraction logic. If extraction logic misses or misparses a T-score, the member scores incorrectly. The model has no awareness of source reliability.</w:t>
            </w:r>
          </w:p>
        </w:tc>
        <w:tc>
          <w:tcPr>
            <w:tcW w:type="dxa" w:w="48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263238"/>
                <w:sz w:val="19"/>
                <w:szCs w:val="19"/>
              </w:rPr>
              <w:t xml:space="preserve">The Real Risk</w:t>
            </w:r>
          </w:p>
          <w:p>
            <w:pPr>
              <w:spacing w:after="100" w:before="0"/>
              <w:jc w:val="left"/>
            </w:pPr>
            <w:r>
              <w:rPr>
                <w:rFonts w:ascii="Arial" w:cs="Arial" w:eastAsia="Arial" w:hAnsi="Arial"/>
                <w:b w:val="false"/>
                <w:bCs w:val="false"/>
                <w:i w:val="false"/>
                <w:iCs w:val="false"/>
                <w:sz w:val="19"/>
                <w:szCs w:val="19"/>
              </w:rPr>
              <w:t xml:space="preserve">Score instability. The same member scores differently depending on which data sources lagged or errored that month. Care managers start noticing that a member's tier changes month-to-month in ways that don't reflect clinical reality.</w:t>
            </w:r>
          </w:p>
          <w:p>
            <w:pPr>
              <w:spacing w:after="0" w:before="0"/>
              <w:jc w:val="left"/>
            </w:pPr>
            <w:r>
              <w:rPr>
                <w:rFonts w:ascii="Arial" w:cs="Arial" w:eastAsia="Arial" w:hAnsi="Arial"/>
                <w:b w:val="false"/>
                <w:bCs w:val="false"/>
                <w:i w:val="false"/>
                <w:iCs w:val="false"/>
                <w:sz w:val="19"/>
                <w:szCs w:val="19"/>
              </w:rPr>
              <w:t xml:space="preserve">Once trust erodes — once the care team's mental model is "the score changes randomly" — it is very difficult to rebuild. The tool gets used as a reference at best, ignored at worst. The behavioral change the scoring layer was designed to create never happens.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THE OPPORTUNITY — GAME-CHANGING WIN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100" w:before="0"/>
              <w:jc w:val="left"/>
            </w:pPr>
            <w:r>
              <w:rPr>
                <w:rFonts w:ascii="Arial" w:cs="Arial" w:eastAsia="Arial" w:hAnsi="Arial"/>
                <w:b/>
                <w:bCs/>
                <w:i w:val="false"/>
                <w:iCs w:val="false"/>
                <w:color w:val="1B5E20"/>
                <w:sz w:val="20"/>
                <w:szCs w:val="20"/>
              </w:rPr>
              <w:t xml:space="preserve">Add source confidence metadata to the score output — and make it visible to the care team.</w:t>
            </w:r>
          </w:p>
          <w:p>
            <w:pPr>
              <w:spacing w:after="80" w:before="0"/>
              <w:jc w:val="left"/>
            </w:pPr>
            <w:r>
              <w:rPr>
                <w:rFonts w:ascii="Arial" w:cs="Arial" w:eastAsia="Arial" w:hAnsi="Arial"/>
                <w:b w:val="false"/>
                <w:bCs w:val="false"/>
                <w:i w:val="false"/>
                <w:iCs w:val="false"/>
                <w:sz w:val="19"/>
                <w:szCs w:val="19"/>
              </w:rPr>
              <w:t xml:space="preserve">Not just which signals fired, but which data sources contributed and what their known reliability characteristics are. The SIGNALS_FIRED field in the output schema is a start — but it needs a companion field: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SCORE_CONFIDENCE</w:t>
                  </w:r>
                </w:p>
              </w:tc>
              <w:tc>
                <w:tcPr>
                  <w:tcW w:type="dxa" w:w="640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HIGH / MEDIUM / LOW — derived from the source mix of signals that fired. If all signals came from pharmacy and medical claims: HIGH. If significant weight came from EMR T-score extraction: MEDIUM or LOW depending on the health system's data quality history.</w:t>
                  </w:r>
                </w:p>
              </w:tc>
            </w:tr>
            <w:tr>
              <w:tc>
                <w:tcPr>
                  <w:tcW w:type="dxa" w:w="24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SOURCE_DETAIL</w:t>
                  </w:r>
                </w:p>
              </w:tc>
              <w:tc>
                <w:tcPr>
                  <w:tcW w:type="dxa" w:w="640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Pipe-delimited list of source types that contributed to the score (e.g., CLAIMS|PHARMACY|LAB_LOINC|EMR_SUPPL). Surfaced in the OUTREACH_NOTE so the care manager knows which data was used.</w:t>
                  </w:r>
                </w:p>
              </w:tc>
            </w:tr>
          </w:tbl>
          <w:p>
            <w:pPr>
              <w:spacing w:after="80" w:before="0"/>
            </w:pPr>
          </w:p>
          <w:p>
            <w:pPr>
              <w:spacing w:after="100" w:before="0"/>
              <w:jc w:val="left"/>
            </w:pPr>
            <w:r>
              <w:rPr>
                <w:rFonts w:ascii="Arial" w:cs="Arial" w:eastAsia="Arial" w:hAnsi="Arial"/>
                <w:b w:val="false"/>
                <w:bCs w:val="false"/>
                <w:i/>
                <w:iCs/>
                <w:sz w:val="19"/>
                <w:szCs w:val="19"/>
              </w:rPr>
              <w:t xml:space="preserve">This surfaces in the OUTREACH_NOTE as something like: "Score confidence: MEDIUM — BMD T-score signal sourced from EMR supplemental data; verify if tier seems inconsistent with prior knowledge of member."</w:t>
            </w:r>
          </w:p>
          <w:p>
            <w:pPr>
              <w:spacing w:after="80" w:before="0"/>
              <w:jc w:val="left"/>
            </w:pPr>
            <w:r>
              <w:rPr>
                <w:rFonts w:ascii="Arial" w:cs="Arial" w:eastAsia="Arial" w:hAnsi="Arial"/>
                <w:b w:val="false"/>
                <w:bCs w:val="false"/>
                <w:i w:val="false"/>
                <w:iCs w:val="false"/>
                <w:sz w:val="19"/>
                <w:szCs w:val="19"/>
              </w:rPr>
              <w:t xml:space="preserve">Over time, this metadata becomes a data quality feedback loop:</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Track conversion rates by SCORE_CONFIDENCE tier. If MEDIUM-confidence DUAL_HIGH members convert at the same rate as HIGH-confidence ones, the EMR data is reliable and you can increase its weight.</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If MEDIUM-confidence members systematically underperform, you have quantitative evidence to invest in EMR data quality improvement — a business case that is otherwise hard to make.</w:t>
            </w:r>
          </w:p>
          <w:p>
            <w:pPr>
              <w:pStyle w:val="ListParagraph"/>
              <w:numPr>
                <w:ilvl w:val="0"/>
                <w:numId w:val="2"/>
              </w:numPr>
              <w:spacing w:after="80" w:before="0"/>
            </w:pPr>
            <w:r>
              <w:rPr>
                <w:rFonts w:ascii="Arial" w:cs="Arial" w:eastAsia="Arial" w:hAnsi="Arial"/>
                <w:b w:val="false"/>
                <w:bCs w:val="false"/>
                <w:i w:val="false"/>
                <w:iCs w:val="false"/>
                <w:sz w:val="20"/>
                <w:szCs w:val="20"/>
              </w:rPr>
              <w:t xml:space="preserve">Over 2–3 years, you build a source reliability profile for each connected health system — institutional knowledge that makes every downstream use of that data better.</w:t>
            </w:r>
          </w:p>
          <w:p>
            <w:pPr>
              <w:spacing w:after="60" w:before="0"/>
            </w:pPr>
          </w:p>
          <w:p>
            <w:pPr>
              <w:spacing w:after="0" w:before="0"/>
              <w:jc w:val="left"/>
            </w:pPr>
            <w:r>
              <w:rPr>
                <w:rFonts w:ascii="Arial" w:cs="Arial" w:eastAsia="Arial" w:hAnsi="Arial"/>
                <w:b w:val="false"/>
                <w:bCs w:val="false"/>
                <w:i w:val="false"/>
                <w:iCs w:val="false"/>
                <w:sz w:val="19"/>
                <w:szCs w:val="19"/>
              </w:rPr>
              <w:t xml:space="preserve">You have turned a data quality problem into a data quality improvement program. That is a fundamentally different posture — and one that the EPIC integration and FHIR future state both depend on.</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PROBLEM 5  </w:t>
            </w:r>
            <w:r>
              <w:rPr>
                <w:rFonts w:ascii="Arial" w:cs="Arial" w:eastAsia="Arial" w:hAnsi="Arial"/>
                <w:b/>
                <w:bCs/>
                <w:i w:val="false"/>
                <w:iCs w:val="false"/>
                <w:color w:val="FFFFFF"/>
                <w:sz w:val="22"/>
                <w:szCs w:val="22"/>
              </w:rPr>
              <w:t xml:space="preserve">THE TWO-SYSTEM ARCHITECTURE IS BEING HARDENED INTO PERMANENT INFRASTRUCTURE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263238"/>
                <w:sz w:val="19"/>
                <w:szCs w:val="19"/>
              </w:rPr>
              <w:t xml:space="preserve">The Problem</w:t>
            </w:r>
          </w:p>
          <w:p>
            <w:pPr>
              <w:spacing w:after="100" w:before="0"/>
              <w:jc w:val="left"/>
            </w:pPr>
            <w:r>
              <w:rPr>
                <w:rFonts w:ascii="Arial" w:cs="Arial" w:eastAsia="Arial" w:hAnsi="Arial"/>
                <w:b w:val="false"/>
                <w:bCs w:val="false"/>
                <w:i w:val="false"/>
                <w:iCs w:val="false"/>
                <w:sz w:val="19"/>
                <w:szCs w:val="19"/>
              </w:rPr>
              <w:t xml:space="preserve">The engine offered to incorporate the ADT fracture directly into its alert logic, collapsing the pool and putting the engine in full control of the enrichment. Stars declined because they want to own their activation trigger. This is a reasonable organizational boundary today.</w:t>
            </w:r>
          </w:p>
          <w:p>
            <w:pPr>
              <w:spacing w:after="0" w:before="0"/>
              <w:jc w:val="left"/>
            </w:pPr>
            <w:r>
              <w:rPr>
                <w:rFonts w:ascii="Arial" w:cs="Arial" w:eastAsia="Arial" w:hAnsi="Arial"/>
                <w:b w:val="false"/>
                <w:bCs w:val="false"/>
                <w:i w:val="false"/>
                <w:iCs w:val="false"/>
                <w:sz w:val="19"/>
                <w:szCs w:val="19"/>
              </w:rPr>
              <w:t xml:space="preserve">But it means the two-system architecture — with all its fragility and seam risk — is now being documented in specifications, presented in strategy decks, and designed around. The workaround is becoming the architecture. It is being institutionalized.</w:t>
            </w:r>
          </w:p>
        </w:tc>
        <w:tc>
          <w:tcPr>
            <w:tcW w:type="dxa" w:w="48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80" w:before="0"/>
              <w:jc w:val="left"/>
            </w:pPr>
            <w:r>
              <w:rPr>
                <w:rFonts w:ascii="Arial" w:cs="Arial" w:eastAsia="Arial" w:hAnsi="Arial"/>
                <w:b/>
                <w:bCs/>
                <w:i w:val="false"/>
                <w:iCs w:val="false"/>
                <w:color w:val="263238"/>
                <w:sz w:val="19"/>
                <w:szCs w:val="19"/>
              </w:rPr>
              <w:t xml:space="preserve">The Real Risk</w:t>
            </w:r>
          </w:p>
          <w:p>
            <w:pPr>
              <w:spacing w:after="100" w:before="0"/>
              <w:jc w:val="left"/>
            </w:pPr>
            <w:r>
              <w:rPr>
                <w:rFonts w:ascii="Arial" w:cs="Arial" w:eastAsia="Arial" w:hAnsi="Arial"/>
                <w:b w:val="false"/>
                <w:bCs w:val="false"/>
                <w:i w:val="false"/>
                <w:iCs w:val="false"/>
                <w:sz w:val="19"/>
                <w:szCs w:val="19"/>
              </w:rPr>
              <w:t xml:space="preserve">As EPIC comes online and data connections deepen, the question of who owns the activation trigger becomes more consequential. If Stars still owns it in a FHIR-native future, you have two systems consuming the same EPIC data independently — duplicate logic, duplicate maintenance, and the real possibility of two systems reaching different conclusions about the same member at the same time.</w:t>
            </w:r>
          </w:p>
          <w:p>
            <w:pPr>
              <w:spacing w:after="0" w:before="0"/>
              <w:jc w:val="left"/>
            </w:pPr>
            <w:r>
              <w:rPr>
                <w:rFonts w:ascii="Arial" w:cs="Arial" w:eastAsia="Arial" w:hAnsi="Arial"/>
                <w:b w:val="false"/>
                <w:bCs w:val="false"/>
                <w:i w:val="false"/>
                <w:iCs w:val="false"/>
                <w:sz w:val="19"/>
                <w:szCs w:val="19"/>
              </w:rPr>
              <w:t xml:space="preserve">That is not a theoretical risk. It is the natural endpoint of parallel architectures when a shared data source grows richer. The conflict surface grows with the data.</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20"/>
                <w:szCs w:val="20"/>
              </w:rPr>
              <w:t xml:space="preserve">THE OPPORTUNITY — GAME-CHANGING WIN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8F5E9" w:val="clear"/>
            <w:tcMar>
              <w:top w:type="dxa" w:w="100"/>
              <w:left w:type="dxa" w:w="160"/>
              <w:bottom w:type="dxa" w:w="100"/>
              <w:right w:type="dxa" w:w="160"/>
            </w:tcMar>
            <w:vAlign w:val="top"/>
          </w:tcPr>
          <w:p>
            <w:pPr>
              <w:spacing w:after="100" w:before="0"/>
              <w:jc w:val="left"/>
            </w:pPr>
            <w:r>
              <w:rPr>
                <w:rFonts w:ascii="Arial" w:cs="Arial" w:eastAsia="Arial" w:hAnsi="Arial"/>
                <w:b/>
                <w:bCs/>
                <w:i w:val="false"/>
                <w:iCs w:val="false"/>
                <w:color w:val="1B5E20"/>
                <w:sz w:val="20"/>
                <w:szCs w:val="20"/>
              </w:rPr>
              <w:t xml:space="preserve">Use the validated score as the proof point to reopen the architectural conversation — at the EPIC onboarding inflection point.</w:t>
            </w:r>
          </w:p>
          <w:p>
            <w:pPr>
              <w:spacing w:after="100" w:before="0"/>
              <w:jc w:val="left"/>
            </w:pPr>
            <w:r>
              <w:rPr>
                <w:rFonts w:ascii="Arial" w:cs="Arial" w:eastAsia="Arial" w:hAnsi="Arial"/>
                <w:b w:val="false"/>
                <w:bCs w:val="false"/>
                <w:i w:val="false"/>
                <w:iCs w:val="false"/>
                <w:sz w:val="19"/>
                <w:szCs w:val="19"/>
              </w:rPr>
              <w:t xml:space="preserve">The goal is not to challenge Stars' authority over their workflow. The goal is to make the engine so demonstrably useful — so clearly the higher-quality signal — that Stars wants to consume it rather than maintain a parallel process.</w:t>
            </w:r>
          </w:p>
          <w:p>
            <w:pPr>
              <w:spacing w:after="80" w:before="0"/>
              <w:jc w:val="left"/>
            </w:pPr>
            <w:r>
              <w:rPr>
                <w:rFonts w:ascii="Arial" w:cs="Arial" w:eastAsia="Arial" w:hAnsi="Arial"/>
                <w:b/>
                <w:bCs/>
                <w:i w:val="false"/>
                <w:iCs w:val="false"/>
                <w:color w:val="1B5E20"/>
                <w:sz w:val="19"/>
                <w:szCs w:val="19"/>
              </w:rPr>
              <w:t xml:space="preserve">The strategy has three stages: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8000"/>
            </w:tblGrid>
            <w:tr>
              <w:tc>
                <w:tcPr>
                  <w:tcW w:type="dxa" w:w="800"/>
                  <w:tcBorders>
                    <w:top w:val="single" w:color="B0BEC5" w:sz="1"/>
                    <w:left w:val="single" w:color="B0BEC5" w:sz="1"/>
                    <w:bottom w:val="single" w:color="B0BEC5" w:sz="1"/>
                    <w:right w:val="single" w:color="B0BEC5" w:sz="1"/>
                  </w:tcBorders>
                  <w:shd w:fill="004D4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9"/>
                      <w:szCs w:val="19"/>
                    </w:rPr>
                    <w:t xml:space="preserve">Stage 1</w:t>
                  </w:r>
                </w:p>
              </w:tc>
              <w:tc>
                <w:tcPr>
                  <w:tcW w:type="dxa" w:w="8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9"/>
                      <w:szCs w:val="19"/>
                    </w:rPr>
                    <w:t xml:space="preserve">Validate and deploy the scoring model (see Problem 1). Demonstrate measurable differentiation in conversion rates between DUAL_HIGH and LOW tiers. Build the empirical track record.</w:t>
                  </w:r>
                </w:p>
              </w:tc>
            </w:tr>
            <w:tr>
              <w:tc>
                <w:tcPr>
                  <w:tcW w:type="dxa" w:w="800"/>
                  <w:tcBorders>
                    <w:top w:val="single" w:color="B0BEC5" w:sz="1"/>
                    <w:left w:val="single" w:color="B0BEC5" w:sz="1"/>
                    <w:bottom w:val="single" w:color="B0BEC5" w:sz="1"/>
                    <w:right w:val="single" w:color="B0BEC5" w:sz="1"/>
                  </w:tcBorders>
                  <w:shd w:fill="00695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9"/>
                      <w:szCs w:val="19"/>
                    </w:rPr>
                    <w:t xml:space="preserve">Stage 2</w:t>
                  </w:r>
                </w:p>
              </w:tc>
              <w:tc>
                <w:tcPr>
                  <w:tcW w:type="dxa" w:w="8000"/>
                  <w:tcBorders>
                    <w:top w:val="single" w:color="B0BEC5" w:sz="1"/>
                    <w:left w:val="single" w:color="B0BEC5" w:sz="1"/>
                    <w:bottom w:val="single" w:color="B0BEC5" w:sz="1"/>
                    <w:right w:val="single" w:color="B0BEC5" w:sz="1"/>
                  </w:tcBorders>
                  <w:shd w:fill="E0F2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9"/>
                      <w:szCs w:val="19"/>
                    </w:rPr>
                    <w:t xml:space="preserve">At EPIC onboarding, make the case for a single enriched pipeline using EPIC data — sourced and processed once, by the engine, enriched with the score, delivered to Stars. The argument is operational efficiency, not territorial: two teams consuming the same EPIC data feed independently means duplicate mapping, duplicate maintenance, and duplicate risk when EPIC changes its data model.</w:t>
                  </w:r>
                </w:p>
              </w:tc>
            </w:tr>
            <w:tr>
              <w:tc>
                <w:tcPr>
                  <w:tcW w:type="dxa" w:w="80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9"/>
                      <w:szCs w:val="19"/>
                    </w:rPr>
                    <w:t xml:space="preserve">Stage 3</w:t>
                  </w:r>
                </w:p>
              </w:tc>
              <w:tc>
                <w:tcPr>
                  <w:tcW w:type="dxa" w:w="8000"/>
                  <w:tcBorders>
                    <w:top w:val="single" w:color="B0BEC5" w:sz="1"/>
                    <w:left w:val="single" w:color="B0BEC5" w:sz="1"/>
                    <w:bottom w:val="single" w:color="B0BEC5" w:sz="1"/>
                    <w:right w:val="single" w:color="B0BEC5" w:sz="1"/>
                  </w:tcBorders>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9"/>
                      <w:szCs w:val="19"/>
                    </w:rPr>
                    <w:t xml:space="preserve">Once the engine is the authoritative enrichment layer for OMW, the pattern extends to other fracture-triggered or event-triggered quality measures. The engine becomes the pre-processing intelligence layer for Stars across the Stars portfolio — not just OMW. That is the real long-term value of getting this right on OMW first.</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B0BEC5" w:sz="1"/>
                    <w:left w:val="single" w:color="B0BEC5" w:sz="1"/>
                    <w:bottom w:val="single" w:color="B0BEC5" w:sz="1"/>
                    <w:right w:val="single" w:color="B0BEC5" w:sz="1"/>
                  </w:tcBorders>
                  <w:shd w:fill="C8E6C9" w:val="clear"/>
                  <w:tcMar>
                    <w:top w:type="dxa" w:w="100"/>
                    <w:left w:type="dxa" w:w="160"/>
                    <w:bottom w:type="dxa" w:w="100"/>
                    <w:right w:type="dxa" w:w="160"/>
                  </w:tcMar>
                  <w:vAlign w:val="top"/>
                </w:tcPr>
                <w:p>
                  <w:pPr>
                    <w:spacing w:after="60" w:before="0"/>
                    <w:jc w:val="left"/>
                  </w:pPr>
                  <w:r>
                    <w:rPr>
                      <w:rFonts w:ascii="Arial" w:cs="Arial" w:eastAsia="Arial" w:hAnsi="Arial"/>
                      <w:b/>
                      <w:bCs/>
                      <w:i w:val="false"/>
                      <w:iCs w:val="false"/>
                      <w:color w:val="1B5E20"/>
                      <w:sz w:val="19"/>
                      <w:szCs w:val="19"/>
                    </w:rPr>
                    <w:t xml:space="preserve">The through-line across all five problems:</w:t>
                  </w:r>
                </w:p>
                <w:p>
                  <w:pPr>
                    <w:spacing w:after="0" w:before="0"/>
                    <w:jc w:val="center"/>
                  </w:pPr>
                  <w:r>
                    <w:rPr>
                      <w:rFonts w:ascii="Arial" w:cs="Arial" w:eastAsia="Arial" w:hAnsi="Arial"/>
                      <w:b w:val="false"/>
                      <w:bCs w:val="false"/>
                      <w:i/>
                      <w:iCs/>
                      <w:color w:val="1B5E20"/>
                      <w:sz w:val="20"/>
                      <w:szCs w:val="20"/>
                    </w:rPr>
                    <w:t xml:space="preserve">The scoring model is not the destination. It is the leverage. Each of these problems, addressed correctly, positions the engine as the authoritative clinical intelligence layer for Stars — not just a lookup table they can ignore.</w:t>
                  </w:r>
                </w:p>
              </w:tc>
            </w:tr>
          </w:tbl>
          <w:p/>
        </w:tc>
      </w:tr>
    </w:tbl>
    <w:p>
      <w:pPr>
        <w:spacing w:after="320" w:before="0"/>
      </w:pPr>
    </w:p>
    <w:p>
      <w:pPr>
        <w:spacing w:after="120" w:before="0"/>
      </w:pPr>
      <w:r>
        <w:rPr>
          <w:rFonts w:ascii="Arial" w:cs="Arial" w:eastAsia="Arial" w:hAnsi="Arial"/>
          <w:b/>
          <w:bCs/>
          <w:i w:val="false"/>
          <w:iCs w:val="false"/>
          <w:color w:val="263238"/>
          <w:sz w:val="26"/>
          <w:szCs w:val="26"/>
        </w:rPr>
        <w:t xml:space="preserve">Recommended Action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rPr>
          <w:tblHeader/>
        </w:trPr>
        <w:tc>
          <w:tcPr>
            <w:tcW w:type="dxa" w:w="70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Phase</w:t>
            </w:r>
          </w:p>
        </w:tc>
        <w:tc>
          <w:tcPr>
            <w:tcW w:type="dxa" w:w="220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Action</w:t>
            </w:r>
          </w:p>
        </w:tc>
        <w:tc>
          <w:tcPr>
            <w:tcW w:type="dxa" w:w="406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What It Accomplishes</w:t>
            </w:r>
          </w:p>
        </w:tc>
        <w:tc>
          <w:tcPr>
            <w:tcW w:type="dxa" w:w="2400"/>
            <w:tcBorders>
              <w:top w:val="single" w:color="B0BEC5" w:sz="1"/>
              <w:left w:val="single" w:color="B0BEC5" w:sz="1"/>
              <w:bottom w:val="single" w:color="B0BEC5" w:sz="1"/>
              <w:right w:val="single" w:color="B0BEC5" w:sz="1"/>
            </w:tcBorders>
            <w:shd w:fill="263238"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Addresses Problem</w:t>
            </w:r>
          </w:p>
        </w:tc>
      </w:tr>
      <w:tr>
        <w:tc>
          <w:tcPr>
            <w:tcW w:type="dxa" w:w="70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1</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Retrospective validation</w:t>
            </w:r>
          </w:p>
        </w:tc>
        <w:tc>
          <w:tcPr>
            <w:tcW w:type="dxa" w:w="406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Run the score against prior 2–3 years of OMW denominator data. Calibrate signal weights and DUAL_HIGH thresholds empirically. Document the validation results.</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1 — unvalidated weights</w:t>
            </w:r>
          </w:p>
        </w:tc>
      </w:tr>
      <w:tr>
        <w:tc>
          <w:tcPr>
            <w:tcW w:type="dxa" w:w="70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2</w:t>
            </w:r>
          </w:p>
        </w:tc>
        <w:tc>
          <w:tcPr>
            <w:tcW w:type="dxa" w:w="22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Real-time exclusion refresh at ADT trigger</w:t>
            </w:r>
          </w:p>
        </w:tc>
        <w:tc>
          <w:tcPr>
            <w:tcW w:type="dxa" w:w="406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At the moment Stars' ADT fires, re-query pharmacy and lab/LOINC feeds for BMD and drug events since the last monthly run. Catch retroactive exclusions before the alert routes.</w:t>
            </w:r>
          </w:p>
        </w:tc>
        <w:tc>
          <w:tcPr>
            <w:tcW w:type="dxa" w:w="24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3 — BMD disqualification</w:t>
            </w:r>
          </w:p>
        </w:tc>
      </w:tr>
      <w:tr>
        <w:tc>
          <w:tcPr>
            <w:tcW w:type="dxa" w:w="700"/>
            <w:tcBorders>
              <w:top w:val="single" w:color="B0BEC5" w:sz="1"/>
              <w:left w:val="single" w:color="B0BEC5" w:sz="1"/>
              <w:bottom w:val="single" w:color="B0BEC5" w:sz="1"/>
              <w:right w:val="single" w:color="B0BEC5" w:sz="1"/>
            </w:tcBorders>
            <w:shd w:fill="BF360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3</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Hold window protocol</w:t>
            </w:r>
          </w:p>
        </w:tc>
        <w:tc>
          <w:tcPr>
            <w:tcW w:type="dxa" w:w="406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Formalize a 7–14 day hold window for MEDIUM N-CMP members before outreach is initiated. Document as operational SLA, not an open design decision.</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3 — BMD disqualification</w:t>
            </w:r>
          </w:p>
        </w:tc>
      </w:tr>
      <w:tr>
        <w:tc>
          <w:tcPr>
            <w:tcW w:type="dxa" w:w="700"/>
            <w:tcBorders>
              <w:top w:val="single" w:color="B0BEC5" w:sz="1"/>
              <w:left w:val="single" w:color="B0BEC5" w:sz="1"/>
              <w:bottom w:val="single" w:color="B0BEC5" w:sz="1"/>
              <w:right w:val="single" w:color="B0BEC5" w:sz="1"/>
            </w:tcBorders>
            <w:shd w:fill="00695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4</w:t>
            </w:r>
          </w:p>
        </w:tc>
        <w:tc>
          <w:tcPr>
            <w:tcW w:type="dxa" w:w="22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Source confidence metadata</w:t>
            </w:r>
          </w:p>
        </w:tc>
        <w:tc>
          <w:tcPr>
            <w:tcW w:type="dxa" w:w="406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Add SCORE_CONFIDENCE and SOURCE_DETAIL fields to the output schema. Surface in the OUTREACH_NOTE. Begin tracking conversion rates by confidence tier.</w:t>
            </w:r>
          </w:p>
        </w:tc>
        <w:tc>
          <w:tcPr>
            <w:tcW w:type="dxa" w:w="24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4 — source reliability</w:t>
            </w:r>
          </w:p>
        </w:tc>
      </w:tr>
      <w:tr>
        <w:tc>
          <w:tcPr>
            <w:tcW w:type="dxa" w:w="700"/>
            <w:tcBorders>
              <w:top w:val="single" w:color="B0BEC5" w:sz="1"/>
              <w:left w:val="single" w:color="B0BEC5" w:sz="1"/>
              <w:bottom w:val="single" w:color="B0BEC5" w:sz="1"/>
              <w:right w:val="single" w:color="B0BEC5" w:sz="1"/>
            </w:tcBorders>
            <w:shd w:fill="00695C"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5</w:t>
            </w:r>
          </w:p>
        </w:tc>
        <w:tc>
          <w:tcPr>
            <w:tcW w:type="dxa" w:w="22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Alert delivery flip</w:t>
            </w:r>
          </w:p>
        </w:tc>
        <w:tc>
          <w:tcPr>
            <w:tcW w:type="dxa" w:w="406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Negotiate with Stars to have the engine deliver the enriched alert rather than Stars querying a lookup table. Frame as capacity savings, not architectural control.</w:t>
            </w:r>
          </w:p>
        </w:tc>
        <w:tc>
          <w:tcPr>
            <w:tcW w:type="dxa" w:w="2400"/>
            <w:tcBorders>
              <w:top w:val="single" w:color="B0BEC5" w:sz="1"/>
              <w:left w:val="single" w:color="B0BEC5" w:sz="1"/>
              <w:bottom w:val="single" w:color="B0BEC5" w:sz="1"/>
              <w:right w:val="single" w:color="B0BEC5"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2 — adoption fragility</w:t>
            </w:r>
          </w:p>
        </w:tc>
      </w:tr>
      <w:tr>
        <w:tc>
          <w:tcPr>
            <w:tcW w:type="dxa" w:w="700"/>
            <w:tcBorders>
              <w:top w:val="single" w:color="B0BEC5" w:sz="1"/>
              <w:left w:val="single" w:color="B0BEC5" w:sz="1"/>
              <w:bottom w:val="single" w:color="B0BEC5" w:sz="1"/>
              <w:right w:val="single" w:color="B0BEC5" w:sz="1"/>
            </w:tcBorders>
            <w:shd w:fill="1B5E20"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FFFFFF"/>
                <w:sz w:val="18"/>
                <w:szCs w:val="18"/>
              </w:rPr>
              <w:t xml:space="preserve">6</w:t>
            </w:r>
          </w:p>
        </w:tc>
        <w:tc>
          <w:tcPr>
            <w:tcW w:type="dxa" w:w="22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bCs/>
                <w:i w:val="false"/>
                <w:iCs w:val="false"/>
                <w:sz w:val="18"/>
                <w:szCs w:val="18"/>
              </w:rPr>
              <w:t xml:space="preserve">EPIC onboarding alignment</w:t>
            </w:r>
          </w:p>
        </w:tc>
        <w:tc>
          <w:tcPr>
            <w:tcW w:type="dxa" w:w="406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sz w:val="18"/>
                <w:szCs w:val="18"/>
              </w:rPr>
              <w:t xml:space="preserve">At EPIC integration, propose a single enriched pipeline sourced from EPIC data by the engine. Use the validated track record from Phases 1–5 as the proof point.</w:t>
            </w:r>
          </w:p>
        </w:tc>
        <w:tc>
          <w:tcPr>
            <w:tcW w:type="dxa" w:w="2400"/>
            <w:tcBorders>
              <w:top w:val="single" w:color="B0BEC5" w:sz="1"/>
              <w:left w:val="single" w:color="B0BEC5" w:sz="1"/>
              <w:bottom w:val="single" w:color="B0BEC5" w:sz="1"/>
              <w:right w:val="single" w:color="B0BEC5" w:sz="1"/>
            </w:tcBorders>
            <w:shd w:fill="ECEF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iCs/>
                <w:color w:val="004D40"/>
                <w:sz w:val="17"/>
                <w:szCs w:val="17"/>
              </w:rPr>
              <w:t xml:space="preserve">Problem 5 — hardened two-system architecture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100"/>
              <w:left w:type="dxa" w:w="160"/>
              <w:bottom w:type="dxa" w:w="100"/>
              <w:right w:type="dxa" w:w="160"/>
            </w:tcMar>
            <w:vAlign w:val="top"/>
          </w:tcPr>
          <w:p>
            <w:pPr>
              <w:spacing w:after="0" w:before="0"/>
              <w:jc w:val="left"/>
            </w:pPr>
            <w:r>
              <w:rPr>
                <w:rFonts w:ascii="Arial" w:cs="Arial" w:eastAsia="Arial" w:hAnsi="Arial"/>
                <w:b w:val="false"/>
                <w:bCs w:val="false"/>
                <w:i w:val="false"/>
                <w:iCs w:val="false"/>
                <w:color w:val="004D40"/>
                <w:sz w:val="17"/>
                <w:szCs w:val="17"/>
              </w:rPr>
              <w:t xml:space="preserve">Classification:  Internal strategic analysis. Contains proprietary quality measure strategy and clinical rules engine architecture. Intended for clinical informatics, Stars quality strategy, and senior leadership. Not for external distribution.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spacing w:after="0" w:before="60"/>
      <w:jc w:val="right"/>
    </w:pP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0"/>
            <w:jc w:val="left"/>
          </w:pPr>
          <w:r>
            <w:rPr>
              <w:rFonts w:ascii="Arial" w:cs="Arial" w:eastAsia="Arial" w:hAnsi="Arial"/>
              <w:b/>
              <w:bCs/>
              <w:i w:val="false"/>
              <w:iCs w:val="false"/>
              <w:color w:val="00695C"/>
              <w:sz w:val="16"/>
              <w:szCs w:val="16"/>
            </w:rPr>
            <w:t xml:space="preserve">OMW Pre-Denominator Scoring — Risk Analysis &amp; Strategic Opportunities</w:t>
          </w:r>
        </w:p>
      </w:tc>
      <w:tc>
        <w:tcPr>
          <w:tcW w:type="dxa" w:w="336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0"/>
            <w:jc w:val="center"/>
          </w:pPr>
          <w:r>
            <w:rPr>
              <w:rFonts w:ascii="Arial" w:cs="Arial" w:eastAsia="Arial" w:hAnsi="Arial"/>
              <w:b w:val="false"/>
              <w:bCs w:val="false"/>
              <w:i w:val="false"/>
              <w:iCs w:val="false"/>
              <w:color w:val="B0BEC5"/>
              <w:sz w:val="14"/>
              <w:szCs w:val="14"/>
            </w:rPr>
            <w:t xml:space="preserve">INTERNAL — NOT FOR DISTRIBUTION</w:t>
          </w:r>
        </w:p>
      </w:tc>
    </w:tr>
  </w:tbl>
  <w:p>
    <w:pPr>
      <w:pBdr>
        <w:bottom w:val="single" w:color="00695C" w:sz="4" w:space="4"/>
      </w:pBdr>
      <w:spacing w:after="6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6323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2026-04-07T00:12:51.408Z</dcterms:created>
  <dcterms:modified xsi:type="dcterms:W3CDTF">2026-04-07T00:12:51.408Z</dcterms:modified>
</cp:coreProperties>
</file>

<file path=docProps/custom.xml><?xml version="1.0" encoding="utf-8"?>
<Properties xmlns="http://schemas.openxmlformats.org/officeDocument/2006/custom-properties" xmlns:vt="http://schemas.openxmlformats.org/officeDocument/2006/docPropsVTypes"/>
</file>