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40" w:before="0"/>
              <w:jc w:val="center"/>
            </w:pPr>
            <w:r>
              <w:rPr>
                <w:rFonts w:ascii="Arial" w:cs="Arial" w:eastAsia="Arial" w:hAnsi="Arial"/>
                <w:b/>
                <w:bCs/>
                <w:i w:val="false"/>
                <w:iCs w:val="false"/>
                <w:color w:val="00695C"/>
                <w:sz w:val="16"/>
                <w:szCs w:val="16"/>
              </w:rPr>
              <w:t xml:space="preserve">CUSTOM TOKEN SPECIFICATION</w:t>
            </w:r>
          </w:p>
          <w:p>
            <w:pPr>
              <w:spacing w:after="40" w:before="0"/>
              <w:jc w:val="center"/>
            </w:pPr>
            <w:r>
              <w:rPr>
                <w:rFonts w:ascii="Arial" w:cs="Arial" w:eastAsia="Arial" w:hAnsi="Arial"/>
                <w:b/>
                <w:bCs/>
                <w:i w:val="false"/>
                <w:iCs w:val="false"/>
                <w:color w:val="FFFFFF"/>
                <w:sz w:val="36"/>
                <w:szCs w:val="36"/>
              </w:rPr>
              <w:t xml:space="preserve">Pre-Denominator Risk Scoring</w:t>
            </w:r>
          </w:p>
          <w:p>
            <w:pPr>
              <w:spacing w:after="40" w:before="0"/>
              <w:jc w:val="center"/>
            </w:pPr>
            <w:r>
              <w:rPr>
                <w:rFonts w:ascii="Arial" w:cs="Arial" w:eastAsia="Arial" w:hAnsi="Arial"/>
                <w:b/>
                <w:bCs/>
                <w:i w:val="false"/>
                <w:iCs w:val="false"/>
                <w:color w:val="B2DFDB"/>
                <w:sz w:val="24"/>
                <w:szCs w:val="24"/>
              </w:rPr>
              <w:t xml:space="preserve">PRE_OMW_RISK_SCORE</w:t>
            </w:r>
          </w:p>
          <w:p>
            <w:pPr>
              <w:spacing w:after="0" w:before="0"/>
              <w:jc w:val="center"/>
            </w:pPr>
            <w:r>
              <w:rPr>
                <w:rFonts w:ascii="Arial" w:cs="Arial" w:eastAsia="Arial" w:hAnsi="Arial"/>
                <w:b w:val="false"/>
                <w:bCs w:val="false"/>
                <w:i w:val="false"/>
                <w:iCs w:val="false"/>
                <w:color w:val="B2DFDB"/>
                <w:sz w:val="18"/>
                <w:szCs w:val="18"/>
              </w:rPr>
              <w:t xml:space="preserve">HEDIS Measure: OMW — Osteoporosis Management in Women  |  ADT Enrichment Architecture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Document Type</w:t>
            </w:r>
          </w:p>
        </w:tc>
        <w:tc>
          <w:tcPr>
            <w:tcW w:type="dxa" w:w="234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Measure Scope</w:t>
            </w:r>
          </w:p>
        </w:tc>
        <w:tc>
          <w:tcPr>
            <w:tcW w:type="dxa" w:w="234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Version</w:t>
            </w:r>
          </w:p>
        </w:tc>
        <w:tc>
          <w:tcPr>
            <w:tcW w:type="dxa" w:w="234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Date</w:t>
            </w:r>
          </w:p>
        </w:tc>
      </w:tr>
      <w:tr>
        <w:tc>
          <w:tcPr>
            <w:tcW w:type="dxa" w:w="234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Token Specification</w:t>
            </w:r>
          </w:p>
        </w:tc>
        <w:tc>
          <w:tcPr>
            <w:tcW w:type="dxa" w:w="234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OMW — Osteoporosis Management in Women (HEDIS MY 2026)</w:t>
            </w:r>
          </w:p>
        </w:tc>
        <w:tc>
          <w:tcPr>
            <w:tcW w:type="dxa" w:w="234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1.1 — DRAFT</w:t>
            </w:r>
          </w:p>
        </w:tc>
        <w:tc>
          <w:tcPr>
            <w:tcW w:type="dxa" w:w="234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April 2026</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60" w:before="0"/>
              <w:jc w:val="left"/>
            </w:pPr>
            <w:r>
              <w:rPr>
                <w:rFonts w:ascii="Arial" w:cs="Arial" w:eastAsia="Arial" w:hAnsi="Arial"/>
                <w:b/>
                <w:bCs/>
                <w:i w:val="false"/>
                <w:iCs w:val="false"/>
                <w:color w:val="880E4F"/>
                <w:sz w:val="20"/>
                <w:szCs w:val="20"/>
              </w:rPr>
              <w:t xml:space="preserve">REVISION NOTICE — v1.1</w:t>
            </w:r>
          </w:p>
          <w:p>
            <w:pPr>
              <w:spacing w:after="80" w:before="0"/>
              <w:jc w:val="left"/>
            </w:pPr>
            <w:r>
              <w:rPr>
                <w:rFonts w:ascii="Arial" w:cs="Arial" w:eastAsia="Arial" w:hAnsi="Arial"/>
                <w:b w:val="false"/>
                <w:bCs w:val="false"/>
                <w:i w:val="false"/>
                <w:iCs w:val="false"/>
                <w:sz w:val="18"/>
                <w:szCs w:val="18"/>
              </w:rPr>
              <w:t xml:space="preserve">This version corrects and extends the v1.0 draft based on architectural clarification of the two-system workflow (engine alert pool + Stars team ADT trigger). Sections revised are marked ★. Key changes: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1: Purpose &amp; Background — rewritten to accurately describe the two-system architecture and the sequencing-mismatch root cause</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1a: Two-System Architecture — new section added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2: Scope — Activation Event field corrected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3: Exclusion Pre-Filter — drug and BMD exclusions split into separate rows with explicit 730-day lookback; data-speed notes added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4: N-CMP BMD signal — source table expanded to include lab/LOINC feeds; two-tier BMD history distinction added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9.6: Population sanity check — baseline corrected from ADT pool to engine alert pool</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Section 10: Open decisions — claims-lag risk item added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1.  </w:t>
            </w:r>
            <w:r>
              <w:rPr>
                <w:rFonts w:ascii="Arial" w:cs="Arial" w:eastAsia="Arial" w:hAnsi="Arial"/>
                <w:b/>
                <w:bCs/>
                <w:i w:val="false"/>
                <w:iCs w:val="false"/>
                <w:color w:val="FFFFFF"/>
                <w:sz w:val="24"/>
                <w:szCs w:val="24"/>
              </w:rPr>
              <w:t xml:space="preserve">PURPOSE &amp; BACKGROUND</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Revised — paragraph 2 corrected to reflect two-system architecture. See also new Section 1a.</w:t>
      </w:r>
    </w:p>
    <w:p>
      <w:pPr>
        <w:spacing w:after="60" w:before="0"/>
      </w:pPr>
    </w:p>
    <w:p>
      <w:pPr>
        <w:spacing w:after="100" w:before="0"/>
        <w:jc w:val="left"/>
      </w:pPr>
      <w:r>
        <w:rPr>
          <w:rFonts w:ascii="Arial" w:cs="Arial" w:eastAsia="Arial" w:hAnsi="Arial"/>
          <w:b w:val="false"/>
          <w:bCs w:val="false"/>
          <w:i w:val="false"/>
          <w:iCs w:val="false"/>
          <w:sz w:val="18"/>
          <w:szCs w:val="18"/>
        </w:rPr>
        <w:t xml:space="preserve">The OMW (Osteoporosis Management in Women) HEDIS measure is structurally unusual among quality measures: its denominator is triggered by a qualifying fracture event, not by an ongoing condition or chronic diagnosis. A member does not enter the denominator until a fracture claim is received, and by then the 180-day compliance measurement window is already open.</w:t>
      </w:r>
    </w:p>
    <w:p>
      <w:pPr>
        <w:spacing w:after="100" w:before="0"/>
        <w:jc w:val="left"/>
      </w:pPr>
      <w:r>
        <w:rPr>
          <w:rFonts w:ascii="Arial" w:cs="Arial" w:eastAsia="Arial" w:hAnsi="Arial"/>
          <w:b w:val="false"/>
          <w:bCs w:val="false"/>
          <w:i w:val="false"/>
          <w:iCs w:val="false"/>
          <w:sz w:val="18"/>
          <w:szCs w:val="18"/>
        </w:rPr>
        <w:t xml:space="preserve">The clinical rules engine continuously evaluates the enrolled population and fires a standing OMW-C alert for any female member age 67–85 who meets the pre-denominator criteria: no qualifying fracture in the prior 90 days, no BMD within the prior 730 days, no active OMW drug in the prior 12 months, no hospice, no advanced illness or frailty. This alert pool is large — substantially larger than the eventual HEDIS denominator of approximately 30K — but it is relatively stable day-to-day because it reflects the slowly-changing pool of members who are structurally eligible if a fracture were to occur.</w:t>
      </w:r>
    </w:p>
    <w:p>
      <w:pPr>
        <w:spacing w:after="100" w:before="0"/>
        <w:jc w:val="left"/>
      </w:pPr>
      <w:r>
        <w:rPr>
          <w:rFonts w:ascii="Arial" w:cs="Arial" w:eastAsia="Arial" w:hAnsi="Arial"/>
          <w:b w:val="false"/>
          <w:bCs w:val="false"/>
          <w:i w:val="false"/>
          <w:iCs w:val="false"/>
          <w:sz w:val="18"/>
          <w:szCs w:val="18"/>
        </w:rPr>
        <w:t xml:space="preserve">The Stars intervention team holds this alert pool as their candidate universe. They do not act on it directly. Instead, they monitor their own ADT feed for a fracture event, then cross-reference the ADT fracture against the engine's alert pool. When both conditions are met — member is in the alert pool AND a fracture ADT has arrived — they launch their outreach intervention. The engine has offered to incorporate the ADT fracture signal directly into the alert, which would collapse the pool significantly, but the Stars team prefers to control their own ADT-based activation.</w:t>
      </w:r>
    </w:p>
    <w:p>
      <w:pPr>
        <w:spacing w:after="100" w:before="0"/>
        <w:jc w:val="left"/>
      </w:pPr>
      <w:r>
        <w:rPr>
          <w:rFonts w:ascii="Arial" w:cs="Arial" w:eastAsia="Arial" w:hAnsi="Arial"/>
          <w:b w:val="false"/>
          <w:bCs w:val="false"/>
          <w:i w:val="false"/>
          <w:iCs w:val="false"/>
          <w:sz w:val="18"/>
          <w:szCs w:val="18"/>
        </w:rPr>
        <w:t xml:space="preserve">This creates a sequencing mismatch that is the central operational problem this token is designed to address: the Stars team acts immediately when their ADT fires, but the full claims picture — particularly BMD professional claims — arrives days to weeks later. A BMD claim can carry a service date prior to the fracture but a receipt date after the intervention. When this happens, the member is retroactively disqualified from the true OMW denominator. The intervention has already been completed, the cost already spent, and no gap closure can be counted.</w:t>
      </w:r>
    </w:p>
    <w:p>
      <w:pPr>
        <w:spacing w:after="80" w:before="0"/>
        <w:jc w:val="left"/>
      </w:pPr>
      <w:r>
        <w:rPr>
          <w:rFonts w:ascii="Arial" w:cs="Arial" w:eastAsia="Arial" w:hAnsi="Arial"/>
          <w:b w:val="false"/>
          <w:bCs w:val="false"/>
          <w:i w:val="false"/>
          <w:iCs w:val="false"/>
          <w:sz w:val="18"/>
          <w:szCs w:val="18"/>
        </w:rPr>
        <w:t xml:space="preserve">This token solves that problem by pre-computing a risk score for every member in the alert pool before any ADT fires. The score runs on two independently weighted axes: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Fracture Risk Axis (FRAC) — probability that this member will have an osteoporotic fracture in the near term</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Non-Compliance Risk Axis (N-CMP) — probability that this member, if she does fracture, will not have a qualifying osteoporosis treatment or BMD test on record within the measure window</w:t>
      </w:r>
    </w:p>
    <w:p>
      <w:pPr>
        <w:spacing w:after="80" w:before="0"/>
      </w:pPr>
    </w:p>
    <w:p>
      <w:pPr>
        <w:spacing w:after="120" w:before="0"/>
        <w:jc w:val="left"/>
      </w:pPr>
      <w:r>
        <w:rPr>
          <w:rFonts w:ascii="Arial" w:cs="Arial" w:eastAsia="Arial" w:hAnsi="Arial"/>
          <w:b w:val="false"/>
          <w:bCs w:val="false"/>
          <w:i w:val="false"/>
          <w:iCs w:val="false"/>
          <w:sz w:val="18"/>
          <w:szCs w:val="18"/>
        </w:rPr>
        <w:t xml:space="preserve">When the Stars team's ADT fires for a member, the enrichment layer looks up her pre-computed PRE_OMW_RISK_SCORE and appends it to the alert — immediately, without re-derivation. Members flagged DUAL_HIGH (high on both axes independently) represent the intersection of greatest fracture likelihood and greatest non-compliance likelihood. These are the members most worth acting on confidently when the ADT fires. Members with signals suggesting likely self-resolution — particularly those with a BMD in history that is older than 730 days but indicative of prior provider engagement — can be deprioritized, reducing the risk of wasted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Design principle:  This token does not trigger outreach. It enriches the alert that Stars already holds. The ADT remains the Stars team's activation gate. The token determines how confidently and urgently to respond when that gate opens — without waiting for additional data at trigger time.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1a.  </w:t>
            </w:r>
            <w:r>
              <w:rPr>
                <w:rFonts w:ascii="Arial" w:cs="Arial" w:eastAsia="Arial" w:hAnsi="Arial"/>
                <w:b/>
                <w:bCs/>
                <w:i w:val="false"/>
                <w:iCs w:val="false"/>
                <w:color w:val="FFFFFF"/>
                <w:sz w:val="24"/>
                <w:szCs w:val="24"/>
              </w:rPr>
              <w:t xml:space="preserve">TWO-SYSTEM ARCHITECTURE</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New section — added to document the handoff between the rules engine and the Stars intervention team.</w:t>
      </w:r>
    </w:p>
    <w:p>
      <w:pPr>
        <w:spacing w:after="80" w:before="0"/>
      </w:pPr>
    </w:p>
    <w:p>
      <w:pPr>
        <w:spacing w:after="120" w:before="0"/>
        <w:jc w:val="left"/>
      </w:pPr>
      <w:r>
        <w:rPr>
          <w:rFonts w:ascii="Arial" w:cs="Arial" w:eastAsia="Arial" w:hAnsi="Arial"/>
          <w:b w:val="false"/>
          <w:bCs w:val="false"/>
          <w:i w:val="false"/>
          <w:iCs w:val="false"/>
          <w:sz w:val="18"/>
          <w:szCs w:val="18"/>
        </w:rPr>
        <w:t xml:space="preserve">The following table describes the responsibility boundary between the clinical rules engine and the Stars intervention team. Understanding this boundary is essential context for implementing and consuming the PRE_OMW_RISK_SCORE token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Rules Engine</w:t>
            </w:r>
          </w:p>
        </w:tc>
        <w:tc>
          <w:tcPr>
            <w:tcW w:type="dxa" w:w="312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Stars Intervention Team</w:t>
            </w:r>
          </w:p>
        </w:tc>
        <w:tc>
          <w:tcPr>
            <w:tcW w:type="dxa" w:w="312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The Gap (Root Cause)</w:t>
            </w:r>
          </w:p>
        </w:tc>
      </w:tr>
      <w:tr>
        <w:tc>
          <w:tcPr>
            <w:tcW w:type="dxa" w:w="312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60" w:before="0"/>
              <w:jc w:val="left"/>
            </w:pPr>
            <w:r>
              <w:rPr>
                <w:rFonts w:ascii="Arial" w:cs="Arial" w:eastAsia="Arial" w:hAnsi="Arial"/>
                <w:b w:val="false"/>
                <w:bCs w:val="false"/>
                <w:i w:val="false"/>
                <w:iCs w:val="false"/>
                <w:sz w:val="18"/>
                <w:szCs w:val="18"/>
              </w:rPr>
              <w:t xml:space="preserve">Evaluates all enrolled female members 67–85 monthly</w:t>
            </w:r>
          </w:p>
          <w:p>
            <w:pPr>
              <w:spacing w:after="60" w:before="0"/>
              <w:jc w:val="left"/>
            </w:pPr>
            <w:r>
              <w:rPr>
                <w:rFonts w:ascii="Arial" w:cs="Arial" w:eastAsia="Arial" w:hAnsi="Arial"/>
                <w:b w:val="false"/>
                <w:bCs w:val="false"/>
                <w:i w:val="false"/>
                <w:iCs w:val="false"/>
                <w:sz w:val="18"/>
                <w:szCs w:val="18"/>
              </w:rPr>
              <w:t xml:space="preserve">Applies pre-denominator exclusions (see Section 3)</w:t>
            </w:r>
          </w:p>
          <w:p>
            <w:pPr>
              <w:spacing w:after="60" w:before="0"/>
              <w:jc w:val="left"/>
            </w:pPr>
            <w:r>
              <w:rPr>
                <w:rFonts w:ascii="Arial" w:cs="Arial" w:eastAsia="Arial" w:hAnsi="Arial"/>
                <w:b w:val="false"/>
                <w:bCs w:val="false"/>
                <w:i w:val="false"/>
                <w:iCs w:val="false"/>
                <w:sz w:val="18"/>
                <w:szCs w:val="18"/>
              </w:rPr>
              <w:t xml:space="preserve">Fires standing OMW-C alert for all who qualify</w:t>
            </w:r>
          </w:p>
          <w:p>
            <w:pPr>
              <w:spacing w:after="60" w:before="0"/>
              <w:jc w:val="left"/>
            </w:pPr>
            <w:r>
              <w:rPr>
                <w:rFonts w:ascii="Arial" w:cs="Arial" w:eastAsia="Arial" w:hAnsi="Arial"/>
                <w:b w:val="false"/>
                <w:bCs w:val="false"/>
                <w:i w:val="false"/>
                <w:iCs w:val="false"/>
                <w:sz w:val="18"/>
                <w:szCs w:val="18"/>
              </w:rPr>
              <w:t xml:space="preserve">Alert pool is large but stable day-to-day</w:t>
            </w:r>
          </w:p>
          <w:p>
            <w:pPr>
              <w:spacing w:after="0" w:before="0"/>
              <w:jc w:val="left"/>
            </w:pPr>
            <w:r>
              <w:rPr>
                <w:rFonts w:ascii="Arial" w:cs="Arial" w:eastAsia="Arial" w:hAnsi="Arial"/>
                <w:b w:val="false"/>
                <w:bCs w:val="false"/>
                <w:i w:val="false"/>
                <w:iCs w:val="false"/>
                <w:sz w:val="18"/>
                <w:szCs w:val="18"/>
              </w:rPr>
              <w:t xml:space="preserve">Pre-computes PRE_OMW_RISK_SCORE for every member in the pool (this token)</w:t>
            </w:r>
          </w:p>
        </w:tc>
        <w:tc>
          <w:tcPr>
            <w:tcW w:type="dxa" w:w="312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60" w:before="0"/>
              <w:jc w:val="left"/>
            </w:pPr>
            <w:r>
              <w:rPr>
                <w:rFonts w:ascii="Arial" w:cs="Arial" w:eastAsia="Arial" w:hAnsi="Arial"/>
                <w:b w:val="false"/>
                <w:bCs w:val="false"/>
                <w:i w:val="false"/>
                <w:iCs w:val="false"/>
                <w:sz w:val="18"/>
                <w:szCs w:val="18"/>
              </w:rPr>
              <w:t xml:space="preserve">Holds the engine's OMW-C alert pool as the candidate universe</w:t>
            </w:r>
          </w:p>
          <w:p>
            <w:pPr>
              <w:spacing w:after="60" w:before="0"/>
              <w:jc w:val="left"/>
            </w:pPr>
            <w:r>
              <w:rPr>
                <w:rFonts w:ascii="Arial" w:cs="Arial" w:eastAsia="Arial" w:hAnsi="Arial"/>
                <w:b w:val="false"/>
                <w:bCs w:val="false"/>
                <w:i w:val="false"/>
                <w:iCs w:val="false"/>
                <w:sz w:val="18"/>
                <w:szCs w:val="18"/>
              </w:rPr>
              <w:t xml:space="preserve">Monitors their own ADT feed independently for a fracture event</w:t>
            </w:r>
          </w:p>
          <w:p>
            <w:pPr>
              <w:spacing w:after="60" w:before="0"/>
              <w:jc w:val="left"/>
            </w:pPr>
            <w:r>
              <w:rPr>
                <w:rFonts w:ascii="Arial" w:cs="Arial" w:eastAsia="Arial" w:hAnsi="Arial"/>
                <w:b w:val="false"/>
                <w:bCs w:val="false"/>
                <w:i w:val="false"/>
                <w:iCs w:val="false"/>
                <w:sz w:val="18"/>
                <w:szCs w:val="18"/>
              </w:rPr>
              <w:t xml:space="preserve">Cross-references ADT fracture against alert pool</w:t>
            </w:r>
          </w:p>
          <w:p>
            <w:pPr>
              <w:spacing w:after="60" w:before="0"/>
              <w:jc w:val="left"/>
            </w:pPr>
            <w:r>
              <w:rPr>
                <w:rFonts w:ascii="Arial" w:cs="Arial" w:eastAsia="Arial" w:hAnsi="Arial"/>
                <w:b w:val="false"/>
                <w:bCs w:val="false"/>
                <w:i w:val="false"/>
                <w:iCs w:val="false"/>
                <w:sz w:val="18"/>
                <w:szCs w:val="18"/>
              </w:rPr>
              <w:t xml:space="preserve">Launches intervention when both conditions are met</w:t>
            </w:r>
          </w:p>
          <w:p>
            <w:pPr>
              <w:spacing w:after="0" w:before="0"/>
              <w:jc w:val="left"/>
            </w:pPr>
            <w:r>
              <w:rPr>
                <w:rFonts w:ascii="Arial" w:cs="Arial" w:eastAsia="Arial" w:hAnsi="Arial"/>
                <w:b w:val="false"/>
                <w:bCs w:val="false"/>
                <w:i w:val="false"/>
                <w:iCs w:val="false"/>
                <w:sz w:val="18"/>
                <w:szCs w:val="18"/>
              </w:rPr>
              <w:t xml:space="preserve">Prefers to own their ADT-based activation — does not use engine's ADT integration offer</w:t>
            </w:r>
          </w:p>
        </w:tc>
        <w:tc>
          <w:tcPr>
            <w:tcW w:type="dxa" w:w="312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60" w:before="0"/>
              <w:jc w:val="left"/>
            </w:pPr>
            <w:r>
              <w:rPr>
                <w:rFonts w:ascii="Arial" w:cs="Arial" w:eastAsia="Arial" w:hAnsi="Arial"/>
                <w:b w:val="false"/>
                <w:bCs w:val="false"/>
                <w:i w:val="false"/>
                <w:iCs w:val="false"/>
                <w:sz w:val="18"/>
                <w:szCs w:val="18"/>
              </w:rPr>
              <w:t xml:space="preserve">BMD professional claim arrives with service date prior to the fracture but receipt date after the intervention</w:t>
            </w:r>
          </w:p>
          <w:p>
            <w:pPr>
              <w:spacing w:after="60" w:before="0"/>
              <w:jc w:val="left"/>
            </w:pPr>
            <w:r>
              <w:rPr>
                <w:rFonts w:ascii="Arial" w:cs="Arial" w:eastAsia="Arial" w:hAnsi="Arial"/>
                <w:b w:val="false"/>
                <w:bCs w:val="false"/>
                <w:i w:val="false"/>
                <w:iCs w:val="false"/>
                <w:sz w:val="18"/>
                <w:szCs w:val="18"/>
              </w:rPr>
              <w:t xml:space="preserve">Member is retroactively disqualified — was never a true gap</w:t>
            </w:r>
          </w:p>
          <w:p>
            <w:pPr>
              <w:spacing w:after="60" w:before="0"/>
              <w:jc w:val="left"/>
            </w:pPr>
            <w:r>
              <w:rPr>
                <w:rFonts w:ascii="Arial" w:cs="Arial" w:eastAsia="Arial" w:hAnsi="Arial"/>
                <w:b w:val="false"/>
                <w:bCs w:val="false"/>
                <w:i w:val="false"/>
                <w:iCs w:val="false"/>
                <w:sz w:val="18"/>
                <w:szCs w:val="18"/>
              </w:rPr>
              <w:t xml:space="preserve">Intervention cost already spent; no gap closure can be counted</w:t>
            </w:r>
          </w:p>
          <w:p>
            <w:pPr>
              <w:spacing w:after="0" w:before="0"/>
              <w:jc w:val="left"/>
            </w:pPr>
            <w:r>
              <w:rPr>
                <w:rFonts w:ascii="Arial" w:cs="Arial" w:eastAsia="Arial" w:hAnsi="Arial"/>
                <w:b/>
                <w:bCs/>
                <w:i w:val="false"/>
                <w:iCs w:val="false"/>
                <w:sz w:val="18"/>
                <w:szCs w:val="18"/>
              </w:rPr>
              <w:t xml:space="preserve">Root cause: non-claims ADT trigger outpaces claims-based BMD exclusion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2.  </w:t>
            </w:r>
            <w:r>
              <w:rPr>
                <w:rFonts w:ascii="Arial" w:cs="Arial" w:eastAsia="Arial" w:hAnsi="Arial"/>
                <w:b/>
                <w:bCs/>
                <w:i w:val="false"/>
                <w:iCs w:val="false"/>
                <w:color w:val="FFFFFF"/>
                <w:sz w:val="24"/>
                <w:szCs w:val="24"/>
              </w:rPr>
              <w:t xml:space="preserve">SCOPE &amp; APPLICABILITY</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Activation Event field corrected — the ADT is received and processed by the Stars team, not by the engine. The token is looked up by the enrichment layer when Stars' ADT fires.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Token ID</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PRE_OMW_RISK_SCORE</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Measure</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OMW — Osteoporosis Management in Women (HEDIS MY 2026)</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Denominator Basis</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Women 67–85 who suffered a fracture (hip, vertebral, humeral, wrist, forearm) — excluding those with advanced illness, frailty, hospice, or disqualifying prior treatment history</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Measurement Year</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HEDIS MY 2026 (January 1 – December 31, 2026)</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Token Type</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Dual-axis weighted accumulation score with DUAL_HIGH composite flag</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Execution Context</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Clinical rules engine — Oracle relational schema (non-FHIR). Future state: FHIR-native engine architecture under evaluation.</w:t>
            </w:r>
          </w:p>
        </w:tc>
      </w:tr>
      <w:tr>
        <w:tc>
          <w:tcPr>
            <w:tcW w:type="dxa" w:w="22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8"/>
                <w:szCs w:val="18"/>
              </w:rPr>
              <w:t xml:space="preserve">★ </w:t>
            </w:r>
            <w:r>
              <w:rPr>
                <w:rFonts w:ascii="Arial" w:cs="Arial" w:eastAsia="Arial" w:hAnsi="Arial"/>
                <w:b/>
                <w:bCs/>
                <w:i w:val="false"/>
                <w:iCs w:val="false"/>
                <w:sz w:val="18"/>
                <w:szCs w:val="18"/>
              </w:rPr>
              <w:t xml:space="preserve">Activation Event</w:t>
            </w:r>
          </w:p>
        </w:tc>
        <w:tc>
          <w:tcPr>
            <w:tcW w:type="dxa" w:w="716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ADT event with qualifying fracture diagnosis received and processed by the Stars intervention team. The Stars team cross-references the ADT against the engine's OMW-C alert pool. When a match is found, the enrichment layer queries PRE_OMW_SCORE_TBL and appends the pre-computed score to the alert payload. The engine does not receive or process the ADT directly.</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Run Frequency</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Monthly refresh recommended. Score is pre-computed and stored — not re-derived at ADT trigger time.</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Primary Consumer</w:t>
            </w:r>
          </w:p>
        </w:tc>
        <w:tc>
          <w:tcPr>
            <w:tcW w:type="dxa" w:w="71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Stars intervention / outreach team — used to triage and prioritize ADT-triggered fracture events at the moment the Stars team's ADT cross-reference fires.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Population note:  This token applies only to female members age 67 or older with continuous enrollment. Male members and members under 67 are excluded from token scoring entirely — they cannot enter the OMW denominator.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3.  </w:t>
            </w:r>
            <w:r>
              <w:rPr>
                <w:rFonts w:ascii="Arial" w:cs="Arial" w:eastAsia="Arial" w:hAnsi="Arial"/>
                <w:b/>
                <w:bCs/>
                <w:i w:val="false"/>
                <w:iCs w:val="false"/>
                <w:color w:val="FFFFFF"/>
                <w:sz w:val="24"/>
                <w:szCs w:val="24"/>
              </w:rPr>
              <w:t xml:space="preserve">EXCLUSION PRE-FILTER (APPLIED BEFORE SCORING)</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Revised — drug exclusion and BMD exclusion separated into distinct rows. BMD 730-day lookback added as explicit standalone criterion. Data-speed notes added to both rows to document the asymmetry that drives the sequencing-mismatch problem.</w:t>
      </w:r>
    </w:p>
    <w:p>
      <w:pPr>
        <w:spacing w:after="80" w:before="0"/>
      </w:pPr>
    </w:p>
    <w:p>
      <w:pPr>
        <w:spacing w:after="120" w:before="0"/>
        <w:jc w:val="left"/>
      </w:pPr>
      <w:r>
        <w:rPr>
          <w:rFonts w:ascii="Arial" w:cs="Arial" w:eastAsia="Arial" w:hAnsi="Arial"/>
          <w:b w:val="false"/>
          <w:bCs w:val="false"/>
          <w:i w:val="false"/>
          <w:iCs w:val="false"/>
          <w:sz w:val="18"/>
          <w:szCs w:val="18"/>
        </w:rPr>
        <w:t xml:space="preserve">Before any signal scoring occurs, the following OMW-aligned exclusion criteria are applied. Members meeting any of these conditions are excluded from the token output entirely and will not appear in the ADT enrichment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Exclusion Criterion</w:t>
            </w:r>
          </w:p>
        </w:tc>
        <w:tc>
          <w:tcPr>
            <w:tcW w:type="dxa" w:w="20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ICD-10 / Signal Basis</w:t>
            </w:r>
          </w:p>
        </w:tc>
        <w:tc>
          <w:tcPr>
            <w:tcW w:type="dxa" w:w="18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Source Table</w:t>
            </w:r>
          </w:p>
        </w:tc>
        <w:tc>
          <w:tcPr>
            <w:tcW w:type="dxa" w:w="29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Notes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Active hospice or palliative care enrollment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Z51.5, hospice enrollment flag</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CARE_MGMT_FLAGS</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Lifetime exclusion — remove permanently from token pool</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Advanced illness — dementia, end-stage organ disease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F01–F03.x, N18.6, I50.x (stage IV), C-codes (active malignancy)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24-month lookback; re-evaluate at each monthly run</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Frailty indicator — claims-based frailty criteria</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R54, M62.84, Z74.x, Z87.39 + functional status codes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Apply org-specific frailty algorithm if available; use ICD proxy if not</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Long-term nursing facility resident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POS code 31 (SNF), 32 (NF) on majority of claims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 / FACILITY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Members with &gt;90 days NF residence in prior 12 months</w:t>
            </w:r>
          </w:p>
        </w:tc>
      </w:tr>
      <w:tr>
        <w:tc>
          <w:tcPr>
            <w:tcW w:type="dxa" w:w="26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6"/>
                <w:szCs w:val="16"/>
              </w:rPr>
              <w:t xml:space="preserve">★ NEW  </w:t>
            </w:r>
            <w:r>
              <w:rPr>
                <w:rFonts w:ascii="Arial" w:cs="Arial" w:eastAsia="Arial" w:hAnsi="Arial"/>
                <w:b/>
                <w:bCs/>
                <w:i w:val="false"/>
                <w:iCs w:val="false"/>
                <w:sz w:val="18"/>
                <w:szCs w:val="18"/>
              </w:rPr>
              <w:t xml:space="preserve">★ Active OMW drug dispensed — prior 12 months</w:t>
            </w:r>
          </w:p>
        </w:tc>
        <w:tc>
          <w:tcPr>
            <w:tcW w:type="dxa" w:w="20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Bisphosphonate or qualifying osteoporosis drug NDC on any pharmacy claim in prior 12 months (alendronate, risedronate, ibandronate, zoledronic acid, denosumab, teriparatide, raloxifene, romosozumab)</w:t>
            </w:r>
          </w:p>
        </w:tc>
        <w:tc>
          <w:tcPr>
            <w:tcW w:type="dxa" w:w="18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w:t>
            </w:r>
          </w:p>
        </w:tc>
        <w:tc>
          <w:tcPr>
            <w:tcW w:type="dxa" w:w="296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DATA SPEED: Pharmacy claims arrive within 24–48 hours of dispensing — this exclusion is reliable and near-real-time. Evaluated at each monthly run and at ADT enrichment time if real-time pharmacy feed is available.</w:t>
            </w:r>
          </w:p>
        </w:tc>
      </w:tr>
      <w:tr>
        <w:tc>
          <w:tcPr>
            <w:tcW w:type="dxa" w:w="26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6"/>
                <w:szCs w:val="16"/>
              </w:rPr>
              <w:t xml:space="preserve">★ NEW  </w:t>
            </w:r>
            <w:r>
              <w:rPr>
                <w:rFonts w:ascii="Arial" w:cs="Arial" w:eastAsia="Arial" w:hAnsi="Arial"/>
                <w:b/>
                <w:bCs/>
                <w:i w:val="false"/>
                <w:iCs w:val="false"/>
                <w:sz w:val="18"/>
                <w:szCs w:val="18"/>
              </w:rPr>
              <w:t xml:space="preserve">★ BMD test on record within prior 730 days (from run date)</w:t>
            </w:r>
          </w:p>
        </w:tc>
        <w:tc>
          <w:tcPr>
            <w:tcW w:type="dxa" w:w="20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CPT 77080, 77081, 77085, 77086; HCPCS G0130 — any result in claims, lab feed (LOINC 38263-0, 38264-8), or EMR supplemental data with service date within 730 days of the monthly run date</w:t>
            </w:r>
          </w:p>
        </w:tc>
        <w:tc>
          <w:tcPr>
            <w:tcW w:type="dxa" w:w="18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CLAIMS_PROC / LAB_RESULTS / EMR_SUPPL</w:t>
            </w:r>
          </w:p>
        </w:tc>
        <w:tc>
          <w:tcPr>
            <w:tcW w:type="dxa" w:w="296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DATA SPEED: BMD professional claims arrive with 14–45 day lag. Lab/EMR feeds arrive in 3–21 days. This exclusion is vulnerable to retroactive application — a BMD with a service date before the fracture may arrive after the Stars team has already intervened. This is the primary source of post-intervention disqualification. See Section 10 open decisions.</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 not continuously enrolled</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Coverage gap &gt; 1 month in prior 12 months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MEMBERSHIP</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Standard HEDIS continuous enrollment requirement</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Age &lt; 67 or male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DOB, SEX_CD</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MEMBERSHIP</w:t>
            </w:r>
          </w:p>
        </w:tc>
        <w:tc>
          <w:tcPr>
            <w:tcW w:type="dxa" w:w="29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Hard demographic exclusion — token is female 67–85 only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Important:  These exclusions are approximations of the full OMW exclusion specification using administrative data. Some members excluded here may technically qualify for the denominator once full claims arrive. The intent is conservative pre-filtering — it is preferable to exclude a borderline member from the outreach pool than to route a hospice or already-managed member for fracture follow-up. The BMD 730-day exclusion in particular should be understood as a best-available-data exclusion at run time, subject to the claims-lag caveat described above.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4.  </w:t>
            </w:r>
            <w:r>
              <w:rPr>
                <w:rFonts w:ascii="Arial" w:cs="Arial" w:eastAsia="Arial" w:hAnsi="Arial"/>
                <w:b/>
                <w:bCs/>
                <w:i w:val="false"/>
                <w:iCs w:val="false"/>
                <w:color w:val="FFFFFF"/>
                <w:sz w:val="24"/>
                <w:szCs w:val="24"/>
              </w:rPr>
              <w:t xml:space="preserve">SIGNAL DEFINITIONS &amp; SCORING</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Revised — N-CMP BMD signal updated: source table expanded to include lab/LOINC and EMR feeds; two-tier BMD history distinction added (no BMD ever vs. BMD older than 730 days).</w:t>
      </w:r>
    </w:p>
    <w:p>
      <w:pPr>
        <w:spacing w:after="80" w:before="0"/>
      </w:pPr>
    </w:p>
    <w:p>
      <w:pPr>
        <w:spacing w:after="120" w:before="0"/>
        <w:jc w:val="left"/>
      </w:pPr>
      <w:r>
        <w:rPr>
          <w:rFonts w:ascii="Arial" w:cs="Arial" w:eastAsia="Arial" w:hAnsi="Arial"/>
          <w:b w:val="false"/>
          <w:bCs w:val="false"/>
          <w:i w:val="false"/>
          <w:iCs w:val="false"/>
          <w:sz w:val="18"/>
          <w:szCs w:val="18"/>
        </w:rPr>
        <w:t xml:space="preserve">Signals are grouped into two axes. Each axis accumulates its own sub-score independently. The composite PRE_OMW_RISK_SCORE is the sum of both sub-scores. The DUAL_HIGH flag fires when both sub-scores independently exceed their respective thresholds, regardless of total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600"/>
        <w:gridCol w:w="1800"/>
        <w:gridCol w:w="2260"/>
      </w:tblGrid>
      <w:tr>
        <w:trPr>
          <w:tblHeader/>
        </w:trPr>
        <w:tc>
          <w:tcPr>
            <w:tcW w:type="dxa" w:w="9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Axis</w:t>
            </w:r>
          </w:p>
        </w:tc>
        <w:tc>
          <w:tcPr>
            <w:tcW w:type="dxa" w:w="38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Signal Description</w:t>
            </w:r>
          </w:p>
        </w:tc>
        <w:tc>
          <w:tcPr>
            <w:tcW w:type="dxa" w:w="6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Pts</w:t>
            </w:r>
          </w:p>
        </w:tc>
        <w:tc>
          <w:tcPr>
            <w:tcW w:type="dxa" w:w="18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Source Table</w:t>
            </w:r>
          </w:p>
        </w:tc>
        <w:tc>
          <w:tcPr>
            <w:tcW w:type="dxa" w:w="22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Key Fields</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Osteoporosis diagnosis on record (ICD-10: M80.x, M81.x) — confirmed osteoporosis is the strongest single fracture predictor available in claims</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4</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SVC_DT, MBR_ID</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Prior osteoporotic fracture on record (hip: M84.35x, S72.x; vertebral: M48.4x, S12.x, S22.x, S32.x; wrist/forearm: S52.x; humerus: S42.x) — prior fracture is the highest independent predictor of subsequent fracture</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4</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SVC_DT, ADMIT_TYPE_CD</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BMD T-score in osteoporotic range (T-score ≤ −2.5) documented in lab or structured report — direct bone density evidence. 36-month lookback.</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3</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LAB_RESULTS / CLAIMS_PROC</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LOINC_CD (38263-0, 38264-8), RESULT_VAL, RESULT_DT</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Active corticosteroid use (oral prednisone, dexamethasone, methylprednisolone ≥ 5mg/day equivalent) — glucocorticoid-induced osteoporosis is a well-established causal pathway. 12-month active supply.</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3</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NDC_CD, DRUG_CLASS_CD, DAYS_SUPPLY, FILL_DT</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BMD T-score in osteopenic range (−2.5 &lt; T-score ≤ −1.0) — elevated risk, not yet osteoporotic threshold. 24-month lookback.</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LAB_RESULTS / CLAIMS_PROC</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LOINC_CD (38263-0, 38264-8), RESULT_VAL, RESULT_DT</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Aromatase inhibitor use (anastrozole, letrozole, exemestane) — estrogen suppression accelerates bone loss. 12-month active supply.</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NDC_CD, GENERIC_NM, FILL_DT</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Falls risk indicators: 2+ fall-related encounters (ICD-10: W00–W19.x, Z91.81) OR balance/gait disorder dx (R26.x, M62.3) in prior 12 months</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SVC_DT, VISIT_CNT</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Age 80 or older — fracture incidence increases sharply above age 80 independent of other risk factors. Evaluated at each monthly run date.</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MEMBERSHIP</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DOB, CALC_AGE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Age 67–79 (base eligibility band — all token-eligible members carry this baseline signal)</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MEMBERSHIP</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DOB, CALC_AGE</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Vitamin D deficiency dx or supplement prescribed at therapeutic dose (ICD-10: E55.x; Vit D ≥ 1000 IU/day) — proxy for documented bone health risk acknowledgment by provider. 24-month lookback.</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 / PHARMACY_CLAIMS</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NDC_CD, DOSE_VAL</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FRAC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Low body weight indicator — BMI &lt; 20 documented (underweight is an independent fracture risk factor). 24-month lookback.</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 / LAB_RESULTS</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(R63.6, Z68.1), BMI_VAL</w:t>
            </w:r>
          </w:p>
        </w:tc>
      </w:tr>
      <w:tr>
        <w:tc>
          <w:tcPr>
            <w:tcW w:type="dxa" w:w="9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No bisphosphonate or osteoporosis drug dispensed in any prior claims history (alendronate, risedronate, ibandronate, zoledronic acid, denosumab, teriparatide, raloxifene, romosozumab) — no evidence of prior treatment engagement. Lifetime lookback.</w:t>
            </w:r>
          </w:p>
        </w:tc>
        <w:tc>
          <w:tcPr>
            <w:tcW w:type="dxa" w:w="6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4</w:t>
            </w:r>
          </w:p>
        </w:tc>
        <w:tc>
          <w:tcPr>
            <w:tcW w:type="dxa" w:w="1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w:t>
            </w:r>
          </w:p>
        </w:tc>
        <w:tc>
          <w:tcPr>
            <w:tcW w:type="dxa" w:w="226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NDC_CD, DRUG_CLASS_CD — absence = signal</w:t>
            </w:r>
          </w:p>
        </w:tc>
      </w:tr>
      <w:tr>
        <w:tc>
          <w:tcPr>
            <w:tcW w:type="dxa" w:w="9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6"/>
                <w:szCs w:val="16"/>
              </w:rPr>
              <w:t xml:space="preserve">★ REVISED  </w:t>
            </w:r>
            <w:r>
              <w:rPr>
                <w:rFonts w:ascii="Arial" w:cs="Arial" w:eastAsia="Arial" w:hAnsi="Arial"/>
                <w:b w:val="false"/>
                <w:bCs w:val="false"/>
                <w:i w:val="false"/>
                <w:iCs w:val="false"/>
                <w:sz w:val="18"/>
                <w:szCs w:val="18"/>
              </w:rPr>
              <w:t xml:space="preserve">★ REVISED: No BMD/DEXA on record — evaluated across two tiers:
Tier 1 — No BMD ever (any source): CPT 77080/77081/77085/77086, HCPCS G0130 absent from all claims history AND absent from all lab/LOINC feeds AND absent from EMR supplemental data. Full lifetime lookback across all sources. This is a true screening gap — the provider has never ordered a bone density test. Signal fires at full weight (+3 pts).
Tier 2 — BMD on record, older than 730 days: A BMD exists in history but falls outside the 730-day exclusion window (members with any BMD within 730 days are excluded from the scored pool entirely — see Section 3). This member has prior provider engagement with bone density monitoring; a care relationship exists. Signal fires at reduced weight (+1 pt — implementation note: this sub-tier requires a separate signal field or conditional logic; see Section 10).
Note: Members with a BMD within the prior 730 days do not reach this signal — they are excluded before scoring begins.</w:t>
            </w:r>
          </w:p>
        </w:tc>
        <w:tc>
          <w:tcPr>
            <w:tcW w:type="dxa" w:w="6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3 / 1</w:t>
            </w:r>
          </w:p>
        </w:tc>
        <w:tc>
          <w:tcPr>
            <w:tcW w:type="dxa" w:w="18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CLAIMS_PROC / LAB_RESULTS / EMR_SUPPL</w:t>
            </w:r>
          </w:p>
        </w:tc>
        <w:tc>
          <w:tcPr>
            <w:tcW w:type="dxa" w:w="226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CPT_CD, HCPCS_CD, LOINC_CD (38263-0, 38264-8), SVC_DT — absence or date range = signal</w:t>
            </w:r>
          </w:p>
        </w:tc>
      </w:tr>
      <w:tr>
        <w:tc>
          <w:tcPr>
            <w:tcW w:type="dxa" w:w="9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No osteoporosis diagnosis ever coded (M80.x, M81.x absent from all claims history) — provider has never documented the condition; treatment is unlikely to be initiated proactively. Lifetime lookback.</w:t>
            </w:r>
          </w:p>
        </w:tc>
        <w:tc>
          <w:tcPr>
            <w:tcW w:type="dxa" w:w="6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w:t>
            </w:r>
          </w:p>
        </w:tc>
        <w:tc>
          <w:tcPr>
            <w:tcW w:type="dxa" w:w="226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ICD_CD — absence of M80.x, M81.x across all history</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Prior OMW denominator member (fracture occurred in prior measurement year) who did not receive qualifying treatment within the measure window — confirmed prior non-compliance. [PHASE 2]</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4</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HEDIS_DENOM_HIST / BUS_NONCMPL_HIST</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MBR_ID, MEASURE_CD, MEAS_YR, NUMERATOR_MET_FLG = N</w:t>
            </w:r>
          </w:p>
        </w:tc>
      </w:tr>
      <w:tr>
        <w:tc>
          <w:tcPr>
            <w:tcW w:type="dxa" w:w="9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No primary care provider (PCP) visit in prior 12 months — members disengaged from primary care are less likely to have post-fracture treatment initiated and followed up.</w:t>
            </w:r>
          </w:p>
        </w:tc>
        <w:tc>
          <w:tcPr>
            <w:tcW w:type="dxa" w:w="6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1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 / CLAIMS_PROC</w:t>
            </w:r>
          </w:p>
        </w:tc>
        <w:tc>
          <w:tcPr>
            <w:tcW w:type="dxa" w:w="226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POS_CD, PROV_TYPE_CD, SVC_DT — PCP visit absence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Medication adherence concern — PDC &lt; 0.80 on any chronic medication class in prior 12 months — general non-adherence pattern is predictive of post-fracture non-compliance.</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DRUG_CLASS_CD, PDC_SCORE (derived)</w:t>
            </w:r>
          </w:p>
        </w:tc>
      </w:tr>
      <w:tr>
        <w:tc>
          <w:tcPr>
            <w:tcW w:type="dxa" w:w="9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N-CMP</w:t>
            </w:r>
          </w:p>
        </w:tc>
        <w:tc>
          <w:tcPr>
            <w:tcW w:type="dxa" w:w="3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No specialist visit (rheumatology, endocrinology, orthopedics) in prior 24 months — absence of specialist engagement reduces likelihood of osteoporosis treatment being initiated post-fracture.</w:t>
            </w:r>
          </w:p>
        </w:tc>
        <w:tc>
          <w:tcPr>
            <w:tcW w:type="dxa" w:w="6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180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CLAIMS_DX / CLAIMS_PROC</w:t>
            </w:r>
          </w:p>
        </w:tc>
        <w:tc>
          <w:tcPr>
            <w:tcW w:type="dxa" w:w="2260"/>
            <w:tcBorders>
              <w:top w:val="single" w:color="B0BEC5" w:sz="1"/>
              <w:left w:val="single" w:color="B0BEC5" w:sz="1"/>
              <w:bottom w:val="single" w:color="B0BEC5" w:sz="1"/>
              <w:right w:val="single" w:color="B0BEC5" w:sz="1"/>
            </w:tcBorders>
            <w:shd w:fill="FFF3E0"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SPEC_TYPE_CD, SVC_DT — specialty visit absence</w:t>
            </w:r>
          </w:p>
        </w:tc>
      </w:tr>
      <w:tr>
        <w:tc>
          <w:tcPr>
            <w:tcW w:type="dxa" w:w="9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8"/>
                <w:szCs w:val="18"/>
              </w:rPr>
              <w:t xml:space="preserve">EXCL</w:t>
            </w:r>
          </w:p>
        </w:tc>
        <w:tc>
          <w:tcPr>
            <w:tcW w:type="dxa" w:w="3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 meets any exclusion criterion defined in Section 3 — outputs EXCL_FLG = Y; member does not appear in scored output</w:t>
            </w:r>
          </w:p>
        </w:tc>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Multiple</w:t>
            </w:r>
          </w:p>
        </w:tc>
        <w:tc>
          <w:tcPr>
            <w:tcW w:type="dxa" w:w="22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See Section 3 exclusion table</w:t>
            </w:r>
          </w:p>
        </w:tc>
      </w:tr>
      <w:tr>
        <w:tc>
          <w:tcPr>
            <w:tcW w:type="dxa" w:w="9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8"/>
                <w:szCs w:val="18"/>
              </w:rPr>
              <w:t xml:space="preserve">EXCL</w:t>
            </w:r>
          </w:p>
        </w:tc>
        <w:tc>
          <w:tcPr>
            <w:tcW w:type="dxa" w:w="3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Active osteoporosis treatment on record (OMW drug in prior 12 months) AND/OR BMD test within prior 730 days — member is already managed or already satisfies the numerator lookback. These are now separate exclusion rows in Section 3 with distinct data-speed characteristics.</w:t>
            </w:r>
          </w:p>
        </w:tc>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w:t>
            </w:r>
          </w:p>
        </w:tc>
        <w:tc>
          <w:tcPr>
            <w:tcW w:type="dxa" w:w="18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PHARMACY_CLAIMS / LAB_RESULTS / CLAIMS_PROC</w:t>
            </w:r>
          </w:p>
        </w:tc>
        <w:tc>
          <w:tcPr>
            <w:tcW w:type="dxa" w:w="22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7"/>
                <w:szCs w:val="17"/>
              </w:rPr>
              <w:t xml:space="preserve">OMW drug NDC + CPT/LOINC for BMD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5.  </w:t>
            </w:r>
            <w:r>
              <w:rPr>
                <w:rFonts w:ascii="Arial" w:cs="Arial" w:eastAsia="Arial" w:hAnsi="Arial"/>
                <w:b/>
                <w:bCs/>
                <w:i w:val="false"/>
                <w:iCs w:val="false"/>
                <w:color w:val="FFFFFF"/>
                <w:sz w:val="24"/>
                <w:szCs w:val="24"/>
              </w:rPr>
              <w:t xml:space="preserve">SCORING LOGIC &amp; OUTPUT STRUCTURE</w:t>
            </w:r>
          </w:p>
        </w:tc>
      </w:tr>
    </w:tbl>
    <w:p>
      <w:pPr>
        <w:spacing w:after="100" w:before="0"/>
      </w:pPr>
    </w:p>
    <w:p>
      <w:pPr>
        <w:pStyle w:val="Heading2"/>
        <w:spacing w:after="80" w:before="200"/>
      </w:pPr>
      <w:r>
        <w:rPr>
          <w:rFonts w:ascii="Arial" w:cs="Arial" w:eastAsia="Arial" w:hAnsi="Arial"/>
          <w:b/>
          <w:bCs/>
          <w:color w:val="00695C"/>
          <w:sz w:val="22"/>
          <w:szCs w:val="22"/>
        </w:rPr>
        <w:t xml:space="preserve">5.1  Sub-Score Accumulation</w:t>
      </w:r>
    </w:p>
    <w:p>
      <w:pPr>
        <w:spacing w:after="100" w:before="0"/>
        <w:jc w:val="left"/>
      </w:pPr>
      <w:r>
        <w:rPr>
          <w:rFonts w:ascii="Arial" w:cs="Arial" w:eastAsia="Arial" w:hAnsi="Arial"/>
          <w:b w:val="false"/>
          <w:bCs w:val="false"/>
          <w:i w:val="false"/>
          <w:iCs w:val="false"/>
          <w:sz w:val="18"/>
          <w:szCs w:val="18"/>
        </w:rPr>
        <w:t xml:space="preserve">Each axis accumulates its own sub-score from the signals defined in Section 4. The two sub-scores are stored independently and summed into a composite score. All three values are stored in the token output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60" w:before="0"/>
              <w:jc w:val="left"/>
            </w:pPr>
            <w:r>
              <w:rPr>
                <w:rFonts w:ascii="Arial" w:cs="Arial" w:eastAsia="Arial" w:hAnsi="Arial"/>
                <w:b/>
                <w:bCs/>
                <w:i w:val="false"/>
                <w:iCs w:val="false"/>
                <w:sz w:val="18"/>
                <w:szCs w:val="18"/>
              </w:rPr>
              <w:t xml:space="preserve">PRE_OMW_RISK_SCORE(member):</w:t>
            </w:r>
          </w:p>
          <w:p>
            <w:pPr>
              <w:spacing w:after="40" w:before="0"/>
              <w:jc w:val="left"/>
            </w:pPr>
            <w:r>
              <w:rPr>
                <w:rFonts w:ascii="Arial" w:cs="Arial" w:eastAsia="Arial" w:hAnsi="Arial"/>
                <w:b w:val="false"/>
                <w:bCs w:val="false"/>
                <w:i w:val="false"/>
                <w:iCs w:val="false"/>
                <w:sz w:val="17"/>
                <w:szCs w:val="17"/>
              </w:rPr>
              <w:t xml:space="preserve">  -- Step 1: Apply exclusion pre-filter (Section 3)</w:t>
            </w:r>
          </w:p>
          <w:p>
            <w:pPr>
              <w:spacing w:after="60" w:before="0"/>
              <w:jc w:val="left"/>
            </w:pPr>
            <w:r>
              <w:rPr>
                <w:rFonts w:ascii="Arial" w:cs="Arial" w:eastAsia="Arial" w:hAnsi="Arial"/>
                <w:b w:val="false"/>
                <w:bCs w:val="false"/>
                <w:i w:val="false"/>
                <w:iCs w:val="false"/>
                <w:sz w:val="17"/>
                <w:szCs w:val="17"/>
              </w:rPr>
              <w:t xml:space="preserve">  IF exclusion_check(member) = TRUE THEN RETURN NULL</w:t>
            </w:r>
          </w:p>
          <w:p>
            <w:pPr>
              <w:spacing w:after="40" w:before="0"/>
              <w:jc w:val="left"/>
            </w:pPr>
            <w:r>
              <w:rPr>
                <w:rFonts w:ascii="Arial" w:cs="Arial" w:eastAsia="Arial" w:hAnsi="Arial"/>
                <w:b w:val="false"/>
                <w:bCs w:val="false"/>
                <w:i w:val="false"/>
                <w:iCs w:val="false"/>
                <w:sz w:val="17"/>
                <w:szCs w:val="17"/>
              </w:rPr>
              <w:t xml:space="preserve">  -- Step 2: Accumulate FRAC sub-score</w:t>
            </w:r>
          </w:p>
          <w:p>
            <w:pPr>
              <w:spacing w:after="60" w:before="0"/>
              <w:jc w:val="left"/>
            </w:pPr>
            <w:r>
              <w:rPr>
                <w:rFonts w:ascii="Arial" w:cs="Arial" w:eastAsia="Arial" w:hAnsi="Arial"/>
                <w:b w:val="false"/>
                <w:bCs w:val="false"/>
                <w:i w:val="false"/>
                <w:iCs w:val="false"/>
                <w:sz w:val="17"/>
                <w:szCs w:val="17"/>
              </w:rPr>
              <w:t xml:space="preserve">  frac_score = SUM(points) FOR each FRACTURE signal TRUE for member</w:t>
            </w:r>
          </w:p>
          <w:p>
            <w:pPr>
              <w:spacing w:after="40" w:before="0"/>
              <w:jc w:val="left"/>
            </w:pPr>
            <w:r>
              <w:rPr>
                <w:rFonts w:ascii="Arial" w:cs="Arial" w:eastAsia="Arial" w:hAnsi="Arial"/>
                <w:b w:val="false"/>
                <w:bCs w:val="false"/>
                <w:i w:val="false"/>
                <w:iCs w:val="false"/>
                <w:sz w:val="17"/>
                <w:szCs w:val="17"/>
              </w:rPr>
              <w:t xml:space="preserve">  -- Step 3: Accumulate N-CMP sub-score</w:t>
            </w:r>
          </w:p>
          <w:p>
            <w:pPr>
              <w:spacing w:after="60" w:before="0"/>
              <w:jc w:val="left"/>
            </w:pPr>
            <w:r>
              <w:rPr>
                <w:rFonts w:ascii="Arial" w:cs="Arial" w:eastAsia="Arial" w:hAnsi="Arial"/>
                <w:b w:val="false"/>
                <w:bCs w:val="false"/>
                <w:i w:val="false"/>
                <w:iCs w:val="false"/>
                <w:sz w:val="17"/>
                <w:szCs w:val="17"/>
              </w:rPr>
              <w:t xml:space="preserve">  ncmp_score = SUM(points) FOR each NON-COMP signal TRUE for member</w:t>
            </w:r>
          </w:p>
          <w:p>
            <w:pPr>
              <w:spacing w:after="40" w:before="0"/>
              <w:jc w:val="left"/>
            </w:pPr>
            <w:r>
              <w:rPr>
                <w:rFonts w:ascii="Arial" w:cs="Arial" w:eastAsia="Arial" w:hAnsi="Arial"/>
                <w:b w:val="false"/>
                <w:bCs w:val="false"/>
                <w:i w:val="false"/>
                <w:iCs w:val="false"/>
                <w:sz w:val="17"/>
                <w:szCs w:val="17"/>
              </w:rPr>
              <w:t xml:space="preserve">  -- Step 4: Compute composite</w:t>
            </w:r>
          </w:p>
          <w:p>
            <w:pPr>
              <w:spacing w:after="60" w:before="0"/>
              <w:jc w:val="left"/>
            </w:pPr>
            <w:r>
              <w:rPr>
                <w:rFonts w:ascii="Arial" w:cs="Arial" w:eastAsia="Arial" w:hAnsi="Arial"/>
                <w:b w:val="false"/>
                <w:bCs w:val="false"/>
                <w:i w:val="false"/>
                <w:iCs w:val="false"/>
                <w:sz w:val="17"/>
                <w:szCs w:val="17"/>
              </w:rPr>
              <w:t xml:space="preserve">  composite_score = frac_score + ncmp_score</w:t>
            </w:r>
          </w:p>
          <w:p>
            <w:pPr>
              <w:spacing w:after="40" w:before="0"/>
              <w:jc w:val="left"/>
            </w:pPr>
            <w:r>
              <w:rPr>
                <w:rFonts w:ascii="Arial" w:cs="Arial" w:eastAsia="Arial" w:hAnsi="Arial"/>
                <w:b w:val="false"/>
                <w:bCs w:val="false"/>
                <w:i w:val="false"/>
                <w:iCs w:val="false"/>
                <w:sz w:val="17"/>
                <w:szCs w:val="17"/>
              </w:rPr>
              <w:t xml:space="preserve">  -- Step 5: Set DUAL_HIGH flag</w:t>
            </w:r>
          </w:p>
          <w:p>
            <w:pPr>
              <w:spacing w:after="60" w:before="0"/>
              <w:jc w:val="left"/>
            </w:pPr>
            <w:r>
              <w:rPr>
                <w:rFonts w:ascii="Arial" w:cs="Arial" w:eastAsia="Arial" w:hAnsi="Arial"/>
                <w:b w:val="false"/>
                <w:bCs w:val="false"/>
                <w:i w:val="false"/>
                <w:iCs w:val="false"/>
                <w:sz w:val="17"/>
                <w:szCs w:val="17"/>
              </w:rPr>
              <w:t xml:space="preserve">  dual_high_flag = (frac_score &gt;= 7) AND (ncmp_score &gt;= 5)</w:t>
            </w:r>
          </w:p>
          <w:p>
            <w:pPr>
              <w:spacing w:after="0" w:before="0"/>
              <w:jc w:val="left"/>
            </w:pPr>
            <w:r>
              <w:rPr>
                <w:rFonts w:ascii="Arial" w:cs="Arial" w:eastAsia="Arial" w:hAnsi="Arial"/>
                <w:b w:val="false"/>
                <w:bCs w:val="false"/>
                <w:i w:val="false"/>
                <w:iCs w:val="false"/>
                <w:sz w:val="17"/>
                <w:szCs w:val="17"/>
              </w:rPr>
              <w:t xml:space="preserve">  RETURN (frac_score, ncmp_score, composite_score, dual_high_flag)</w:t>
            </w:r>
          </w:p>
        </w:tc>
      </w:tr>
    </w:tbl>
    <w:p>
      <w:pPr>
        <w:spacing w:after="120" w:before="0"/>
      </w:pPr>
    </w:p>
    <w:p>
      <w:pPr>
        <w:pStyle w:val="Heading2"/>
        <w:spacing w:after="80" w:before="200"/>
      </w:pPr>
      <w:r>
        <w:rPr>
          <w:rFonts w:ascii="Arial" w:cs="Arial" w:eastAsia="Arial" w:hAnsi="Arial"/>
          <w:b/>
          <w:bCs/>
          <w:color w:val="00695C"/>
          <w:sz w:val="22"/>
          <w:szCs w:val="22"/>
        </w:rPr>
        <w:t xml:space="preserve">5.2  Priority Matrix</w:t>
      </w:r>
    </w:p>
    <w:p>
      <w:pPr>
        <w:spacing w:after="100" w:before="0"/>
        <w:jc w:val="left"/>
      </w:pPr>
      <w:r>
        <w:rPr>
          <w:rFonts w:ascii="Arial" w:cs="Arial" w:eastAsia="Arial" w:hAnsi="Arial"/>
          <w:b w:val="false"/>
          <w:bCs w:val="false"/>
          <w:i w:val="false"/>
          <w:iCs w:val="false"/>
          <w:sz w:val="18"/>
          <w:szCs w:val="18"/>
        </w:rPr>
        <w:t xml:space="preserve">The following matrix maps the combination of FRAC sub-score tier and N-CMP sub-score tier to an outreach priority level. This is the value surfaced to the Stars team when an ADT event fires for a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FRAC Tier</w:t>
            </w:r>
          </w:p>
        </w:tc>
        <w:tc>
          <w:tcPr>
            <w:tcW w:type="dxa" w:w="22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N-CMP Tier</w:t>
            </w:r>
          </w:p>
        </w:tc>
        <w:tc>
          <w:tcPr>
            <w:tcW w:type="dxa" w:w="2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Priority Tier</w:t>
            </w:r>
          </w:p>
        </w:tc>
        <w:tc>
          <w:tcPr>
            <w:tcW w:type="dxa" w:w="25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Outreach SLA / Notes</w:t>
            </w:r>
          </w:p>
        </w:tc>
      </w:tr>
      <w:tr>
        <w:tc>
          <w:tcPr>
            <w:tcW w:type="dxa" w:w="220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HIGH (≥ 7 pts)</w:t>
            </w:r>
          </w:p>
        </w:tc>
        <w:tc>
          <w:tcPr>
            <w:tcW w:type="dxa" w:w="220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HIGH (≥ 5 pts)</w:t>
            </w:r>
          </w:p>
        </w:tc>
        <w:tc>
          <w:tcPr>
            <w:tcW w:type="dxa" w:w="240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8"/>
                <w:szCs w:val="18"/>
              </w:rPr>
              <w:t xml:space="preserve">DUAL HIGH ★</w:t>
            </w:r>
          </w:p>
        </w:tc>
        <w:tc>
          <w:tcPr>
            <w:tcW w:type="dxa" w:w="2560"/>
            <w:tcBorders>
              <w:top w:val="single" w:color="B0BEC5" w:sz="1"/>
              <w:left w:val="single" w:color="B0BEC5" w:sz="1"/>
              <w:bottom w:val="single" w:color="B0BEC5" w:sz="1"/>
              <w:right w:val="single" w:color="B0BEC5" w:sz="1"/>
            </w:tcBorders>
            <w:shd w:fill="FCE4E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Same-day contact. Highest addressable risk — high fracture likelihood + high non-compliance likelihood.</w:t>
            </w:r>
          </w:p>
        </w:tc>
      </w:tr>
      <w:tr>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HIGH (≥ 7)</w:t>
            </w:r>
          </w:p>
        </w:tc>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MED (2–4)</w:t>
            </w:r>
          </w:p>
        </w:tc>
        <w:tc>
          <w:tcPr>
            <w:tcW w:type="dxa" w:w="24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HIGH ★</w:t>
            </w:r>
          </w:p>
        </w:tc>
        <w:tc>
          <w:tcPr>
            <w:tcW w:type="dxa" w:w="25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Same-day / next business day.</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MED (3–6)</w:t>
            </w:r>
          </w:p>
        </w:tc>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HIGH (≥ 5)</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E65100"/>
                <w:sz w:val="18"/>
                <w:szCs w:val="18"/>
              </w:rPr>
              <w:t xml:space="preserve">HIGH ★</w:t>
            </w:r>
          </w:p>
        </w:tc>
        <w:tc>
          <w:tcPr>
            <w:tcW w:type="dxa" w:w="25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Same-day / next business day.</w:t>
            </w:r>
          </w:p>
        </w:tc>
      </w:tr>
      <w:tr>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HIGH (≥ 7)</w:t>
            </w:r>
          </w:p>
        </w:tc>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LOW (0–1)</w:t>
            </w:r>
          </w:p>
        </w:tc>
        <w:tc>
          <w:tcPr>
            <w:tcW w:type="dxa" w:w="24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MEDIUM</w:t>
            </w:r>
          </w:p>
        </w:tc>
        <w:tc>
          <w:tcPr>
            <w:tcW w:type="dxa" w:w="25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Within 5 business days. High fracture risk but engaged in bone health care — verify BMD pipeline before acting.</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MED (3–6)</w:t>
            </w:r>
          </w:p>
        </w:tc>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MED (2–4)</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MEDIUM</w:t>
            </w:r>
          </w:p>
        </w:tc>
        <w:tc>
          <w:tcPr>
            <w:tcW w:type="dxa" w:w="25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Within 5 business days.</w:t>
            </w:r>
          </w:p>
        </w:tc>
      </w:tr>
      <w:tr>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LOW (1–2)</w:t>
            </w:r>
          </w:p>
        </w:tc>
        <w:tc>
          <w:tcPr>
            <w:tcW w:type="dxa" w:w="22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Any</w:t>
            </w:r>
          </w:p>
        </w:tc>
        <w:tc>
          <w:tcPr>
            <w:tcW w:type="dxa" w:w="24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37474F"/>
                <w:sz w:val="18"/>
                <w:szCs w:val="18"/>
              </w:rPr>
              <w:t xml:space="preserve">LOW</w:t>
            </w:r>
          </w:p>
        </w:tc>
        <w:tc>
          <w:tcPr>
            <w:tcW w:type="dxa" w:w="25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Queue only if capacity allows.</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8"/>
                <w:szCs w:val="18"/>
              </w:rPr>
              <w:t xml:space="preserve">Any — exclusion fired</w:t>
            </w:r>
          </w:p>
        </w:tc>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w:t>
            </w:r>
          </w:p>
        </w:tc>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880E4F"/>
                <w:sz w:val="18"/>
                <w:szCs w:val="18"/>
              </w:rPr>
              <w:t xml:space="preserve">EXCLUDED</w:t>
            </w:r>
          </w:p>
        </w:tc>
        <w:tc>
          <w:tcPr>
            <w:tcW w:type="dxa" w:w="256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Alert suppressed — do not route to outreach.</w:t>
            </w:r>
          </w:p>
        </w:tc>
      </w:tr>
      <w:tr>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iCs/>
                <w:sz w:val="18"/>
                <w:szCs w:val="18"/>
              </w:rPr>
              <w:t xml:space="preserve">Score STALE (&gt; 60 days)</w:t>
            </w:r>
          </w:p>
        </w:tc>
        <w:tc>
          <w:tcPr>
            <w:tcW w:type="dxa" w:w="22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w:t>
            </w:r>
          </w:p>
        </w:tc>
        <w:tc>
          <w:tcPr>
            <w:tcW w:type="dxa" w:w="240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0695C"/>
                <w:sz w:val="18"/>
                <w:szCs w:val="18"/>
              </w:rPr>
              <w:t xml:space="preserve">MEDIUM (override)</w:t>
            </w:r>
          </w:p>
        </w:tc>
        <w:tc>
          <w:tcPr>
            <w:tcW w:type="dxa" w:w="2560"/>
            <w:tcBorders>
              <w:top w:val="single" w:color="B0BEC5" w:sz="1"/>
              <w:left w:val="single" w:color="B0BEC5" w:sz="1"/>
              <w:bottom w:val="single" w:color="B0BEC5" w:sz="1"/>
              <w:right w:val="single" w:color="B0BEC5" w:sz="1"/>
            </w:tcBorders>
            <w:shd w:fill="ECEF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Downgrade to MEDIUM pending next monthly run.</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6.  </w:t>
            </w:r>
            <w:r>
              <w:rPr>
                <w:rFonts w:ascii="Arial" w:cs="Arial" w:eastAsia="Arial" w:hAnsi="Arial"/>
                <w:b/>
                <w:bCs/>
                <w:i w:val="false"/>
                <w:iCs w:val="false"/>
                <w:color w:val="FFFFFF"/>
                <w:sz w:val="24"/>
                <w:szCs w:val="24"/>
              </w:rPr>
              <w:t xml:space="preserve">OUTPUT SCHEMA — PRE_OMW_SCORE_TBL</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Field Name</w:t>
            </w:r>
          </w:p>
        </w:tc>
        <w:tc>
          <w:tcPr>
            <w:tcW w:type="dxa" w:w="16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Data Type</w:t>
            </w:r>
          </w:p>
        </w:tc>
        <w:tc>
          <w:tcPr>
            <w:tcW w:type="dxa" w:w="5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Description</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MBR_ID</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VARCHAR</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Member identifier — primary key for lookup at ADT trigger time</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FRAC_SCORE</w:t>
            </w:r>
          </w:p>
        </w:tc>
        <w:tc>
          <w:tcPr>
            <w:tcW w:type="dxa" w:w="1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INTEGER</w:t>
            </w:r>
          </w:p>
        </w:tc>
        <w:tc>
          <w:tcPr>
            <w:tcW w:type="dxa" w:w="5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Fracture Risk Axis sub-score — sum of all FRAC signals that fired for this member</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NCMP_SCORE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INTEGER</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Non-Compliance Risk Axis sub-score — sum of all N-CMP signals that fired</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COMPOSITE_SCORE</w:t>
            </w:r>
          </w:p>
        </w:tc>
        <w:tc>
          <w:tcPr>
            <w:tcW w:type="dxa" w:w="1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INTEGER</w:t>
            </w:r>
          </w:p>
        </w:tc>
        <w:tc>
          <w:tcPr>
            <w:tcW w:type="dxa" w:w="5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Sum of FRAC_SCORE + NCMP_SCORE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DUAL_HIGH_FLG</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CHAR(1)</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Y if FRAC_SCORE &gt;= 7 AND NCMP_SCORE &gt;= 5; N otherwise</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PRIORITY_TIER</w:t>
            </w:r>
          </w:p>
        </w:tc>
        <w:tc>
          <w:tcPr>
            <w:tcW w:type="dxa" w:w="1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VARCHAR</w:t>
            </w:r>
          </w:p>
        </w:tc>
        <w:tc>
          <w:tcPr>
            <w:tcW w:type="dxa" w:w="5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DUAL HIGH, HIGH, MEDIUM, LOW — derived from priority matrix (Section 5.2)</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EXCL_FLG</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CHAR(1)</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Y if any exclusion criterion in Section 3 fired; N otherwise</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EXCL_REASON</w:t>
            </w:r>
          </w:p>
        </w:tc>
        <w:tc>
          <w:tcPr>
            <w:tcW w:type="dxa" w:w="1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VARCHAR</w:t>
            </w:r>
          </w:p>
        </w:tc>
        <w:tc>
          <w:tcPr>
            <w:tcW w:type="dxa" w:w="5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Pipe-delimited list of exclusion criterion codes that fired (for EXCL_FLG = Y records)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OUTREACH_NOTE</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VARCHAR</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Auto-generated plain-language summary of fired signals for the outreach team</w:t>
            </w:r>
          </w:p>
        </w:tc>
      </w:tr>
      <w:tr>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RUN_DT</w:t>
            </w:r>
          </w:p>
        </w:tc>
        <w:tc>
          <w:tcPr>
            <w:tcW w:type="dxa" w:w="1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DATE</w:t>
            </w:r>
          </w:p>
        </w:tc>
        <w:tc>
          <w:tcPr>
            <w:tcW w:type="dxa" w:w="5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Date this record was computed — used for staleness check at ADT trigger time (STALE if &gt; 60 days prior to ADT date)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SIGNALS_FIRED</w:t>
            </w:r>
          </w:p>
        </w:tc>
        <w:tc>
          <w:tcPr>
            <w:tcW w:type="dxa" w:w="1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VARCHAR</w:t>
            </w:r>
          </w:p>
        </w:tc>
        <w:tc>
          <w:tcPr>
            <w:tcW w:type="dxa" w:w="5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Pipe-delimited list of signal IDs that contributed to the score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7.  </w:t>
            </w:r>
            <w:r>
              <w:rPr>
                <w:rFonts w:ascii="Arial" w:cs="Arial" w:eastAsia="Arial" w:hAnsi="Arial"/>
                <w:b/>
                <w:bCs/>
                <w:i w:val="false"/>
                <w:iCs w:val="false"/>
                <w:color w:val="FFFFFF"/>
                <w:sz w:val="24"/>
                <w:szCs w:val="24"/>
              </w:rPr>
              <w:t xml:space="preserve">ADT INTEGRATION ARCHITECTURE</w:t>
            </w:r>
          </w:p>
        </w:tc>
      </w:tr>
    </w:tbl>
    <w:p>
      <w:pPr>
        <w:spacing w:after="100" w:before="0"/>
      </w:pPr>
    </w:p>
    <w:p>
      <w:pPr>
        <w:spacing w:after="120" w:before="0"/>
        <w:jc w:val="left"/>
      </w:pPr>
      <w:r>
        <w:rPr>
          <w:rFonts w:ascii="Arial" w:cs="Arial" w:eastAsia="Arial" w:hAnsi="Arial"/>
          <w:b w:val="false"/>
          <w:bCs w:val="false"/>
          <w:i w:val="false"/>
          <w:iCs w:val="false"/>
          <w:sz w:val="18"/>
          <w:szCs w:val="18"/>
        </w:rPr>
        <w:t xml:space="preserve">The token is designed to integrate with the Stars team's ADT cross-reference workflow as a lookup enrichment layer. The Stars team holds the engine's OMW-C alert pool and independently monitors their ADT feed. When a fracture ADT fires for a member who is in the alert pool, the enrichment layer retrieves the pre-computed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Step</w:t>
            </w:r>
          </w:p>
        </w:tc>
        <w:tc>
          <w:tcPr>
            <w:tcW w:type="dxa" w:w="2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Actor / System</w:t>
            </w:r>
          </w:p>
        </w:tc>
        <w:tc>
          <w:tcPr>
            <w:tcW w:type="dxa" w:w="6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Action</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Clinical rules engine</w:t>
            </w:r>
          </w:p>
        </w:tc>
        <w:tc>
          <w:tcPr>
            <w:tcW w:type="dxa" w:w="6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Monthly: Run PRE_OMW_RISK_SCORE token against all enrolled female members age 67–85. Store results in PRE_OMW_SCORE_TBL.</w:t>
            </w:r>
          </w:p>
        </w:tc>
      </w:tr>
      <w:tr>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2</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Stars team — ADT feed</w:t>
            </w:r>
          </w:p>
        </w:tc>
        <w:tc>
          <w:tcPr>
            <w:tcW w:type="dxa" w:w="6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ADT event arrives with a fracture diagnosis for a member. Stars team cross-references against the OMW-C alert pool. Match found — member is in the engine's pre-scored pool.</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3</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Enrichment layer</w:t>
            </w:r>
          </w:p>
        </w:tc>
        <w:tc>
          <w:tcPr>
            <w:tcW w:type="dxa" w:w="6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Query PRE_OMW_SCORE_TBL on MBR_ID. If record exists and is not STALE: append PRIORITY_TIER, DUAL_HIGH_FLG, COMPOSITE_SCORE, and OUTREACH_NOTE to the Stars alert payload.</w:t>
            </w:r>
          </w:p>
        </w:tc>
      </w:tr>
      <w:tr>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4</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Enrichment layer</w:t>
            </w:r>
          </w:p>
        </w:tc>
        <w:tc>
          <w:tcPr>
            <w:tcW w:type="dxa" w:w="6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If EXCL_FLG = Y: suppress routing to Stars outreach queue. Member is pre-identified as non-addressable.</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5</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Enrichment layer</w:t>
            </w:r>
          </w:p>
        </w:tc>
        <w:tc>
          <w:tcPr>
            <w:tcW w:type="dxa" w:w="63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If no token record found (new enrollee, not yet run): treat as MEDIUM priority — Stars applies existing ADT outreach workflow unchanged.</w:t>
            </w:r>
          </w:p>
        </w:tc>
      </w:tr>
      <w:tr>
        <w:tc>
          <w:tcPr>
            <w:tcW w:type="dxa" w:w="6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6</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Stars outreach team</w:t>
            </w:r>
          </w:p>
        </w:tc>
        <w:tc>
          <w:tcPr>
            <w:tcW w:type="dxa" w:w="6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Receives enriched alert. DUAL_HIGH and HIGH records are same-day contact targets. MEDIUM follows standard SLA. LOW deprioritized.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Backwards compatibility:  Members with no token record (new enrollees, members below scoring threshold, or members whose record has not yet been computed) fall through to the existing ADT outreach logic unchanged. The token enriches — it does not replace — the existing pipeline.</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8.  </w:t>
            </w:r>
            <w:r>
              <w:rPr>
                <w:rFonts w:ascii="Arial" w:cs="Arial" w:eastAsia="Arial" w:hAnsi="Arial"/>
                <w:b/>
                <w:bCs/>
                <w:i w:val="false"/>
                <w:iCs w:val="false"/>
                <w:color w:val="FFFFFF"/>
                <w:sz w:val="24"/>
                <w:szCs w:val="24"/>
              </w:rPr>
              <w:t xml:space="preserve">LOOKBACK WINDOW DEFINITIONS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760"/>
      </w:tblGrid>
      <w:tr>
        <w:trPr>
          <w:tblHeader/>
        </w:trPr>
        <w:tc>
          <w:tcPr>
            <w:tcW w:type="dxa" w:w="22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Signal ID</w:t>
            </w:r>
          </w:p>
        </w:tc>
        <w:tc>
          <w:tcPr>
            <w:tcW w:type="dxa" w:w="10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Axis</w:t>
            </w:r>
          </w:p>
        </w:tc>
        <w:tc>
          <w:tcPr>
            <w:tcW w:type="dxa" w:w="2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Lookback Window</w:t>
            </w:r>
          </w:p>
        </w:tc>
        <w:tc>
          <w:tcPr>
            <w:tcW w:type="dxa" w:w="37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Rationale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OSTEO_DX</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Lifetime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Osteoporosis is a chronic condition — any prior confirmed dx is relevant</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PRIOR_FX</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Lifetime</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Prior fracture is the strongest predictor; time elapsed does not eliminate risk</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BMD_OSTEO</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36 months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T-score changes slowly; older BMD results are still informative but less precise</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BMD_OSTEOPENIA</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24 months</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Osteopenic range is more dynamic; limit to recent results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CORTICOSTEROID</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12 months active supply</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Glucocorticoid effect is dose and duration dependent — active use only</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AROMATASE_INH</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12 months active supply</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Active oncology treatment signal — limit to current treatment period</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FALLS_RISK</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12 months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Recent fall history is the relevant window for predicting near-term fracture</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AGE_80PLUS</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Evaluated at run date</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Age is static — recalculate at each monthly run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AGE_67_79</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Evaluated at run date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Base eligibility signal — all token-eligible members carry this</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VIT_D_DEFICIENCY</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24 months</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Vitamin D deficiency documentation is often episodic</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LOW_BMI</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E65100"/>
                <w:sz w:val="17"/>
                <w:szCs w:val="17"/>
              </w:rPr>
              <w:t xml:space="preserve">FRAC</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24 months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Body weight is relatively stable; longer window is acceptable</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NO_OMW_DRUG</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Lifetime</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Absence of any prior OMW drug is the strongest non-compliance predictor</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NO_DEXA_EVER</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Lifetime (Tier 1)</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No BMD ever ordered — true screening gap. Members with BMD within 730 days are excluded before scoring; only those with no BMD or BMD &gt; 730 days reach this signal</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BMD_GT_730</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730+ days ago (Tier 2)</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BMD exists in history but is outside the exclusion window. Prior engagement signal — reduced N-CMP weight vs. no BMD ever</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NO_OSTEO_DX</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Lifetime</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No osteoporosis dx ever coded indicates provider has never documented it</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PRIOR_NONCMPL</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3 years (Phase 2)</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Use 3 most recent measurement years; older non-compliance is less predictive</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NO_PCP_VISIT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12 months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Recent PCP disengagement is the relevant signal for predicting post-fracture follow-up</w:t>
            </w:r>
          </w:p>
        </w:tc>
      </w:tr>
      <w:tr>
        <w:tc>
          <w:tcPr>
            <w:tcW w:type="dxa" w:w="22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LOW_PDC</w:t>
            </w:r>
          </w:p>
        </w:tc>
        <w:tc>
          <w:tcPr>
            <w:tcW w:type="dxa" w:w="10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12 months</w:t>
            </w:r>
          </w:p>
        </w:tc>
        <w:tc>
          <w:tcPr>
            <w:tcW w:type="dxa" w:w="37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PDC is a rolling 12-month metric by definition</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7"/>
                <w:szCs w:val="17"/>
              </w:rPr>
              <w:t xml:space="preserve">NO_SPECIALIST</w:t>
            </w:r>
          </w:p>
        </w:tc>
        <w:tc>
          <w:tcPr>
            <w:tcW w:type="dxa" w:w="10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695C"/>
                <w:sz w:val="17"/>
                <w:szCs w:val="17"/>
              </w:rPr>
              <w:t xml:space="preserve">N-CMP</w:t>
            </w:r>
          </w:p>
        </w:tc>
        <w:tc>
          <w:tcPr>
            <w:tcW w:type="dxa" w:w="240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24 months</w:t>
            </w:r>
          </w:p>
        </w:tc>
        <w:tc>
          <w:tcPr>
            <w:tcW w:type="dxa" w:w="3760"/>
            <w:tcBorders>
              <w:top w:val="single" w:color="B0BEC5" w:sz="1"/>
              <w:left w:val="single" w:color="B0BEC5" w:sz="1"/>
              <w:bottom w:val="single" w:color="B0BEC5" w:sz="1"/>
              <w:right w:val="single" w:color="B0BEC5"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7"/>
                <w:szCs w:val="17"/>
              </w:rPr>
              <w:t xml:space="preserve">Specialist visit absence over a longer window captures chronic disengagement</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9.  </w:t>
            </w:r>
            <w:r>
              <w:rPr>
                <w:rFonts w:ascii="Arial" w:cs="Arial" w:eastAsia="Arial" w:hAnsi="Arial"/>
                <w:b/>
                <w:bCs/>
                <w:i w:val="false"/>
                <w:iCs w:val="false"/>
                <w:color w:val="FFFFFF"/>
                <w:sz w:val="24"/>
                <w:szCs w:val="24"/>
              </w:rPr>
              <w:t xml:space="preserve">QA &amp; VALIDATION GUIDANCE</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Section 9.6 — Population sanity check corrected: baseline is engine OMW-C alert pool, not the raw ADT-eligible pool (~1M).</w:t>
      </w:r>
    </w:p>
    <w:p>
      <w:pPr>
        <w:spacing w:after="80" w:before="0"/>
      </w:pPr>
    </w:p>
    <w:p>
      <w:pPr>
        <w:pStyle w:val="Heading2"/>
        <w:spacing w:after="80" w:before="200"/>
      </w:pPr>
      <w:r>
        <w:rPr>
          <w:rFonts w:ascii="Arial" w:cs="Arial" w:eastAsia="Arial" w:hAnsi="Arial"/>
          <w:b/>
          <w:bCs/>
          <w:color w:val="00695C"/>
          <w:sz w:val="22"/>
          <w:szCs w:val="22"/>
        </w:rPr>
        <w:t xml:space="preserve">9.1  Exclusion Pre-Filter Tests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Confirmed hospice member (Z51.5 on record) → EXCL_FLG = Y, no score output</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Female member age 66 → excluded by age; does not appear in token output</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Male member age 72 → excluded by sex; does not appear in token output</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coverage gap &gt; 1 month → excluded; confirm against MEMBERSHIP dates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LTC resident (&gt;90 days POS 31/32) → EXCL_FLG = Y</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active OMW drug (pharmacy claim in prior 12 months) → EXCL_FLG = Y — confirm this exclusion fires independently of BMD status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BMD claim service date within prior 730 days (any source: claims, lab, EMR) → EXCL_FLG = Y — confirm all three sources are checked</w:t>
      </w:r>
    </w:p>
    <w:p>
      <w:pPr>
        <w:spacing w:after="80" w:before="0"/>
      </w:pPr>
    </w:p>
    <w:p>
      <w:pPr>
        <w:pStyle w:val="Heading2"/>
        <w:spacing w:after="80" w:before="200"/>
      </w:pPr>
      <w:r>
        <w:rPr>
          <w:rFonts w:ascii="Arial" w:cs="Arial" w:eastAsia="Arial" w:hAnsi="Arial"/>
          <w:b/>
          <w:bCs/>
          <w:color w:val="00695C"/>
          <w:sz w:val="22"/>
          <w:szCs w:val="22"/>
        </w:rPr>
        <w:t xml:space="preserve">9.2  Fracture Risk Axis Unit Tests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osteoporosis dx + prior fracture + age 82 → FRAC score ≥ 9, HIGH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osteopenic BMD only, no other signals + age 67 → FRAC score = 3, Low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on corticosteroids + aromatase inhibitor + falls history → FRAC score ≥ 7, HIGH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no FRAC signals (age 67, no dx, no meds, no labs) → FRAC score = 1 (age band only)</w:t>
      </w:r>
    </w:p>
    <w:p>
      <w:pPr>
        <w:spacing w:after="80" w:before="0"/>
      </w:pPr>
    </w:p>
    <w:p>
      <w:pPr>
        <w:pStyle w:val="Heading2"/>
        <w:spacing w:after="80" w:before="200"/>
      </w:pPr>
      <w:r>
        <w:rPr>
          <w:rFonts w:ascii="Arial" w:cs="Arial" w:eastAsia="Arial" w:hAnsi="Arial"/>
          <w:b/>
          <w:bCs/>
          <w:color w:val="00695C"/>
          <w:sz w:val="22"/>
          <w:szCs w:val="22"/>
        </w:rPr>
        <w:t xml:space="preserve">9.3  Non-Compliance Axis Unit Tests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no OMW drug ever + no BMD ever (any source) + no osteoporosis dx → N-CMP score = 9, HIGH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no OMW drug ever + BMD on record but &gt;730 days ago + no osteoporosis dx → N-CMP score = 7 (no drug +4, BMD&gt;730d Tier 2 +1, no dx +2), HIGH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active OMW drug (prior 12 months) → EXCL_FLG = Y; does not reach N-CMP scoring</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BMD within prior 730 days → EXCL_FLG = Y; does not reach N-CMP scoring</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no PCP visit + low PDC + no specialist → N-CMP score = 4, Medium tier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Member with OMW drug dispensed but no BMD ever → EXCL_FLG = Y (active drug exclusion fires)</w:t>
      </w:r>
    </w:p>
    <w:p>
      <w:pPr>
        <w:spacing w:after="80" w:before="0"/>
      </w:pPr>
    </w:p>
    <w:p>
      <w:pPr>
        <w:pStyle w:val="Heading2"/>
        <w:spacing w:after="80" w:before="200"/>
      </w:pPr>
      <w:r>
        <w:rPr>
          <w:rFonts w:ascii="Arial" w:cs="Arial" w:eastAsia="Arial" w:hAnsi="Arial"/>
          <w:b/>
          <w:bCs/>
          <w:color w:val="00695C"/>
          <w:sz w:val="22"/>
          <w:szCs w:val="22"/>
        </w:rPr>
        <w:t xml:space="preserve">9.4  Composite &amp; Priority Matrix Tests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 = 9 (HIGH) + N-CMP = 7 (HIGH) → DUAL_HIGH_FLG = Y, PRIORITY_TIER = DUAL HIGH ★</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 = 5 (MED) + N-CMP = 5 (HIGH) → DUAL_HIGH_FLG = N, PRIORITY_TIER = HIGH ★</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 = 9 (HIGH) + N-CMP = 2 (LOW) → DUAL_HIGH_FLG = N, PRIORITY_TIER = MEDIUM</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 = 2 (LOW) + N-CMP = 1 (LOW) → PRIORITY_TIER = LOW, no routing</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FRAC = 4 (MED) + N-CMP = 4 (MED) → PRIORITY_TIER = HIGH (not DUAL_HIGH)</w:t>
      </w:r>
    </w:p>
    <w:p>
      <w:pPr>
        <w:spacing w:after="80" w:before="0"/>
      </w:pPr>
    </w:p>
    <w:p>
      <w:pPr>
        <w:pStyle w:val="Heading2"/>
        <w:spacing w:after="80" w:before="200"/>
      </w:pPr>
      <w:r>
        <w:rPr>
          <w:rFonts w:ascii="Arial" w:cs="Arial" w:eastAsia="Arial" w:hAnsi="Arial"/>
          <w:b/>
          <w:bCs/>
          <w:color w:val="00695C"/>
          <w:sz w:val="22"/>
          <w:szCs w:val="22"/>
        </w:rPr>
        <w:t xml:space="preserve">9.5  ADT Integration Tests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ADT fires for member with token record (not STALE) → enriched alert with PRIORITY_TIER and OUTREACH_NOTE delivered to Stars queue</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ADT fires for member with EXCL_FLG = Y → alert suppressed; member not routed to outreach</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ADT fires for member with RUN_DT &gt; 60 days prior → STALE flag set; PRIORITY_TIER downgraded to MEDIUM in alert payload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ADT fires for member with no token record → fall-through to existing Stars ADT workflow; no enrichment applied</w:t>
      </w:r>
    </w:p>
    <w:p>
      <w:pPr>
        <w:spacing w:after="80" w:before="0"/>
      </w:pPr>
    </w:p>
    <w:p>
      <w:pPr>
        <w:pStyle w:val="Heading2"/>
        <w:spacing w:after="80" w:before="200"/>
      </w:pPr>
      <w:r>
        <w:rPr>
          <w:rFonts w:ascii="Arial" w:cs="Arial" w:eastAsia="Arial" w:hAnsi="Arial"/>
          <w:b/>
          <w:bCs/>
          <w:color w:val="00695C"/>
          <w:sz w:val="22"/>
          <w:szCs w:val="22"/>
        </w:rPr>
        <w:t xml:space="preserve">9.6  Population Sanity Checks</w:t>
      </w:r>
      <w:r>
        <w:rPr>
          <w:rFonts w:ascii="Arial" w:cs="Arial" w:eastAsia="Arial" w:hAnsi="Arial"/>
          <w:b/>
          <w:bCs/>
          <w:color w:val="880E4F"/>
          <w:sz w:val="16"/>
          <w:szCs w:val="16"/>
        </w:rPr>
        <w:t xml:space="preserve">  ★ REVISED</w:t>
      </w: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Corrected — baseline is engine OMW-C alert pool, not the raw ADT-eligible pool.</w:t>
      </w:r>
    </w:p>
    <w:p>
      <w:pPr>
        <w:spacing w:after="60" w:before="0"/>
      </w:pPr>
    </w:p>
    <w:p>
      <w:pPr>
        <w:pStyle w:val="ListParagraph"/>
        <w:numPr>
          <w:ilvl w:val="0"/>
          <w:numId w:val="2"/>
        </w:numPr>
        <w:spacing w:after="60" w:before="0"/>
      </w:pPr>
      <w:r>
        <w:rPr>
          <w:rFonts w:ascii="Arial" w:cs="Arial" w:eastAsia="Arial" w:hAnsi="Arial"/>
          <w:b w:val="false"/>
          <w:bCs w:val="false"/>
          <w:i w:val="false"/>
          <w:iCs w:val="false"/>
          <w:sz w:val="18"/>
          <w:szCs w:val="18"/>
        </w:rPr>
        <w:t xml:space="preserve">Token output count (scored members) should be smaller than the engine's OMW-C alert pool — the exclusion pre-filter removes hospice, advanced illness, frailty, LTC, and continuous enrollment gaps. A moderate reduction from the alert pool is expected and correct. Token output is NOT expected to be compared against the raw ~1M ADT-eligible universe — those populations are not comparable.</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DUAL_HIGH members should represent a small fraction of the total scored population — if &gt; 20% are DUAL_HIGH, review signal weights and thresholds</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Zero members should appear in both EXCL_FLG = Y records and scored output records — mutual exclusivity is required</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Zero members with a BMD service date within prior 730 days (any source) should appear in scored output — confirm all three source tables (CLAIMS_PROC, LAB_RESULTS, EMR_SUPPL) are checked in the exclusion pre-filter</w:t>
      </w:r>
    </w:p>
    <w:p>
      <w:pPr>
        <w:pStyle w:val="ListParagraph"/>
        <w:numPr>
          <w:ilvl w:val="0"/>
          <w:numId w:val="2"/>
        </w:numPr>
        <w:spacing w:after="60" w:before="0"/>
      </w:pPr>
      <w:r>
        <w:rPr>
          <w:rFonts w:ascii="Arial" w:cs="Arial" w:eastAsia="Arial" w:hAnsi="Arial"/>
          <w:b w:val="false"/>
          <w:bCs w:val="false"/>
          <w:i w:val="false"/>
          <w:iCs w:val="false"/>
          <w:sz w:val="18"/>
          <w:szCs w:val="18"/>
        </w:rPr>
        <w:t xml:space="preserve">Score distribution should be right-skewed — most members should cluster at low composite scores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10.  </w:t>
            </w:r>
            <w:r>
              <w:rPr>
                <w:rFonts w:ascii="Arial" w:cs="Arial" w:eastAsia="Arial" w:hAnsi="Arial"/>
                <w:b/>
                <w:bCs/>
                <w:i w:val="false"/>
                <w:iCs w:val="false"/>
                <w:color w:val="FFFFFF"/>
                <w:sz w:val="24"/>
                <w:szCs w:val="24"/>
              </w:rPr>
              <w:t xml:space="preserve">OPEN DECISIONS &amp; DESIGN NOTES</w:t>
            </w:r>
            <w:r>
              <w:rPr>
                <w:rFonts w:ascii="Arial" w:cs="Arial" w:eastAsia="Arial" w:hAnsi="Arial"/>
                <w:b/>
                <w:bCs/>
                <w:i w:val="false"/>
                <w:iCs w:val="false"/>
                <w:color w:val="FFF3E0"/>
                <w:sz w:val="18"/>
                <w:szCs w:val="18"/>
              </w:rPr>
              <w:t xml:space="preserve">  ★ REVISED</w:t>
            </w:r>
          </w:p>
        </w:tc>
      </w:tr>
    </w:tbl>
    <w:p>
      <w:pPr>
        <w:spacing w:after="100" w:before="0"/>
      </w:pPr>
    </w:p>
    <w:p>
      <w:pPr>
        <w:spacing w:after="60" w:before="80"/>
      </w:pPr>
      <w:r>
        <w:rPr>
          <w:rFonts w:ascii="Arial" w:cs="Arial" w:eastAsia="Arial" w:hAnsi="Arial"/>
          <w:b/>
          <w:bCs/>
          <w:color w:val="880E4F"/>
          <w:sz w:val="18"/>
          <w:szCs w:val="18"/>
        </w:rPr>
        <w:t xml:space="preserve">★ </w:t>
      </w:r>
      <w:r>
        <w:rPr>
          <w:rFonts w:ascii="Arial" w:cs="Arial" w:eastAsia="Arial" w:hAnsi="Arial"/>
          <w:b/>
          <w:bCs/>
          <w:color w:val="880E4F"/>
          <w:sz w:val="18"/>
          <w:szCs w:val="18"/>
        </w:rPr>
        <w:t xml:space="preserve">Claims-lag risk item added as new open decision.</w:t>
      </w:r>
    </w:p>
    <w:p>
      <w:pPr>
        <w:spacing w:after="80" w:before="0"/>
      </w:pPr>
    </w:p>
    <w:p>
      <w:pPr>
        <w:spacing w:after="60" w:before="0"/>
        <w:jc w:val="left"/>
      </w:pPr>
      <w:r>
        <w:rPr>
          <w:rFonts w:ascii="Arial" w:cs="Arial" w:eastAsia="Arial" w:hAnsi="Arial"/>
          <w:b/>
          <w:bCs/>
          <w:i w:val="false"/>
          <w:iCs w:val="false"/>
          <w:color w:val="880E4F"/>
          <w:sz w:val="18"/>
          <w:szCs w:val="18"/>
        </w:rPr>
        <w:t xml:space="preserve">★ NEW — Claims-Lag Risk on BMD Exclusion (Root Cause of Retroactive Disqualification)</w:t>
      </w:r>
    </w:p>
    <w:p>
      <w:pPr>
        <w:spacing w:after="120" w:before="0"/>
        <w:jc w:val="left"/>
      </w:pPr>
      <w:r>
        <w:rPr>
          <w:rFonts w:ascii="Arial" w:cs="Arial" w:eastAsia="Arial" w:hAnsi="Arial"/>
          <w:b w:val="false"/>
          <w:bCs w:val="false"/>
          <w:i w:val="false"/>
          <w:iCs w:val="false"/>
          <w:sz w:val="18"/>
          <w:szCs w:val="18"/>
        </w:rPr>
        <w:t xml:space="preserve">The 730-day BMD exclusion (Section 3) is only as current as the most recently received data from each source at the time of the monthly run. BMD professional claims carry a 14–45 day receipt lag. A member may have had a BMD performed — with a service date well within the 730-day window — but the claim has not yet arrived in the system when the monthly score runs and when the Stars team's ADT fires. This member appears in the scored pool and receives an outreach intervention; the claim arrives days or weeks later and retroactively disqualifies them. This is the primary operational pain point the token is designed to mitigate by providing pre-intervention confidence signals. Implementation teams should: (1) document the expected BMD claims lag for their specific EDW; (2) evaluate whether lab/LOINC and EMR feeds can be checked at ADT trigger time (not just monthly run time) as a near-real-time exclusion refresh; (3) consider a short hold window (e.g., 7–14 days) before activating outreach for members who score as MEDIUM or below on N-CMP — the BMD claim is most likely to arrive within this window for members with prior BMD history.</w:t>
      </w:r>
    </w:p>
    <w:p>
      <w:pPr>
        <w:spacing w:after="40" w:before="0"/>
        <w:jc w:val="left"/>
      </w:pPr>
      <w:r>
        <w:rPr>
          <w:rFonts w:ascii="Arial" w:cs="Arial" w:eastAsia="Arial" w:hAnsi="Arial"/>
          <w:b/>
          <w:bCs/>
          <w:i w:val="false"/>
          <w:iCs w:val="false"/>
          <w:sz w:val="18"/>
          <w:szCs w:val="18"/>
        </w:rPr>
        <w:t xml:space="preserve">Phase 2 signal (PRIOR_NONCMPL):</w:t>
      </w:r>
    </w:p>
    <w:p>
      <w:pPr>
        <w:spacing w:after="120" w:before="0"/>
        <w:jc w:val="left"/>
      </w:pPr>
      <w:r>
        <w:rPr>
          <w:rFonts w:ascii="Arial" w:cs="Arial" w:eastAsia="Arial" w:hAnsi="Arial"/>
          <w:b w:val="false"/>
          <w:bCs w:val="false"/>
          <w:i w:val="false"/>
          <w:iCs w:val="false"/>
          <w:sz w:val="18"/>
          <w:szCs w:val="18"/>
        </w:rPr>
        <w:t xml:space="preserve">When the non-compliant denominator history table is built, this signal adds 4 N-CMP points and will meaningfully increase score precision. The signal slot is reserved in the current schema. Confirm table name and field structure with business owners when available.</w:t>
      </w:r>
    </w:p>
    <w:p>
      <w:pPr>
        <w:spacing w:after="40" w:before="0"/>
        <w:jc w:val="left"/>
      </w:pPr>
      <w:r>
        <w:rPr>
          <w:rFonts w:ascii="Arial" w:cs="Arial" w:eastAsia="Arial" w:hAnsi="Arial"/>
          <w:b/>
          <w:bCs/>
          <w:i w:val="false"/>
          <w:iCs w:val="false"/>
          <w:sz w:val="18"/>
          <w:szCs w:val="18"/>
        </w:rPr>
        <w:t xml:space="preserve">BMD Tier 2 signal implementation (BMD &gt; 730 days):</w:t>
      </w:r>
    </w:p>
    <w:p>
      <w:pPr>
        <w:spacing w:after="120" w:before="0"/>
        <w:jc w:val="left"/>
      </w:pPr>
      <w:r>
        <w:rPr>
          <w:rFonts w:ascii="Arial" w:cs="Arial" w:eastAsia="Arial" w:hAnsi="Arial"/>
          <w:b w:val="false"/>
          <w:bCs w:val="false"/>
          <w:i w:val="false"/>
          <w:iCs w:val="false"/>
          <w:sz w:val="18"/>
          <w:szCs w:val="18"/>
        </w:rPr>
        <w:t xml:space="preserve">The revised N-CMP BMD signal introduces a two-tier structure (no BMD ever = +3 pts; BMD on record but &gt; 730 days = +1 pt). Implementing this requires a conditional signal field in the scoring logic rather than a simple absence check. Confirm whether the rules engine can support a tiered signal on a single signal ID, or whether two separate signal IDs (NO_DEXA_EVER and BMD_GT_730D) should be defined. See Section 8 lookback window table.</w:t>
      </w:r>
    </w:p>
    <w:p>
      <w:pPr>
        <w:spacing w:after="40" w:before="0"/>
        <w:jc w:val="left"/>
      </w:pPr>
      <w:r>
        <w:rPr>
          <w:rFonts w:ascii="Arial" w:cs="Arial" w:eastAsia="Arial" w:hAnsi="Arial"/>
          <w:b/>
          <w:bCs/>
          <w:i w:val="false"/>
          <w:iCs w:val="false"/>
          <w:sz w:val="18"/>
          <w:szCs w:val="18"/>
        </w:rPr>
        <w:t xml:space="preserve">Score staleness threshold:</w:t>
      </w:r>
    </w:p>
    <w:p>
      <w:pPr>
        <w:spacing w:after="120" w:before="0"/>
        <w:jc w:val="left"/>
      </w:pPr>
      <w:r>
        <w:rPr>
          <w:rFonts w:ascii="Arial" w:cs="Arial" w:eastAsia="Arial" w:hAnsi="Arial"/>
          <w:b w:val="false"/>
          <w:bCs w:val="false"/>
          <w:i w:val="false"/>
          <w:iCs w:val="false"/>
          <w:sz w:val="18"/>
          <w:szCs w:val="18"/>
        </w:rPr>
        <w:t xml:space="preserve">60 days is proposed as the STALE cutoff. If outreach operations run on a different SLA cycle, adjust accordingly. The RUN_DT field supports any cutoff value.</w:t>
      </w:r>
    </w:p>
    <w:p>
      <w:pPr>
        <w:spacing w:after="40" w:before="0"/>
        <w:jc w:val="left"/>
      </w:pPr>
      <w:r>
        <w:rPr>
          <w:rFonts w:ascii="Arial" w:cs="Arial" w:eastAsia="Arial" w:hAnsi="Arial"/>
          <w:b/>
          <w:bCs/>
          <w:i w:val="false"/>
          <w:iCs w:val="false"/>
          <w:sz w:val="18"/>
          <w:szCs w:val="18"/>
        </w:rPr>
        <w:t xml:space="preserve">DUAL_HIGH threshold calibration:</w:t>
      </w:r>
    </w:p>
    <w:p>
      <w:pPr>
        <w:spacing w:after="120" w:before="0"/>
        <w:jc w:val="left"/>
      </w:pPr>
      <w:r>
        <w:rPr>
          <w:rFonts w:ascii="Arial" w:cs="Arial" w:eastAsia="Arial" w:hAnsi="Arial"/>
          <w:b w:val="false"/>
          <w:bCs w:val="false"/>
          <w:i w:val="false"/>
          <w:iCs w:val="false"/>
          <w:sz w:val="18"/>
          <w:szCs w:val="18"/>
        </w:rPr>
        <w:t xml:space="preserve">FRAC ≥ 7 and N-CMP ≥ 5 are initial thresholds based on signal weight design. Recommend validating against a known prior-year OMW non-compliant population to confirm these thresholds correctly identify that group before production deployment.</w:t>
      </w:r>
    </w:p>
    <w:p>
      <w:pPr>
        <w:spacing w:after="40" w:before="0"/>
        <w:jc w:val="left"/>
      </w:pPr>
      <w:r>
        <w:rPr>
          <w:rFonts w:ascii="Arial" w:cs="Arial" w:eastAsia="Arial" w:hAnsi="Arial"/>
          <w:b/>
          <w:bCs/>
          <w:i w:val="false"/>
          <w:iCs w:val="false"/>
          <w:sz w:val="18"/>
          <w:szCs w:val="18"/>
        </w:rPr>
        <w:t xml:space="preserve">Corticosteroid dose threshold:</w:t>
      </w:r>
    </w:p>
    <w:p>
      <w:pPr>
        <w:spacing w:after="120" w:before="0"/>
        <w:jc w:val="left"/>
      </w:pPr>
      <w:r>
        <w:rPr>
          <w:rFonts w:ascii="Arial" w:cs="Arial" w:eastAsia="Arial" w:hAnsi="Arial"/>
          <w:b w:val="false"/>
          <w:bCs w:val="false"/>
          <w:i w:val="false"/>
          <w:iCs w:val="false"/>
          <w:sz w:val="18"/>
          <w:szCs w:val="18"/>
        </w:rPr>
        <w:t xml:space="preserve">The 5mg/day prednisone equivalent threshold requires pharmacy claims to have dose information. If dose is not reliably available, consider ≥ 90 days supply in prior 12 months as a proxy for chronic use.</w:t>
      </w:r>
    </w:p>
    <w:p>
      <w:pPr>
        <w:spacing w:after="40" w:before="0"/>
        <w:jc w:val="left"/>
      </w:pPr>
      <w:r>
        <w:rPr>
          <w:rFonts w:ascii="Arial" w:cs="Arial" w:eastAsia="Arial" w:hAnsi="Arial"/>
          <w:b/>
          <w:bCs/>
          <w:i w:val="false"/>
          <w:iCs w:val="false"/>
          <w:sz w:val="18"/>
          <w:szCs w:val="18"/>
        </w:rPr>
        <w:t xml:space="preserve">BMD result availability for FRAC axis:</w:t>
      </w:r>
    </w:p>
    <w:p>
      <w:pPr>
        <w:spacing w:after="120" w:before="0"/>
        <w:jc w:val="left"/>
      </w:pPr>
      <w:r>
        <w:rPr>
          <w:rFonts w:ascii="Arial" w:cs="Arial" w:eastAsia="Arial" w:hAnsi="Arial"/>
          <w:b w:val="false"/>
          <w:bCs w:val="false"/>
          <w:i w:val="false"/>
          <w:iCs w:val="false"/>
          <w:sz w:val="18"/>
          <w:szCs w:val="18"/>
        </w:rPr>
        <w:t xml:space="preserve">T-score values may not be structured in claims — they may require extraction from lab result text fields or EMR supplemental data. Confirm structured RESULT_VAL availability for LOINC 38263-0 and 38264-8 in the EDW before implementing BMD FRAC signals.</w:t>
      </w:r>
    </w:p>
    <w:p>
      <w:pPr>
        <w:spacing w:after="40" w:before="0"/>
        <w:jc w:val="left"/>
      </w:pPr>
      <w:r>
        <w:rPr>
          <w:rFonts w:ascii="Arial" w:cs="Arial" w:eastAsia="Arial" w:hAnsi="Arial"/>
          <w:b/>
          <w:bCs/>
          <w:i w:val="false"/>
          <w:iCs w:val="false"/>
          <w:sz w:val="18"/>
          <w:szCs w:val="18"/>
        </w:rPr>
        <w:t xml:space="preserve">Future data sources — EPIC integration and FHIR:</w:t>
      </w:r>
    </w:p>
    <w:p>
      <w:pPr>
        <w:spacing w:after="120" w:before="0"/>
        <w:jc w:val="left"/>
      </w:pPr>
      <w:r>
        <w:rPr>
          <w:rFonts w:ascii="Arial" w:cs="Arial" w:eastAsia="Arial" w:hAnsi="Arial"/>
          <w:b w:val="false"/>
          <w:bCs w:val="false"/>
          <w:i w:val="false"/>
          <w:iCs w:val="false"/>
          <w:sz w:val="18"/>
          <w:szCs w:val="18"/>
        </w:rPr>
        <w:t xml:space="preserve">The payer is integrating EPIC as its clinical workflow platform (UM/CM) with a target of next year. EPIC surfaces pending orders and radiology appointments — not just completed results. A signed DEXA order in EPIC means a BMD result is days away, providing an upstream intent signal that pre-dates the result. Engine consumption via the supplemental data workflow already established for HEDIS is the expected path. Longer term, a FHIR R4 ServiceRequest feed from connected health systems would provide order-intent signals before appointments are scheduled. The engine's future architecture is under evaluation for FHIR-native design.</w:t>
      </w:r>
    </w:p>
    <w:p>
      <w:pPr>
        <w:spacing w:after="40" w:before="0"/>
        <w:jc w:val="left"/>
      </w:pPr>
      <w:r>
        <w:rPr>
          <w:rFonts w:ascii="Arial" w:cs="Arial" w:eastAsia="Arial" w:hAnsi="Arial"/>
          <w:b/>
          <w:bCs/>
          <w:i w:val="false"/>
          <w:iCs w:val="false"/>
          <w:sz w:val="18"/>
          <w:szCs w:val="18"/>
        </w:rPr>
        <w:t xml:space="preserve">Outreach note generation:</w:t>
      </w:r>
    </w:p>
    <w:p>
      <w:pPr>
        <w:spacing w:after="200" w:before="0"/>
        <w:jc w:val="left"/>
      </w:pPr>
      <w:r>
        <w:rPr>
          <w:rFonts w:ascii="Arial" w:cs="Arial" w:eastAsia="Arial" w:hAnsi="Arial"/>
          <w:b w:val="false"/>
          <w:bCs w:val="false"/>
          <w:i w:val="false"/>
          <w:iCs w:val="false"/>
          <w:sz w:val="18"/>
          <w:szCs w:val="18"/>
        </w:rPr>
        <w:t xml:space="preserve">The OUTREACH_NOTE field requires a templating mechanism in the engine to auto-assemble plain-language text from fired signal codes. Confirm whether this is handled in the token layer or downstream in the ADT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24"/>
                <w:szCs w:val="24"/>
              </w:rPr>
              <w:t xml:space="preserve">11.  </w:t>
            </w:r>
            <w:r>
              <w:rPr>
                <w:rFonts w:ascii="Arial" w:cs="Arial" w:eastAsia="Arial" w:hAnsi="Arial"/>
                <w:b/>
                <w:bCs/>
                <w:i w:val="false"/>
                <w:iCs w:val="false"/>
                <w:color w:val="FFFFFF"/>
                <w:sz w:val="24"/>
                <w:szCs w:val="24"/>
              </w:rPr>
              <w:t xml:space="preserve">REVISION HISTORY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rPr>
          <w:tblHeader/>
        </w:trPr>
        <w:tc>
          <w:tcPr>
            <w:tcW w:type="dxa" w:w="1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Version</w:t>
            </w:r>
          </w:p>
        </w:tc>
        <w:tc>
          <w:tcPr>
            <w:tcW w:type="dxa" w:w="14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Date</w:t>
            </w:r>
          </w:p>
        </w:tc>
        <w:tc>
          <w:tcPr>
            <w:tcW w:type="dxa" w:w="180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Author</w:t>
            </w:r>
          </w:p>
        </w:tc>
        <w:tc>
          <w:tcPr>
            <w:tcW w:type="dxa" w:w="4760"/>
            <w:tcBorders>
              <w:top w:val="single" w:color="B0BEC5" w:sz="1"/>
              <w:left w:val="single" w:color="B0BEC5" w:sz="1"/>
              <w:bottom w:val="single" w:color="B0BEC5" w:sz="1"/>
              <w:right w:val="single" w:color="B0BEC5" w:sz="1"/>
            </w:tcBorders>
            <w:shd w:fill="37474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8"/>
                <w:szCs w:val="18"/>
              </w:rPr>
              <w:t xml:space="preserve">Change Summary</w:t>
            </w:r>
          </w:p>
        </w:tc>
      </w:tr>
      <w:tr>
        <w:tc>
          <w:tcPr>
            <w:tcW w:type="dxa" w:w="14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1.0 — DRAFT</w:t>
            </w:r>
          </w:p>
        </w:tc>
        <w:tc>
          <w:tcPr>
            <w:tcW w:type="dxa" w:w="14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March 2026</w:t>
            </w:r>
          </w:p>
        </w:tc>
        <w:tc>
          <w:tcPr>
            <w:tcW w:type="dxa" w:w="180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[Author]</w:t>
            </w:r>
          </w:p>
        </w:tc>
        <w:tc>
          <w:tcPr>
            <w:tcW w:type="dxa" w:w="4760"/>
            <w:tcBorders>
              <w:top w:val="single" w:color="B0BEC5" w:sz="1"/>
              <w:left w:val="single" w:color="B0BEC5" w:sz="1"/>
              <w:bottom w:val="single" w:color="B0BEC5" w:sz="1"/>
              <w:right w:val="single" w:color="B0BEC5" w:sz="1"/>
            </w:tcBorders>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Initial draft. Dual-axis architecture defined. Phase 2 PRIOR_NONCMPL signal reserved. Pending threshold calibration against prior-year OMW non-compliant population.</w:t>
            </w:r>
          </w:p>
        </w:tc>
      </w:tr>
      <w:tr>
        <w:tc>
          <w:tcPr>
            <w:tcW w:type="dxa" w:w="14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1.1 — DRAFT</w:t>
            </w:r>
          </w:p>
        </w:tc>
        <w:tc>
          <w:tcPr>
            <w:tcW w:type="dxa" w:w="14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sz w:val="18"/>
                <w:szCs w:val="18"/>
              </w:rPr>
              <w:t xml:space="preserve">April 2026</w:t>
            </w:r>
          </w:p>
        </w:tc>
        <w:tc>
          <w:tcPr>
            <w:tcW w:type="dxa" w:w="180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[Author]</w:t>
            </w:r>
          </w:p>
        </w:tc>
        <w:tc>
          <w:tcPr>
            <w:tcW w:type="dxa" w:w="4760"/>
            <w:tcBorders>
              <w:top w:val="single" w:color="B0BEC5" w:sz="1"/>
              <w:left w:val="single" w:color="B0BEC5" w:sz="1"/>
              <w:bottom w:val="single" w:color="B0BEC5" w:sz="1"/>
              <w:right w:val="single" w:color="B0BEC5" w:sz="1"/>
            </w:tcBorders>
            <w:shd w:fill="E8F5E9"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Architectural correction: two-system workflow documented (engine alert pool + Stars ADT trigger). Sections 1, 1a (new), 2, 3, 4, 9.6, 10 revised. Drug and BMD exclusions separated. 730-day BMD exclusion added as standalone criterion with data-speed notes. N-CMP BMD signal updated with two-tier structure and multi-source scope. Claims-lag risk open decision added.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E0F2F1"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sz w:val="18"/>
                <w:szCs w:val="18"/>
              </w:rPr>
              <w:t xml:space="preserve">Classification:  This document contains internal operational specifications for clinical quality measure strategy. Intended for clinical informatics, care management, and engineering teams only. Not for external distribution.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37474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2026-04-07T00:02:24.502Z</dcterms:created>
  <dcterms:modified xsi:type="dcterms:W3CDTF">2026-04-07T00:02:24.504Z</dcterms:modified>
</cp:coreProperties>
</file>

<file path=docProps/custom.xml><?xml version="1.0" encoding="utf-8"?>
<Properties xmlns="http://schemas.openxmlformats.org/officeDocument/2006/custom-properties" xmlns:vt="http://schemas.openxmlformats.org/officeDocument/2006/docPropsVTypes"/>
</file>