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7A6E" w:val="clear"/>
            <w:tcMar>
              <w:top w:type="dxa" w:w="400"/>
              <w:left w:type="dxa" w:w="480"/>
              <w:bottom w:type="dxa" w:w="400"/>
              <w:right w:type="dxa" w:w="480"/>
            </w:tcMar>
          </w:tcPr>
          <w:p>
            <w:pPr>
              <w:spacing w:after="80" w:before="0"/>
            </w:pPr>
            <w:r>
              <w:rPr>
                <w:rFonts w:ascii="Arial" w:cs="Arial" w:eastAsia="Arial" w:hAnsi="Arial"/>
                <w:b/>
                <w:bCs/>
                <w:caps/>
                <w:color w:val="E6F4F2"/>
                <w:sz w:val="20"/>
                <w:szCs w:val="20"/>
              </w:rPr>
              <w:t xml:space="preserve">CUSTOM TOKEN SPECIFICATION</w:t>
            </w:r>
          </w:p>
          <w:p>
            <w:pPr>
              <w:spacing w:after="120" w:before="0"/>
            </w:pPr>
            <w:r>
              <w:rPr>
                <w:rFonts w:ascii="Arial" w:cs="Arial" w:eastAsia="Arial" w:hAnsi="Arial"/>
                <w:b/>
                <w:bCs/>
                <w:color w:val="FFFFFF"/>
                <w:sz w:val="40"/>
                <w:szCs w:val="40"/>
              </w:rPr>
              <w:t xml:space="preserve">Pre-Denominator Risk Scoring</w:t>
            </w:r>
          </w:p>
          <w:p>
            <w:pPr>
              <w:spacing w:after="80" w:before="0"/>
            </w:pPr>
            <w:r>
              <w:rPr>
                <w:rFonts w:ascii="Arial" w:cs="Arial" w:eastAsia="Arial" w:hAnsi="Arial"/>
                <w:color w:val="E6F4F2"/>
                <w:sz w:val="22"/>
                <w:szCs w:val="22"/>
              </w:rPr>
              <w:t xml:space="preserve">PRE_DENOM_CBP_SCORE  ·  PRE_DENOM_GSD_SCORE</w:t>
            </w:r>
          </w:p>
          <w:p>
            <w:pPr>
              <w:spacing w:after="0" w:before="120"/>
            </w:pPr>
            <w:r>
              <w:rPr>
                <w:rFonts w:ascii="Arial" w:cs="Arial" w:eastAsia="Arial" w:hAnsi="Arial"/>
                <w:color w:val="E6F4F2"/>
                <w:sz w:val="18"/>
                <w:szCs w:val="18"/>
              </w:rPr>
              <w:t xml:space="preserve">HEDIS Measures: CBP (Controlling Blood Pressure)  |  GSD (Glycemic Status for Diabetes)</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1680"/>
        <w:gridCol w:w="1800"/>
      </w:tblGrid>
      <w:tr>
        <w:tc>
          <w:tcPr>
            <w:tcW w:type="dxa" w:w="2400"/>
            <w:tcBorders>
              <w:top w:val="single" w:color="1A7A6E" w:sz="1"/>
              <w:left w:val="single" w:color="1A7A6E" w:sz="1"/>
              <w:bottom w:val="single" w:color="1A7A6E" w:sz="1"/>
              <w:right w:val="single" w:color="1A7A6E" w:sz="1"/>
            </w:tcBorders>
            <w:shd w:fill="E6F4F2" w:val="clear"/>
            <w:tcMar>
              <w:top w:type="dxa" w:w="80"/>
              <w:left w:type="dxa" w:w="120"/>
              <w:bottom w:type="dxa" w:w="80"/>
              <w:right w:type="dxa" w:w="120"/>
            </w:tcMar>
          </w:tcPr>
          <w:p>
            <w:r>
              <w:rPr>
                <w:rFonts w:ascii="Arial" w:cs="Arial" w:eastAsia="Arial" w:hAnsi="Arial"/>
                <w:b/>
                <w:bCs/>
                <w:color w:val="1A7A6E"/>
                <w:sz w:val="17"/>
                <w:szCs w:val="17"/>
              </w:rPr>
              <w:t xml:space="preserve">Document Type</w:t>
            </w:r>
          </w:p>
          <w:p>
            <w:r>
              <w:rPr>
                <w:rFonts w:ascii="Arial" w:cs="Arial" w:eastAsia="Arial" w:hAnsi="Arial"/>
                <w:sz w:val="18"/>
                <w:szCs w:val="18"/>
              </w:rPr>
              <w:t xml:space="preserve">Token Specification</w:t>
            </w:r>
          </w:p>
        </w:tc>
        <w:tc>
          <w:tcPr>
            <w:tcW w:type="dxa" w:w="3480"/>
            <w:tcBorders>
              <w:top w:val="single" w:color="1A7A6E" w:sz="1"/>
              <w:left w:val="single" w:color="1A7A6E" w:sz="1"/>
              <w:bottom w:val="single" w:color="1A7A6E" w:sz="1"/>
              <w:right w:val="single" w:color="1A7A6E" w:sz="1"/>
            </w:tcBorders>
            <w:shd w:fill="FFFFFF" w:val="clear"/>
            <w:tcMar>
              <w:top w:type="dxa" w:w="80"/>
              <w:left w:type="dxa" w:w="120"/>
              <w:bottom w:type="dxa" w:w="80"/>
              <w:right w:type="dxa" w:w="120"/>
            </w:tcMar>
          </w:tcPr>
          <w:p>
            <w:r>
              <w:rPr>
                <w:rFonts w:ascii="Arial" w:cs="Arial" w:eastAsia="Arial" w:hAnsi="Arial"/>
                <w:b/>
                <w:bCs/>
                <w:color w:val="1A7A6E"/>
                <w:sz w:val="17"/>
                <w:szCs w:val="17"/>
              </w:rPr>
              <w:t xml:space="preserve">Measure Scope</w:t>
            </w:r>
          </w:p>
          <w:p>
            <w:r>
              <w:rPr>
                <w:rFonts w:ascii="Arial" w:cs="Arial" w:eastAsia="Arial" w:hAnsi="Arial"/>
                <w:sz w:val="18"/>
                <w:szCs w:val="18"/>
              </w:rPr>
              <w:t xml:space="preserve">CBP, GSD (HEDIS MY 2026)</w:t>
            </w:r>
          </w:p>
        </w:tc>
        <w:tc>
          <w:tcPr>
            <w:tcW w:type="dxa" w:w="1680"/>
            <w:tcBorders>
              <w:top w:val="single" w:color="1A7A6E" w:sz="1"/>
              <w:left w:val="single" w:color="1A7A6E" w:sz="1"/>
              <w:bottom w:val="single" w:color="1A7A6E" w:sz="1"/>
              <w:right w:val="single" w:color="1A7A6E" w:sz="1"/>
            </w:tcBorders>
            <w:shd w:fill="E6F4F2" w:val="clear"/>
            <w:tcMar>
              <w:top w:type="dxa" w:w="80"/>
              <w:left w:type="dxa" w:w="120"/>
              <w:bottom w:type="dxa" w:w="80"/>
              <w:right w:type="dxa" w:w="120"/>
            </w:tcMar>
          </w:tcPr>
          <w:p>
            <w:r>
              <w:rPr>
                <w:rFonts w:ascii="Arial" w:cs="Arial" w:eastAsia="Arial" w:hAnsi="Arial"/>
                <w:b/>
                <w:bCs/>
                <w:color w:val="1A7A6E"/>
                <w:sz w:val="17"/>
                <w:szCs w:val="17"/>
              </w:rPr>
              <w:t xml:space="preserve">Version</w:t>
            </w:r>
          </w:p>
          <w:p>
            <w:r>
              <w:rPr>
                <w:rFonts w:ascii="Arial" w:cs="Arial" w:eastAsia="Arial" w:hAnsi="Arial"/>
                <w:sz w:val="18"/>
                <w:szCs w:val="18"/>
              </w:rPr>
              <w:t xml:space="preserve">1.0 — DRAFT</w:t>
            </w:r>
          </w:p>
        </w:tc>
        <w:tc>
          <w:tcPr>
            <w:tcW w:type="dxa" w:w="1800"/>
            <w:tcBorders>
              <w:top w:val="single" w:color="1A7A6E" w:sz="1"/>
              <w:left w:val="single" w:color="1A7A6E" w:sz="1"/>
              <w:bottom w:val="single" w:color="1A7A6E" w:sz="1"/>
              <w:right w:val="single" w:color="1A7A6E" w:sz="1"/>
            </w:tcBorders>
            <w:shd w:fill="FFFFFF" w:val="clear"/>
            <w:tcMar>
              <w:top w:type="dxa" w:w="80"/>
              <w:left w:type="dxa" w:w="120"/>
              <w:bottom w:type="dxa" w:w="80"/>
              <w:right w:type="dxa" w:w="120"/>
            </w:tcMar>
          </w:tcPr>
          <w:p>
            <w:r>
              <w:rPr>
                <w:rFonts w:ascii="Arial" w:cs="Arial" w:eastAsia="Arial" w:hAnsi="Arial"/>
                <w:b/>
                <w:bCs/>
                <w:color w:val="1A7A6E"/>
                <w:sz w:val="17"/>
                <w:szCs w:val="17"/>
              </w:rPr>
              <w:t xml:space="preserve">Date</w:t>
            </w:r>
          </w:p>
          <w:p>
            <w:r>
              <w:rPr>
                <w:rFonts w:ascii="Arial" w:cs="Arial" w:eastAsia="Arial" w:hAnsi="Arial"/>
                <w:sz w:val="18"/>
                <w:szCs w:val="18"/>
              </w:rPr>
              <w:t xml:space="preserve">March 2026</w:t>
            </w:r>
          </w:p>
        </w:tc>
      </w:tr>
    </w:tbl>
    <w:p>
      <w:pPr>
        <w:spacing w:after="240" w:before="0"/>
      </w:pPr>
    </w:p>
    <w:p>
      <w:pPr>
        <w:pStyle w:val="Heading2"/>
      </w:pPr>
      <w:r>
        <w:rPr>
          <w:rFonts w:ascii="Arial" w:cs="Arial" w:eastAsia="Arial" w:hAnsi="Arial"/>
          <w:b/>
          <w:bCs/>
          <w:color w:val="1A7A6E"/>
          <w:sz w:val="26"/>
          <w:szCs w:val="26"/>
        </w:rPr>
        <w:t xml:space="preserve">1.  Purpose &amp; Background</w:t>
      </w:r>
    </w:p>
    <w:p>
      <w:pPr>
        <w:pBdr>
          <w:bottom w:val="single" w:color="1A7A6E" w:sz="8" w:space="1"/>
        </w:pBdr>
        <w:spacing w:after="120" w:before="0"/>
      </w:pPr>
    </w:p>
    <w:p>
      <w:pPr>
        <w:spacing w:after="60" w:before="60"/>
      </w:pPr>
      <w:r>
        <w:rPr>
          <w:rFonts w:ascii="Arial" w:cs="Arial" w:eastAsia="Arial" w:hAnsi="Arial"/>
          <w:sz w:val="20"/>
          <w:szCs w:val="20"/>
        </w:rPr>
        <w:t xml:space="preserve">Standard HEDIS measure execution identifies members who are already in a measure denominator and failing the numerator — a reactive posture. These two tokens implement a proactive pre-denominator strategy: identifying members who are trending toward denominator inclusion before they formally qualify, and routing them to the In-Home Wellness Assessment (IHWA) program for early clinical intervention.</w:t>
      </w:r>
    </w:p>
    <w:p>
      <w:pPr>
        <w:spacing w:after="80" w:before="0"/>
      </w:pPr>
    </w:p>
    <w:p>
      <w:pPr>
        <w:spacing w:after="60" w:before="60"/>
      </w:pPr>
      <w:r>
        <w:rPr>
          <w:rFonts w:ascii="Arial" w:cs="Arial" w:eastAsia="Arial" w:hAnsi="Arial"/>
          <w:sz w:val="20"/>
          <w:szCs w:val="20"/>
        </w:rPr>
        <w:t xml:space="preserve">The design pattern mirrors the CHA₂DS₂-VASc scoring model: individual clinical signals are assigned weighted point values, accumulated into a composite score, and evaluated against a threshold to trigger a clinical recommendation. No single signal fires the token; it is the accumulation of evidence that determines priority.</w:t>
      </w:r>
    </w:p>
    <w:p>
      <w:pPr>
        <w:spacing w:after="80" w:before="0"/>
      </w:pPr>
    </w:p>
    <w:p>
      <w:pPr>
        <w:spacing w:after="60" w:before="60"/>
      </w:pPr>
      <w:r>
        <w:rPr>
          <w:rFonts w:ascii="Arial" w:cs="Arial" w:eastAsia="Arial" w:hAnsi="Arial"/>
          <w:sz w:val="20"/>
          <w:szCs w:val="20"/>
        </w:rPr>
        <w:t xml:space="preserve">Key design principles:</w:t>
      </w:r>
    </w:p>
    <w:p>
      <w:pPr>
        <w:pStyle w:val="ListParagraph"/>
        <w:numPr>
          <w:ilvl w:val="0"/>
          <w:numId w:val="2"/>
        </w:numPr>
        <w:spacing w:after="40" w:before="40"/>
      </w:pPr>
      <w:r>
        <w:rPr>
          <w:rFonts w:ascii="Arial" w:cs="Arial" w:eastAsia="Arial" w:hAnsi="Arial"/>
          <w:b w:val="false"/>
          <w:bCs w:val="false"/>
          <w:sz w:val="20"/>
          <w:szCs w:val="20"/>
        </w:rPr>
        <w:t xml:space="preserve">Proactive — fires before denominator entry, not after gap identification</w:t>
      </w:r>
    </w:p>
    <w:p>
      <w:pPr>
        <w:pStyle w:val="ListParagraph"/>
        <w:numPr>
          <w:ilvl w:val="0"/>
          <w:numId w:val="2"/>
        </w:numPr>
        <w:spacing w:after="40" w:before="40"/>
      </w:pPr>
      <w:r>
        <w:rPr>
          <w:rFonts w:ascii="Arial" w:cs="Arial" w:eastAsia="Arial" w:hAnsi="Arial"/>
          <w:b w:val="false"/>
          <w:bCs w:val="false"/>
          <w:sz w:val="20"/>
          <w:szCs w:val="20"/>
        </w:rPr>
        <w:t xml:space="preserve">Additive — multiple partial signals combine to create a meaningful risk picture</w:t>
      </w:r>
    </w:p>
    <w:p>
      <w:pPr>
        <w:pStyle w:val="ListParagraph"/>
        <w:numPr>
          <w:ilvl w:val="0"/>
          <w:numId w:val="2"/>
        </w:numPr>
        <w:spacing w:after="40" w:before="40"/>
      </w:pPr>
      <w:r>
        <w:rPr>
          <w:rFonts w:ascii="Arial" w:cs="Arial" w:eastAsia="Arial" w:hAnsi="Arial"/>
          <w:b w:val="false"/>
          <w:bCs w:val="false"/>
          <w:sz w:val="20"/>
          <w:szCs w:val="20"/>
        </w:rPr>
        <w:t xml:space="preserve">Guardrailed — disqualifier logic prevents double-routing with active gap rules</w:t>
      </w:r>
    </w:p>
    <w:p>
      <w:pPr>
        <w:pStyle w:val="ListParagraph"/>
        <w:numPr>
          <w:ilvl w:val="0"/>
          <w:numId w:val="2"/>
        </w:numPr>
        <w:spacing w:after="40" w:before="40"/>
      </w:pPr>
      <w:r>
        <w:rPr>
          <w:rFonts w:ascii="Arial" w:cs="Arial" w:eastAsia="Arial" w:hAnsi="Arial"/>
          <w:b w:val="false"/>
          <w:bCs w:val="false"/>
          <w:sz w:val="20"/>
          <w:szCs w:val="20"/>
        </w:rPr>
        <w:t xml:space="preserve">Clinically defensible — signal weights reflect genuine clinical co-occurrence, not measure-gaming</w:t>
      </w:r>
    </w:p>
    <w:p>
      <w:pPr>
        <w:pStyle w:val="ListParagraph"/>
        <w:numPr>
          <w:ilvl w:val="0"/>
          <w:numId w:val="2"/>
        </w:numPr>
        <w:spacing w:after="40" w:before="40"/>
      </w:pPr>
      <w:r>
        <w:rPr>
          <w:rFonts w:ascii="Arial" w:cs="Arial" w:eastAsia="Arial" w:hAnsi="Arial"/>
          <w:b w:val="false"/>
          <w:bCs w:val="false"/>
          <w:sz w:val="20"/>
          <w:szCs w:val="20"/>
        </w:rPr>
        <w:t xml:space="preserve">Engine-native — expressed using Oracle relational source tables, consistent with existing token architecture</w:t>
      </w:r>
    </w:p>
    <w:p>
      <w:pPr>
        <w:spacing w:after="200" w:before="0"/>
      </w:pPr>
    </w:p>
    <w:p>
      <w:pPr>
        <w:pStyle w:val="Heading2"/>
      </w:pPr>
      <w:r>
        <w:rPr>
          <w:rFonts w:ascii="Arial" w:cs="Arial" w:eastAsia="Arial" w:hAnsi="Arial"/>
          <w:b/>
          <w:bCs/>
          <w:color w:val="1A7A6E"/>
          <w:sz w:val="26"/>
          <w:szCs w:val="26"/>
        </w:rPr>
        <w:t xml:space="preserve">2.  Scope &amp; Applicability</w:t>
      </w:r>
    </w:p>
    <w:p>
      <w:pPr>
        <w:pBdr>
          <w:bottom w:val="single" w:color="1A7A6E" w:sz="8" w:space="1"/>
        </w:pBdr>
        <w:spacing w:after="120" w:before="0"/>
      </w:pPr>
    </w:p>
    <w:p>
      <w:pPr>
        <w:spacing w:after="60" w:before="60"/>
      </w:pPr>
      <w:r>
        <w:rPr>
          <w:rFonts w:ascii="Arial" w:cs="Arial" w:eastAsia="Arial" w:hAnsi="Arial"/>
          <w:b/>
          <w:bCs/>
          <w:sz w:val="20"/>
          <w:szCs w:val="20"/>
        </w:rPr>
        <w:t xml:space="preserve">Applicable Measures:  </w:t>
      </w:r>
      <w:r>
        <w:rPr>
          <w:rFonts w:ascii="Arial" w:cs="Arial" w:eastAsia="Arial" w:hAnsi="Arial"/>
          <w:sz w:val="20"/>
          <w:szCs w:val="20"/>
        </w:rPr>
        <w:t xml:space="preserve">CBP (Controlling Blood Pressure), GSD (Glycemic Status for Diabetes)</w:t>
      </w:r>
    </w:p>
    <w:p>
      <w:pPr>
        <w:spacing w:after="60" w:before="60"/>
      </w:pPr>
      <w:r>
        <w:rPr>
          <w:rFonts w:ascii="Arial" w:cs="Arial" w:eastAsia="Arial" w:hAnsi="Arial"/>
          <w:b/>
          <w:bCs/>
          <w:sz w:val="20"/>
          <w:szCs w:val="20"/>
        </w:rPr>
        <w:t xml:space="preserve">Measurement Year:  </w:t>
      </w:r>
      <w:r>
        <w:rPr>
          <w:rFonts w:ascii="Arial" w:cs="Arial" w:eastAsia="Arial" w:hAnsi="Arial"/>
          <w:sz w:val="20"/>
          <w:szCs w:val="20"/>
        </w:rPr>
        <w:t xml:space="preserve">HEDIS MY 2026 (January 1 – December 31, 2026)</w:t>
      </w:r>
    </w:p>
    <w:p>
      <w:pPr>
        <w:spacing w:after="60" w:before="60"/>
      </w:pPr>
      <w:r>
        <w:rPr>
          <w:rFonts w:ascii="Arial" w:cs="Arial" w:eastAsia="Arial" w:hAnsi="Arial"/>
          <w:b/>
          <w:bCs/>
          <w:sz w:val="20"/>
          <w:szCs w:val="20"/>
        </w:rPr>
        <w:t xml:space="preserve">Population:  </w:t>
      </w:r>
      <w:r>
        <w:rPr>
          <w:rFonts w:ascii="Arial" w:cs="Arial" w:eastAsia="Arial" w:hAnsi="Arial"/>
          <w:sz w:val="20"/>
          <w:szCs w:val="20"/>
        </w:rPr>
        <w:t xml:space="preserve">All continuously enrolled commercial and Medicare Advantage members aged 18–85</w:t>
      </w:r>
    </w:p>
    <w:p>
      <w:pPr>
        <w:spacing w:after="60" w:before="60"/>
      </w:pPr>
      <w:r>
        <w:rPr>
          <w:rFonts w:ascii="Arial" w:cs="Arial" w:eastAsia="Arial" w:hAnsi="Arial"/>
          <w:b/>
          <w:bCs/>
          <w:sz w:val="20"/>
          <w:szCs w:val="20"/>
        </w:rPr>
        <w:t xml:space="preserve">Execution Context:  </w:t>
      </w:r>
      <w:r>
        <w:rPr>
          <w:rFonts w:ascii="Arial" w:cs="Arial" w:eastAsia="Arial" w:hAnsi="Arial"/>
          <w:sz w:val="20"/>
          <w:szCs w:val="20"/>
        </w:rPr>
        <w:t xml:space="preserve">Clinical rules engine — Oracle relational schema (non-FHIR)</w:t>
      </w:r>
    </w:p>
    <w:p>
      <w:pPr>
        <w:spacing w:after="60" w:before="60"/>
      </w:pPr>
      <w:r>
        <w:rPr>
          <w:rFonts w:ascii="Arial" w:cs="Arial" w:eastAsia="Arial" w:hAnsi="Arial"/>
          <w:b/>
          <w:bCs/>
          <w:sz w:val="20"/>
          <w:szCs w:val="20"/>
        </w:rPr>
        <w:t xml:space="preserve">Integration Point:  </w:t>
      </w:r>
      <w:r>
        <w:rPr>
          <w:rFonts w:ascii="Arial" w:cs="Arial" w:eastAsia="Arial" w:hAnsi="Arial"/>
          <w:sz w:val="20"/>
          <w:szCs w:val="20"/>
        </w:rPr>
        <w:t xml:space="preserve">IHWA routing queue — output consumed by care management workflow</w:t>
      </w:r>
    </w:p>
    <w:p>
      <w:pPr>
        <w:spacing w:after="60" w:before="60"/>
      </w:pPr>
      <w:r>
        <w:rPr>
          <w:rFonts w:ascii="Arial" w:cs="Arial" w:eastAsia="Arial" w:hAnsi="Arial"/>
          <w:b/>
          <w:bCs/>
          <w:sz w:val="20"/>
          <w:szCs w:val="20"/>
        </w:rPr>
        <w:t xml:space="preserve">Run Frequency:  </w:t>
      </w:r>
      <w:r>
        <w:rPr>
          <w:rFonts w:ascii="Arial" w:cs="Arial" w:eastAsia="Arial" w:hAnsi="Arial"/>
          <w:sz w:val="20"/>
          <w:szCs w:val="20"/>
        </w:rPr>
        <w:t xml:space="preserve">Recommended monthly refresh; minimum quarterly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1"/>
              <w:left w:val="single" w:color="1A7A6E" w:sz="1"/>
              <w:bottom w:val="single" w:color="1A7A6E" w:sz="1"/>
              <w:right w:val="single" w:color="1A7A6E" w:sz="1"/>
            </w:tcBorders>
            <w:shd w:fill="E6F4F2" w:val="clear"/>
            <w:tcMar>
              <w:top w:type="dxa" w:w="100"/>
              <w:left w:type="dxa" w:w="160"/>
              <w:bottom w:type="dxa" w:w="100"/>
              <w:right w:type="dxa" w:w="160"/>
            </w:tcMar>
          </w:tcPr>
          <w:p>
            <w:pPr>
              <w:spacing w:after="40" w:before="40"/>
            </w:pPr>
            <w:r>
              <w:rPr>
                <w:rFonts w:ascii="Arial" w:cs="Arial" w:eastAsia="Arial" w:hAnsi="Arial"/>
                <w:b/>
                <w:bCs/>
                <w:color w:val="1A7A6E"/>
                <w:sz w:val="19"/>
                <w:szCs w:val="19"/>
              </w:rPr>
              <w:t xml:space="preserve">Note:  </w:t>
            </w:r>
            <w:r>
              <w:rPr>
                <w:rFonts w:ascii="Arial" w:cs="Arial" w:eastAsia="Arial" w:hAnsi="Arial"/>
                <w:sz w:val="19"/>
                <w:szCs w:val="19"/>
              </w:rPr>
              <w:t xml:space="preserve">Members currently in an active CBP or GSD denominator gap rule are excluded from these tokens via disqualifier logic. These tokens are additive to, not replacements for, existing gap identification rules.</w:t>
            </w:r>
          </w:p>
        </w:tc>
      </w:tr>
    </w:tbl>
    <w:p>
      <w:pPr>
        <w:spacing w:after="200" w:before="0"/>
      </w:pPr>
    </w:p>
    <w:p>
      <w:pPr>
        <w:pStyle w:val="Heading2"/>
      </w:pPr>
      <w:r>
        <w:rPr>
          <w:rFonts w:ascii="Arial" w:cs="Arial" w:eastAsia="Arial" w:hAnsi="Arial"/>
          <w:b/>
          <w:bCs/>
          <w:color w:val="1A7A6E"/>
          <w:sz w:val="26"/>
          <w:szCs w:val="26"/>
        </w:rPr>
        <w:t xml:space="preserve">3.  Token: PRE_DENOM_CBP_SCORE</w:t>
      </w:r>
    </w:p>
    <w:p>
      <w:pPr>
        <w:pBdr>
          <w:bottom w:val="single" w:color="1A7A6E" w:sz="8" w:space="1"/>
        </w:pBdr>
        <w:spacing w:after="120" w:before="0"/>
      </w:pPr>
    </w:p>
    <w:p>
      <w:pPr>
        <w:spacing w:after="60" w:before="200"/>
      </w:pPr>
      <w:r>
        <w:rPr>
          <w:rFonts w:ascii="Arial" w:cs="Arial" w:eastAsia="Arial" w:hAnsi="Arial"/>
          <w:b/>
          <w:bCs/>
          <w:color w:val="000000"/>
          <w:sz w:val="21"/>
          <w:szCs w:val="21"/>
        </w:rPr>
        <w:t xml:space="preserve">3.1  Overview</w:t>
      </w:r>
    </w:p>
    <w:p>
      <w:pPr>
        <w:spacing w:after="60" w:before="60"/>
      </w:pPr>
      <w:r>
        <w:rPr>
          <w:rFonts w:ascii="Arial" w:cs="Arial" w:eastAsia="Arial" w:hAnsi="Arial"/>
          <w:sz w:val="20"/>
          <w:szCs w:val="20"/>
        </w:rPr>
        <w:t xml:space="preserve">Identifies members who are not yet in the CBP denominator but carry clinical signals that indicate probable near-term hypertension diagnosis or denominator entry. CBP requires an established hypertension diagnosis — typically two outpatient encounters with a hypertension ICD-10 code on different dates, or one inpatient encounter. This token surfaces members who are one clinical event away from that threshold or who have pharmacological evidence of hypertension without supporting diagnosis codes.</w:t>
      </w:r>
    </w:p>
    <w:p>
      <w:pPr>
        <w:spacing w:after="120" w:before="0"/>
      </w:pPr>
    </w:p>
    <w:p>
      <w:pPr>
        <w:spacing w:after="60" w:before="60"/>
      </w:pPr>
      <w:r>
        <w:rPr>
          <w:rFonts w:ascii="Arial" w:cs="Arial" w:eastAsia="Arial" w:hAnsi="Arial"/>
          <w:b/>
          <w:bCs/>
          <w:sz w:val="20"/>
          <w:szCs w:val="20"/>
        </w:rPr>
        <w:t xml:space="preserve">Token ID:  </w:t>
      </w:r>
      <w:r>
        <w:rPr>
          <w:rFonts w:ascii="Arial" w:cs="Arial" w:eastAsia="Arial" w:hAnsi="Arial"/>
          <w:sz w:val="20"/>
          <w:szCs w:val="20"/>
        </w:rPr>
        <w:t xml:space="preserve">PRE_DENOM_CBP_SCORE</w:t>
      </w:r>
    </w:p>
    <w:p>
      <w:pPr>
        <w:spacing w:after="60" w:before="60"/>
      </w:pPr>
      <w:r>
        <w:rPr>
          <w:rFonts w:ascii="Arial" w:cs="Arial" w:eastAsia="Arial" w:hAnsi="Arial"/>
          <w:b/>
          <w:bCs/>
          <w:sz w:val="20"/>
          <w:szCs w:val="20"/>
        </w:rPr>
        <w:t xml:space="preserve">Measure:  </w:t>
      </w:r>
      <w:r>
        <w:rPr>
          <w:rFonts w:ascii="Arial" w:cs="Arial" w:eastAsia="Arial" w:hAnsi="Arial"/>
          <w:sz w:val="20"/>
          <w:szCs w:val="20"/>
        </w:rPr>
        <w:t xml:space="preserve">CBP — Controlling Blood Pressure (HEDIS MY 2026)</w:t>
      </w:r>
    </w:p>
    <w:p>
      <w:pPr>
        <w:spacing w:after="60" w:before="60"/>
      </w:pPr>
      <w:r>
        <w:rPr>
          <w:rFonts w:ascii="Arial" w:cs="Arial" w:eastAsia="Arial" w:hAnsi="Arial"/>
          <w:b/>
          <w:bCs/>
          <w:sz w:val="20"/>
          <w:szCs w:val="20"/>
        </w:rPr>
        <w:t xml:space="preserve">Denominator Basis:  </w:t>
      </w:r>
      <w:r>
        <w:rPr>
          <w:rFonts w:ascii="Arial" w:cs="Arial" w:eastAsia="Arial" w:hAnsi="Arial"/>
          <w:sz w:val="20"/>
          <w:szCs w:val="20"/>
        </w:rPr>
        <w:t xml:space="preserve">Members 18–85 with established hypertension (2+ outpatient dx on different dates, or 1 inpatient dx)</w:t>
      </w:r>
    </w:p>
    <w:p>
      <w:pPr>
        <w:spacing w:after="60" w:before="60"/>
      </w:pPr>
      <w:r>
        <w:rPr>
          <w:rFonts w:ascii="Arial" w:cs="Arial" w:eastAsia="Arial" w:hAnsi="Arial"/>
          <w:b/>
          <w:bCs/>
          <w:sz w:val="20"/>
          <w:szCs w:val="20"/>
        </w:rPr>
        <w:t xml:space="preserve">Token Type:  </w:t>
      </w:r>
      <w:r>
        <w:rPr>
          <w:rFonts w:ascii="Arial" w:cs="Arial" w:eastAsia="Arial" w:hAnsi="Arial"/>
          <w:sz w:val="20"/>
          <w:szCs w:val="20"/>
        </w:rPr>
        <w:t xml:space="preserve">Weighted accumulation score with threshold routing</w:t>
      </w:r>
    </w:p>
    <w:p>
      <w:pPr>
        <w:spacing w:after="60" w:before="60"/>
      </w:pPr>
      <w:r>
        <w:rPr>
          <w:rFonts w:ascii="Arial" w:cs="Arial" w:eastAsia="Arial" w:hAnsi="Arial"/>
          <w:b/>
          <w:bCs/>
          <w:sz w:val="20"/>
          <w:szCs w:val="20"/>
        </w:rPr>
        <w:t xml:space="preserve">Fire Condition:  </w:t>
      </w:r>
      <w:r>
        <w:rPr>
          <w:rFonts w:ascii="Arial" w:cs="Arial" w:eastAsia="Arial" w:hAnsi="Arial"/>
          <w:sz w:val="20"/>
          <w:szCs w:val="20"/>
        </w:rPr>
        <w:t xml:space="preserve">Score &gt;= 3 AND disqualifier check passes</w:t>
      </w:r>
    </w:p>
    <w:p>
      <w:pPr>
        <w:spacing w:after="160" w:before="0"/>
      </w:pPr>
    </w:p>
    <w:p>
      <w:pPr>
        <w:spacing w:after="60" w:before="200"/>
      </w:pPr>
      <w:r>
        <w:rPr>
          <w:rFonts w:ascii="Arial" w:cs="Arial" w:eastAsia="Arial" w:hAnsi="Arial"/>
          <w:b/>
          <w:bCs/>
          <w:color w:val="000000"/>
          <w:sz w:val="21"/>
          <w:szCs w:val="21"/>
        </w:rPr>
        <w:t xml:space="preserve">3.2  Signal Definitions &amp; Scoring</w:t>
      </w:r>
    </w:p>
    <w:p>
      <w:pPr>
        <w:spacing w:after="60" w:before="60"/>
      </w:pPr>
      <w:r>
        <w:rPr>
          <w:rFonts w:ascii="Arial" w:cs="Arial" w:eastAsia="Arial" w:hAnsi="Arial"/>
          <w:sz w:val="20"/>
          <w:szCs w:val="20"/>
        </w:rPr>
        <w:t xml:space="preserve">Each signal below is evaluated independently. Signals that are true for a member contribute their point value to the member’s total PRE_DENOM_CBP_SCORE. Disqualifier signals exclude the member from token output regardless of score.</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000"/>
        <w:gridCol w:w="2160"/>
        <w:gridCol w:w="2000"/>
      </w:tblGrid>
      <w:tr>
        <w:trPr>
          <w:tblHeader/>
        </w:trPr>
        <w:tc>
          <w:tcPr>
            <w:tcW w:type="dxa" w:w="420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vAlign w:val="center"/>
          </w:tcPr>
          <w:p>
            <w:r>
              <w:rPr>
                <w:rFonts w:ascii="Arial" w:cs="Arial" w:eastAsia="Arial" w:hAnsi="Arial"/>
                <w:b/>
                <w:bCs/>
                <w:color w:val="FFFFFF"/>
                <w:sz w:val="19"/>
                <w:szCs w:val="19"/>
              </w:rPr>
              <w:t xml:space="preserve">Signal Description</w:t>
            </w:r>
          </w:p>
        </w:tc>
        <w:tc>
          <w:tcPr>
            <w:tcW w:type="dxa" w:w="100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vAlign w:val="center"/>
          </w:tcPr>
          <w:p>
            <w:r>
              <w:rPr>
                <w:rFonts w:ascii="Arial" w:cs="Arial" w:eastAsia="Arial" w:hAnsi="Arial"/>
                <w:b/>
                <w:bCs/>
                <w:color w:val="FFFFFF"/>
                <w:sz w:val="19"/>
                <w:szCs w:val="19"/>
              </w:rPr>
              <w:t xml:space="preserve">Pts</w:t>
            </w:r>
          </w:p>
        </w:tc>
        <w:tc>
          <w:tcPr>
            <w:tcW w:type="dxa" w:w="216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vAlign w:val="center"/>
          </w:tcPr>
          <w:p>
            <w:r>
              <w:rPr>
                <w:rFonts w:ascii="Arial" w:cs="Arial" w:eastAsia="Arial" w:hAnsi="Arial"/>
                <w:b/>
                <w:bCs/>
                <w:color w:val="FFFFFF"/>
                <w:sz w:val="19"/>
                <w:szCs w:val="19"/>
              </w:rPr>
              <w:t xml:space="preserve">Source Table</w:t>
            </w:r>
          </w:p>
        </w:tc>
        <w:tc>
          <w:tcPr>
            <w:tcW w:type="dxa" w:w="200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vAlign w:val="center"/>
          </w:tcPr>
          <w:p>
            <w:r>
              <w:rPr>
                <w:rFonts w:ascii="Arial" w:cs="Arial" w:eastAsia="Arial" w:hAnsi="Arial"/>
                <w:b/>
                <w:bCs/>
                <w:color w:val="FFFFFF"/>
                <w:sz w:val="19"/>
                <w:szCs w:val="19"/>
              </w:rPr>
              <w:t xml:space="preserve">Key Fields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Exactly 1 hypertension dx on record (ICD-10: I10–I16.x) in current measurement year OR prior 12-month lookback — on a single date only (insufficient for denominator entry)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CLAIMS_DX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ICD_CD, SVC_DT, MBR_ID, VISIT_TYPE_CD</w:t>
            </w:r>
          </w:p>
        </w:tc>
      </w:tr>
      <w:tr>
        <w:tc>
          <w:tcPr>
            <w:tcW w:type="dxa" w:w="42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Active antihypertensive drug dispensed with no hypertension dx on record (drug classes: ACEI, ARB, beta-blocker, calcium channel blocker, thiazide diuretic)</w:t>
            </w:r>
          </w:p>
        </w:tc>
        <w:tc>
          <w:tcPr>
            <w:tcW w:type="dxa" w:w="10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2</w:t>
            </w:r>
          </w:p>
        </w:tc>
        <w:tc>
          <w:tcPr>
            <w:tcW w:type="dxa" w:w="216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PHARMACY_CLAIMS</w:t>
            </w:r>
          </w:p>
        </w:tc>
        <w:tc>
          <w:tcPr>
            <w:tcW w:type="dxa" w:w="20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NDC_CD, DRUG_CLASS_CD, FILL_DT, DAYS_SUPPLY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Encounter with ICD-10 R03.0 (elevated blood pressure reading, no hypertension diagnosis) — documents elevated BP without confirming hypertension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CLAIMS_DX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ICD_CD, SVC_DT, MBR_ID, POS_CD</w:t>
            </w:r>
          </w:p>
        </w:tc>
      </w:tr>
      <w:tr>
        <w:tc>
          <w:tcPr>
            <w:tcW w:type="dxa" w:w="42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Member was in CBP denominator in prior measurement year (lapsed denominator) — clinically still relevant even if current year dx count is insufficient</w:t>
            </w:r>
          </w:p>
        </w:tc>
        <w:tc>
          <w:tcPr>
            <w:tcW w:type="dxa" w:w="10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2</w:t>
            </w:r>
          </w:p>
        </w:tc>
        <w:tc>
          <w:tcPr>
            <w:tcW w:type="dxa" w:w="216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HEDIS_DENOM_HIST</w:t>
            </w:r>
          </w:p>
        </w:tc>
        <w:tc>
          <w:tcPr>
            <w:tcW w:type="dxa" w:w="20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MEASURE_CD, MEAS_YR, MBR_ID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BMI &gt;= 30 documented in current or prior 24-month window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CLAIMS_DX / LAB_RESULTS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ICD_CD (E66.x) or BMI_VAL, OBS_DT</w:t>
            </w:r>
          </w:p>
        </w:tc>
      </w:tr>
      <w:tr>
        <w:tc>
          <w:tcPr>
            <w:tcW w:type="dxa" w:w="42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Co-diagnosis of CKD (N18.x), obstructive sleep apnea (G47.3x), or diabetes (E10–E14.x) — conditions with high hypertension co-occurrence</w:t>
            </w:r>
          </w:p>
        </w:tc>
        <w:tc>
          <w:tcPr>
            <w:tcW w:type="dxa" w:w="10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1</w:t>
            </w:r>
          </w:p>
        </w:tc>
        <w:tc>
          <w:tcPr>
            <w:tcW w:type="dxa" w:w="216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CLAIMS_DX</w:t>
            </w:r>
          </w:p>
        </w:tc>
        <w:tc>
          <w:tcPr>
            <w:tcW w:type="dxa" w:w="20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ICD_CD, SVC_DT, MBR_ID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Member age 40–64 — highest band for undetected or undercoded hypertension prevalence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MEMBERSHIP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DOB, CALC_AGE</w:t>
            </w:r>
          </w:p>
        </w:tc>
      </w:tr>
      <w:tr>
        <w:tc>
          <w:tcPr>
            <w:tcW w:type="dxa" w:w="4200"/>
            <w:tcBorders>
              <w:top w:val="single" w:color="CCCCCC" w:sz="1"/>
              <w:left w:val="single" w:color="CCCCCC" w:sz="1"/>
              <w:bottom w:val="single" w:color="CCCCCC" w:sz="1"/>
              <w:right w:val="single" w:color="CCCCCC" w:sz="1"/>
            </w:tcBorders>
            <w:shd w:fill="FCE8D5" w:val="clear"/>
            <w:tcMar>
              <w:top w:type="dxa" w:w="80"/>
              <w:left w:type="dxa" w:w="120"/>
              <w:bottom w:type="dxa" w:w="80"/>
              <w:right w:type="dxa" w:w="120"/>
            </w:tcMar>
            <w:vAlign w:val="center"/>
          </w:tcPr>
          <w:p>
            <w:r>
              <w:rPr>
                <w:rFonts w:ascii="Arial" w:cs="Arial" w:eastAsia="Arial" w:hAnsi="Arial"/>
                <w:i w:val="false"/>
                <w:iCs w:val="false"/>
                <w:color w:val="C45911"/>
                <w:sz w:val="18"/>
                <w:szCs w:val="18"/>
              </w:rPr>
              <w:t xml:space="preserve">DISQUALIFIER: Member is currently in CBP denominator for active measurement year (already captured by existing gap rules)</w:t>
            </w:r>
          </w:p>
        </w:tc>
        <w:tc>
          <w:tcPr>
            <w:tcW w:type="dxa" w:w="1000"/>
            <w:tcBorders>
              <w:top w:val="single" w:color="CCCCCC" w:sz="1"/>
              <w:left w:val="single" w:color="CCCCCC" w:sz="1"/>
              <w:bottom w:val="single" w:color="CCCCCC" w:sz="1"/>
              <w:right w:val="single" w:color="CCCCCC" w:sz="1"/>
            </w:tcBorders>
            <w:shd w:fill="FCE8D5" w:val="clear"/>
            <w:tcMar>
              <w:top w:type="dxa" w:w="80"/>
              <w:left w:type="dxa" w:w="120"/>
              <w:bottom w:type="dxa" w:w="80"/>
              <w:right w:type="dxa" w:w="120"/>
            </w:tcMar>
            <w:vAlign w:val="center"/>
          </w:tcPr>
          <w:p>
            <w:r>
              <w:rPr>
                <w:rFonts w:ascii="Arial" w:cs="Arial" w:eastAsia="Arial" w:hAnsi="Arial"/>
                <w:i w:val="false"/>
                <w:iCs w:val="false"/>
                <w:color w:val="C45911"/>
                <w:sz w:val="18"/>
                <w:szCs w:val="18"/>
              </w:rPr>
              <w:t xml:space="preserve">EXCLUDE</w:t>
            </w:r>
          </w:p>
        </w:tc>
        <w:tc>
          <w:tcPr>
            <w:tcW w:type="dxa" w:w="2160"/>
            <w:tcBorders>
              <w:top w:val="single" w:color="CCCCCC" w:sz="1"/>
              <w:left w:val="single" w:color="CCCCCC" w:sz="1"/>
              <w:bottom w:val="single" w:color="CCCCCC" w:sz="1"/>
              <w:right w:val="single" w:color="CCCCCC" w:sz="1"/>
            </w:tcBorders>
            <w:shd w:fill="FCE8D5" w:val="clear"/>
            <w:tcMar>
              <w:top w:type="dxa" w:w="80"/>
              <w:left w:type="dxa" w:w="120"/>
              <w:bottom w:type="dxa" w:w="80"/>
              <w:right w:type="dxa" w:w="120"/>
            </w:tcMar>
            <w:vAlign w:val="center"/>
          </w:tcPr>
          <w:p>
            <w:r>
              <w:rPr>
                <w:rFonts w:ascii="Arial" w:cs="Arial" w:eastAsia="Arial" w:hAnsi="Arial"/>
                <w:i/>
                <w:iCs/>
                <w:color w:val="C45911"/>
                <w:sz w:val="18"/>
                <w:szCs w:val="18"/>
              </w:rPr>
              <w:t xml:space="preserve">HEDIS_DENOM_CURR</w:t>
            </w:r>
          </w:p>
        </w:tc>
        <w:tc>
          <w:tcPr>
            <w:tcW w:type="dxa" w:w="2000"/>
            <w:tcBorders>
              <w:top w:val="single" w:color="CCCCCC" w:sz="1"/>
              <w:left w:val="single" w:color="CCCCCC" w:sz="1"/>
              <w:bottom w:val="single" w:color="CCCCCC" w:sz="1"/>
              <w:right w:val="single" w:color="CCCCCC" w:sz="1"/>
            </w:tcBorders>
            <w:shd w:fill="FCE8D5" w:val="clear"/>
            <w:tcMar>
              <w:top w:type="dxa" w:w="80"/>
              <w:left w:type="dxa" w:w="120"/>
              <w:bottom w:type="dxa" w:w="80"/>
              <w:right w:type="dxa" w:w="120"/>
            </w:tcMar>
            <w:vAlign w:val="center"/>
          </w:tcPr>
          <w:p>
            <w:r>
              <w:rPr>
                <w:rFonts w:ascii="Arial" w:cs="Arial" w:eastAsia="Arial" w:hAnsi="Arial"/>
                <w:i/>
                <w:iCs/>
                <w:color w:val="C45911"/>
                <w:sz w:val="18"/>
                <w:szCs w:val="18"/>
              </w:rPr>
              <w:t xml:space="preserve">MEASURE_CD, MEAS_YR, MBR_ID</w:t>
            </w:r>
          </w:p>
        </w:tc>
      </w:tr>
      <w:tr>
        <w:tc>
          <w:tcPr>
            <w:tcW w:type="dxa" w:w="4200"/>
            <w:tcBorders>
              <w:top w:val="single" w:color="CCCCCC" w:sz="1"/>
              <w:left w:val="single" w:color="CCCCCC" w:sz="1"/>
              <w:bottom w:val="single" w:color="CCCCCC" w:sz="1"/>
              <w:right w:val="single" w:color="CCCCCC" w:sz="1"/>
            </w:tcBorders>
            <w:shd w:fill="FCE8D5" w:val="clear"/>
            <w:tcMar>
              <w:top w:type="dxa" w:w="80"/>
              <w:left w:type="dxa" w:w="120"/>
              <w:bottom w:type="dxa" w:w="80"/>
              <w:right w:type="dxa" w:w="120"/>
            </w:tcMar>
            <w:vAlign w:val="center"/>
          </w:tcPr>
          <w:p>
            <w:r>
              <w:rPr>
                <w:rFonts w:ascii="Arial" w:cs="Arial" w:eastAsia="Arial" w:hAnsi="Arial"/>
                <w:i w:val="false"/>
                <w:iCs w:val="false"/>
                <w:color w:val="C45911"/>
                <w:sz w:val="18"/>
                <w:szCs w:val="18"/>
              </w:rPr>
              <w:t xml:space="preserve">DISQUALIFIER: Member has a hypertension dx on 2+ distinct dates in measurement year (denominator criteria already met — standard gap rule should fire)</w:t>
            </w:r>
          </w:p>
        </w:tc>
        <w:tc>
          <w:tcPr>
            <w:tcW w:type="dxa" w:w="1000"/>
            <w:tcBorders>
              <w:top w:val="single" w:color="CCCCCC" w:sz="1"/>
              <w:left w:val="single" w:color="CCCCCC" w:sz="1"/>
              <w:bottom w:val="single" w:color="CCCCCC" w:sz="1"/>
              <w:right w:val="single" w:color="CCCCCC" w:sz="1"/>
            </w:tcBorders>
            <w:shd w:fill="FCE8D5" w:val="clear"/>
            <w:tcMar>
              <w:top w:type="dxa" w:w="80"/>
              <w:left w:type="dxa" w:w="120"/>
              <w:bottom w:type="dxa" w:w="80"/>
              <w:right w:type="dxa" w:w="120"/>
            </w:tcMar>
            <w:vAlign w:val="center"/>
          </w:tcPr>
          <w:p>
            <w:r>
              <w:rPr>
                <w:rFonts w:ascii="Arial" w:cs="Arial" w:eastAsia="Arial" w:hAnsi="Arial"/>
                <w:i w:val="false"/>
                <w:iCs w:val="false"/>
                <w:color w:val="C45911"/>
                <w:sz w:val="18"/>
                <w:szCs w:val="18"/>
              </w:rPr>
              <w:t xml:space="preserve">EXCLUDE</w:t>
            </w:r>
          </w:p>
        </w:tc>
        <w:tc>
          <w:tcPr>
            <w:tcW w:type="dxa" w:w="2160"/>
            <w:tcBorders>
              <w:top w:val="single" w:color="CCCCCC" w:sz="1"/>
              <w:left w:val="single" w:color="CCCCCC" w:sz="1"/>
              <w:bottom w:val="single" w:color="CCCCCC" w:sz="1"/>
              <w:right w:val="single" w:color="CCCCCC" w:sz="1"/>
            </w:tcBorders>
            <w:shd w:fill="FCE8D5" w:val="clear"/>
            <w:tcMar>
              <w:top w:type="dxa" w:w="80"/>
              <w:left w:type="dxa" w:w="120"/>
              <w:bottom w:type="dxa" w:w="80"/>
              <w:right w:type="dxa" w:w="120"/>
            </w:tcMar>
            <w:vAlign w:val="center"/>
          </w:tcPr>
          <w:p>
            <w:r>
              <w:rPr>
                <w:rFonts w:ascii="Arial" w:cs="Arial" w:eastAsia="Arial" w:hAnsi="Arial"/>
                <w:i/>
                <w:iCs/>
                <w:color w:val="C45911"/>
                <w:sz w:val="18"/>
                <w:szCs w:val="18"/>
              </w:rPr>
              <w:t xml:space="preserve">CLAIMS_DX</w:t>
            </w:r>
          </w:p>
        </w:tc>
        <w:tc>
          <w:tcPr>
            <w:tcW w:type="dxa" w:w="2000"/>
            <w:tcBorders>
              <w:top w:val="single" w:color="CCCCCC" w:sz="1"/>
              <w:left w:val="single" w:color="CCCCCC" w:sz="1"/>
              <w:bottom w:val="single" w:color="CCCCCC" w:sz="1"/>
              <w:right w:val="single" w:color="CCCCCC" w:sz="1"/>
            </w:tcBorders>
            <w:shd w:fill="FCE8D5" w:val="clear"/>
            <w:tcMar>
              <w:top w:type="dxa" w:w="80"/>
              <w:left w:type="dxa" w:w="120"/>
              <w:bottom w:type="dxa" w:w="80"/>
              <w:right w:type="dxa" w:w="120"/>
            </w:tcMar>
            <w:vAlign w:val="center"/>
          </w:tcPr>
          <w:p>
            <w:r>
              <w:rPr>
                <w:rFonts w:ascii="Arial" w:cs="Arial" w:eastAsia="Arial" w:hAnsi="Arial"/>
                <w:i/>
                <w:iCs/>
                <w:color w:val="C45911"/>
                <w:sz w:val="18"/>
                <w:szCs w:val="18"/>
              </w:rPr>
              <w:t xml:space="preserve">ICD_CD, SVC_DT, COUNT(DISTINCT SVC_DT)</w:t>
            </w:r>
          </w:p>
        </w:tc>
      </w:tr>
    </w:tbl>
    <w:p>
      <w:pPr>
        <w:spacing w:after="160" w:before="0"/>
      </w:pPr>
    </w:p>
    <w:p>
      <w:pPr>
        <w:spacing w:after="60" w:before="200"/>
      </w:pPr>
      <w:r>
        <w:rPr>
          <w:rFonts w:ascii="Arial" w:cs="Arial" w:eastAsia="Arial" w:hAnsi="Arial"/>
          <w:b/>
          <w:bCs/>
          <w:color w:val="000000"/>
          <w:sz w:val="21"/>
          <w:szCs w:val="21"/>
        </w:rPr>
        <w:t xml:space="preserve">3.3  Scoring &amp; Threshold Logic</w:t>
      </w:r>
    </w:p>
    <w:p>
      <w:pPr>
        <w:spacing w:after="60" w:before="60"/>
      </w:pPr>
      <w:r>
        <w:rPr>
          <w:rFonts w:ascii="Arial" w:cs="Arial" w:eastAsia="Arial" w:hAnsi="Arial"/>
          <w:sz w:val="20"/>
          <w:szCs w:val="20"/>
        </w:rPr>
        <w:t xml:space="preserve">The token score is the sum of all applicable signal point values for a given member, evaluated after disqualifier exclusion. The following pseudo-logic describes the accumulation and routing decision:</w:t>
      </w:r>
    </w:p>
    <w:p>
      <w:pPr>
        <w:spacing w:after="80" w:before="0"/>
      </w:pPr>
    </w:p>
    <w:p>
      <w:pPr>
        <w:spacing w:after="60" w:before="60"/>
        <w:ind w:left="720"/>
      </w:pPr>
      <w:r>
        <w:rPr>
          <w:rFonts w:ascii="Courier New" w:cs="Courier New" w:eastAsia="Courier New" w:hAnsi="Courier New"/>
          <w:color w:val="1A3A5C"/>
          <w:sz w:val="18"/>
          <w:szCs w:val="18"/>
        </w:rPr>
        <w:t xml:space="preserve">PRE_DENOM_CBP_SCORE(member):</w:t>
      </w:r>
    </w:p>
    <w:p>
      <w:pPr>
        <w:spacing w:after="60" w:before="60"/>
        <w:ind w:left="720"/>
      </w:pPr>
      <w:r>
        <w:rPr>
          <w:rFonts w:ascii="Courier New" w:cs="Courier New" w:eastAsia="Courier New" w:hAnsi="Courier New"/>
          <w:color w:val="1A3A5C"/>
          <w:sz w:val="18"/>
          <w:szCs w:val="18"/>
        </w:rPr>
        <w:t xml:space="preserve">  IF disqualifier_check(member) = TRUE THEN RETURN NULL  -- excluded</w:t>
      </w:r>
    </w:p>
    <w:p>
      <w:pPr>
        <w:spacing w:after="60" w:before="60"/>
        <w:ind w:left="720"/>
      </w:pPr>
      <w:r>
        <w:rPr>
          <w:rFonts w:ascii="Courier New" w:cs="Courier New" w:eastAsia="Courier New" w:hAnsi="Courier New"/>
          <w:color w:val="1A3A5C"/>
          <w:sz w:val="18"/>
          <w:szCs w:val="18"/>
        </w:rPr>
        <w:t xml:space="preserve">  score = 0</w:t>
      </w:r>
    </w:p>
    <w:p>
      <w:pPr>
        <w:spacing w:after="60" w:before="60"/>
        <w:ind w:left="720"/>
      </w:pPr>
      <w:r>
        <w:rPr>
          <w:rFonts w:ascii="Courier New" w:cs="Courier New" w:eastAsia="Courier New" w:hAnsi="Courier New"/>
          <w:color w:val="1A3A5C"/>
          <w:sz w:val="18"/>
          <w:szCs w:val="18"/>
        </w:rPr>
        <w:t xml:space="preserve">  FOR EACH signal IN [CBP_ONE_DX, CBP_MED_NO_DX, CBP_R030, CBP_LAPSED,</w:t>
      </w:r>
    </w:p>
    <w:p>
      <w:pPr>
        <w:spacing w:after="60" w:before="60"/>
        <w:ind w:left="720"/>
      </w:pPr>
      <w:r>
        <w:rPr>
          <w:rFonts w:ascii="Courier New" w:cs="Courier New" w:eastAsia="Courier New" w:hAnsi="Courier New"/>
          <w:color w:val="1A3A5C"/>
          <w:sz w:val="18"/>
          <w:szCs w:val="18"/>
        </w:rPr>
        <w:t xml:space="preserve">                       CBP_OBESITY, CBP_COMORBID, CBP_AGE_BAND]:</w:t>
      </w:r>
    </w:p>
    <w:p>
      <w:pPr>
        <w:spacing w:after="60" w:before="60"/>
        <w:ind w:left="720"/>
      </w:pPr>
      <w:r>
        <w:rPr>
          <w:rFonts w:ascii="Courier New" w:cs="Courier New" w:eastAsia="Courier New" w:hAnsi="Courier New"/>
          <w:color w:val="1A3A5C"/>
          <w:sz w:val="18"/>
          <w:szCs w:val="18"/>
        </w:rPr>
        <w:t xml:space="preserve">    IF signal.evaluate(member) = TRUE THEN score += signal.points</w:t>
      </w:r>
    </w:p>
    <w:p>
      <w:pPr>
        <w:spacing w:after="60" w:before="60"/>
        <w:ind w:left="720"/>
      </w:pPr>
      <w:r>
        <w:rPr>
          <w:rFonts w:ascii="Courier New" w:cs="Courier New" w:eastAsia="Courier New" w:hAnsi="Courier New"/>
          <w:color w:val="1A3A5C"/>
          <w:sz w:val="18"/>
          <w:szCs w:val="18"/>
        </w:rPr>
        <w:t xml:space="preserve">  RETURN score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r>
              <w:rPr>
                <w:rFonts w:ascii="Arial" w:cs="Arial" w:eastAsia="Arial" w:hAnsi="Arial"/>
                <w:b/>
                <w:bCs/>
                <w:color w:val="FFFFFF"/>
                <w:sz w:val="19"/>
                <w:szCs w:val="19"/>
              </w:rPr>
              <w:t xml:space="preserve">Score</w:t>
            </w:r>
          </w:p>
        </w:tc>
        <w:tc>
          <w:tcPr>
            <w:tcW w:type="dxa" w:w="200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576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r>
              <w:rPr>
                <w:rFonts w:ascii="Arial" w:cs="Arial" w:eastAsia="Arial" w:hAnsi="Arial"/>
                <w:b/>
                <w:bCs/>
                <w:color w:val="FFFFFF"/>
                <w:sz w:val="19"/>
                <w:szCs w:val="19"/>
              </w:rPr>
              <w:t xml:space="preserve">Recommended Action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&lt;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No Action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Member does not meet minimum threshold. No IHWA routing. Suppress output.</w:t>
            </w:r>
          </w:p>
        </w:tc>
      </w:tr>
      <w:tr>
        <w:tc>
          <w:tcPr>
            <w:tcW w:type="dxa" w:w="16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tcPr>
          <w:p>
            <w:r>
              <w:rPr>
                <w:rFonts w:ascii="Arial" w:cs="Arial" w:eastAsia="Arial" w:hAnsi="Arial"/>
                <w:b/>
                <w:bCs/>
                <w:sz w:val="18"/>
                <w:szCs w:val="18"/>
              </w:rPr>
              <w:t xml:space="preserve">3 – 4</w:t>
            </w:r>
          </w:p>
        </w:tc>
        <w:tc>
          <w:tcPr>
            <w:tcW w:type="dxa" w:w="20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tcPr>
          <w:p>
            <w:r>
              <w:rPr>
                <w:rFonts w:ascii="Arial" w:cs="Arial" w:eastAsia="Arial" w:hAnsi="Arial"/>
                <w:b/>
                <w:bCs/>
                <w:sz w:val="18"/>
                <w:szCs w:val="18"/>
              </w:rPr>
              <w:t xml:space="preserve">Standard</w:t>
            </w:r>
          </w:p>
        </w:tc>
        <w:tc>
          <w:tcPr>
            <w:tcW w:type="dxa" w:w="576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tcPr>
          <w:p>
            <w:r>
              <w:rPr>
                <w:rFonts w:ascii="Arial" w:cs="Arial" w:eastAsia="Arial" w:hAnsi="Arial"/>
                <w:b w:val="false"/>
                <w:bCs w:val="false"/>
                <w:sz w:val="18"/>
                <w:szCs w:val="18"/>
              </w:rPr>
              <w:t xml:space="preserve">Route to IHWA queue — standard priority. Clinician to assess BP, confirm or rule out hypertension diagnosis.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&gt;=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HIGH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Route to IHWA queue — elevated priority. Member likely one clinical encounter away from denominator entry. Expedite IHWA scheduling.</w:t>
            </w:r>
          </w:p>
        </w:tc>
      </w:tr>
    </w:tbl>
    <w:p>
      <w:pPr>
        <w:spacing w:after="160" w:before="0"/>
      </w:pPr>
    </w:p>
    <w:p>
      <w:pPr>
        <w:spacing w:after="60" w:before="200"/>
      </w:pPr>
      <w:r>
        <w:rPr>
          <w:rFonts w:ascii="Arial" w:cs="Arial" w:eastAsia="Arial" w:hAnsi="Arial"/>
          <w:b/>
          <w:bCs/>
          <w:color w:val="000000"/>
          <w:sz w:val="21"/>
          <w:szCs w:val="21"/>
        </w:rPr>
        <w:t xml:space="preserve">3.4  Lookback Window Definitions</w:t>
      </w:r>
    </w:p>
    <w:p>
      <w:pPr>
        <w:pStyle w:val="ListParagraph"/>
        <w:numPr>
          <w:ilvl w:val="0"/>
          <w:numId w:val="2"/>
        </w:numPr>
        <w:spacing w:after="40" w:before="40"/>
      </w:pPr>
      <w:r>
        <w:rPr>
          <w:rFonts w:ascii="Arial" w:cs="Arial" w:eastAsia="Arial" w:hAnsi="Arial"/>
          <w:b w:val="false"/>
          <w:bCs w:val="false"/>
          <w:sz w:val="20"/>
          <w:szCs w:val="20"/>
        </w:rPr>
        <w:t xml:space="preserve">CBP_ONE_DX signal: 24-month rolling lookback from token run date (catches prior-year dx that did not recur in current year)</w:t>
      </w:r>
    </w:p>
    <w:p>
      <w:pPr>
        <w:pStyle w:val="ListParagraph"/>
        <w:numPr>
          <w:ilvl w:val="0"/>
          <w:numId w:val="2"/>
        </w:numPr>
        <w:spacing w:after="40" w:before="40"/>
      </w:pPr>
      <w:r>
        <w:rPr>
          <w:rFonts w:ascii="Arial" w:cs="Arial" w:eastAsia="Arial" w:hAnsi="Arial"/>
          <w:b w:val="false"/>
          <w:bCs w:val="false"/>
          <w:sz w:val="20"/>
          <w:szCs w:val="20"/>
        </w:rPr>
        <w:t xml:space="preserve">CBP_MED_NO_DX signal: Active dispense in last 12 months (FILL_DT &gt;= run date minus 365 days AND DAYS_SUPPLY covers run date or extends beyond)</w:t>
      </w:r>
    </w:p>
    <w:p>
      <w:pPr>
        <w:pStyle w:val="ListParagraph"/>
        <w:numPr>
          <w:ilvl w:val="0"/>
          <w:numId w:val="2"/>
        </w:numPr>
        <w:spacing w:after="40" w:before="40"/>
      </w:pPr>
      <w:r>
        <w:rPr>
          <w:rFonts w:ascii="Arial" w:cs="Arial" w:eastAsia="Arial" w:hAnsi="Arial"/>
          <w:b w:val="false"/>
          <w:bCs w:val="false"/>
          <w:sz w:val="20"/>
          <w:szCs w:val="20"/>
        </w:rPr>
        <w:t xml:space="preserve">CBP_R030 signal: 24-month rolling lookback — elevated BP encounter may predate a near-future diagnosis</w:t>
      </w:r>
    </w:p>
    <w:p>
      <w:pPr>
        <w:pStyle w:val="ListParagraph"/>
        <w:numPr>
          <w:ilvl w:val="0"/>
          <w:numId w:val="2"/>
        </w:numPr>
        <w:spacing w:after="40" w:before="40"/>
      </w:pPr>
      <w:r>
        <w:rPr>
          <w:rFonts w:ascii="Arial" w:cs="Arial" w:eastAsia="Arial" w:hAnsi="Arial"/>
          <w:b w:val="false"/>
          <w:bCs w:val="false"/>
          <w:sz w:val="20"/>
          <w:szCs w:val="20"/>
        </w:rPr>
        <w:t xml:space="preserve">CBP_LAPSED signal: Denominator membership in immediately prior measurement year only (MEAS_YR = current year minus 1)</w:t>
      </w:r>
    </w:p>
    <w:p>
      <w:pPr>
        <w:pStyle w:val="ListParagraph"/>
        <w:numPr>
          <w:ilvl w:val="0"/>
          <w:numId w:val="2"/>
        </w:numPr>
        <w:spacing w:after="40" w:before="40"/>
      </w:pPr>
      <w:r>
        <w:rPr>
          <w:rFonts w:ascii="Arial" w:cs="Arial" w:eastAsia="Arial" w:hAnsi="Arial"/>
          <w:b w:val="false"/>
          <w:bCs w:val="false"/>
          <w:sz w:val="20"/>
          <w:szCs w:val="20"/>
        </w:rPr>
        <w:t xml:space="preserve">CBP_OBESITY, CBP_COMORBID signals: 24-month rolling lookback</w:t>
      </w:r>
    </w:p>
    <w:p>
      <w:pPr>
        <w:pStyle w:val="ListParagraph"/>
        <w:numPr>
          <w:ilvl w:val="0"/>
          <w:numId w:val="2"/>
        </w:numPr>
        <w:spacing w:after="40" w:before="40"/>
      </w:pPr>
      <w:r>
        <w:rPr>
          <w:rFonts w:ascii="Arial" w:cs="Arial" w:eastAsia="Arial" w:hAnsi="Arial"/>
          <w:b w:val="false"/>
          <w:bCs w:val="false"/>
          <w:sz w:val="20"/>
          <w:szCs w:val="20"/>
        </w:rPr>
        <w:t xml:space="preserve">CBP_AGE_BAND signal: Evaluated at token run date — not time-bounded</w:t>
      </w:r>
    </w:p>
    <w:p>
      <w:pPr>
        <w:spacing w:after="160" w:before="0"/>
      </w:pPr>
    </w:p>
    <w:p>
      <w:pPr>
        <w:spacing w:after="60" w:before="200"/>
      </w:pPr>
      <w:r>
        <w:rPr>
          <w:rFonts w:ascii="Arial" w:cs="Arial" w:eastAsia="Arial" w:hAnsi="Arial"/>
          <w:b/>
          <w:bCs/>
          <w:color w:val="000000"/>
          <w:sz w:val="21"/>
          <w:szCs w:val="21"/>
        </w:rPr>
        <w:t xml:space="preserve">3.5  Sample Token Output Record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96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r>
              <w:rPr>
                <w:rFonts w:ascii="Arial" w:cs="Arial" w:eastAsia="Arial" w:hAnsi="Arial"/>
                <w:b/>
                <w:bCs/>
                <w:color w:val="FFFFFF"/>
                <w:sz w:val="19"/>
                <w:szCs w:val="19"/>
              </w:rPr>
              <w:t xml:space="preserve">Example 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Member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MBR-00284819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Token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PRE_DENOM_CBP_SCORE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Run 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2026-03-01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Score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Priority Tier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Triggered Signals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CBP_ONE_DX (3 pts), CBP_MED_NO_DX (2 pts), CBP_AGE_BAND (1 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Disqualifier Check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PASSED — not in active CBP denominator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Recommended Action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Route to IHWA — assess BP, confirm hypertension dx, document encounter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IHWA Clinician Note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Member has 1 hypertension dx on record (2024-11-14) and active lisinopril dispense. Second qualifying encounter would establish denominator eligibility.</w:t>
            </w:r>
          </w:p>
        </w:tc>
      </w:tr>
    </w:tbl>
    <w:p>
      <w:pPr>
        <w:spacing w:after="200" w:before="0"/>
      </w:pPr>
    </w:p>
    <w:p>
      <w:r>
        <w:br w:type="page"/>
      </w:r>
    </w:p>
    <w:p>
      <w:pPr>
        <w:pStyle w:val="Heading2"/>
      </w:pPr>
      <w:r>
        <w:rPr>
          <w:rFonts w:ascii="Arial" w:cs="Arial" w:eastAsia="Arial" w:hAnsi="Arial"/>
          <w:b/>
          <w:bCs/>
          <w:color w:val="1A7A6E"/>
          <w:sz w:val="26"/>
          <w:szCs w:val="26"/>
        </w:rPr>
        <w:t xml:space="preserve">4.  Token: PRE_DENOM_GSD_SCORE</w:t>
      </w:r>
    </w:p>
    <w:p>
      <w:pPr>
        <w:pBdr>
          <w:bottom w:val="single" w:color="1A7A6E" w:sz="8" w:space="1"/>
        </w:pBdr>
        <w:spacing w:after="120" w:before="0"/>
      </w:pPr>
    </w:p>
    <w:p>
      <w:pPr>
        <w:spacing w:after="60" w:before="200"/>
      </w:pPr>
      <w:r>
        <w:rPr>
          <w:rFonts w:ascii="Arial" w:cs="Arial" w:eastAsia="Arial" w:hAnsi="Arial"/>
          <w:b/>
          <w:bCs/>
          <w:color w:val="000000"/>
          <w:sz w:val="21"/>
          <w:szCs w:val="21"/>
        </w:rPr>
        <w:t xml:space="preserve">4.1  Overview</w:t>
      </w:r>
    </w:p>
    <w:p>
      <w:pPr>
        <w:spacing w:after="60" w:before="60"/>
      </w:pPr>
      <w:r>
        <w:rPr>
          <w:rFonts w:ascii="Arial" w:cs="Arial" w:eastAsia="Arial" w:hAnsi="Arial"/>
          <w:sz w:val="20"/>
          <w:szCs w:val="20"/>
        </w:rPr>
        <w:t xml:space="preserve">Identifies members who are not yet in the GSD (Glycemic Status for Diabetes) denominator but carry clinical, pharmacological, or laboratory signals that indicate probable near-term diabetes diagnosis or denominator entry. GSD requires an established diabetes diagnosis — typically two outpatient encounters with a diabetes ICD-10 code on different service dates, or one inpatient encounter, or a dispensed insulin or oral hypoglycemic medication. This token surfaces members who are one event away from that threshold, or who have metabolic risk profiles strongly associated with undiagnosed or undercoded diabetes.</w:t>
      </w:r>
    </w:p>
    <w:p>
      <w:pPr>
        <w:spacing w:after="120" w:before="0"/>
      </w:pPr>
    </w:p>
    <w:p>
      <w:pPr>
        <w:spacing w:after="60" w:before="60"/>
      </w:pPr>
      <w:r>
        <w:rPr>
          <w:rFonts w:ascii="Arial" w:cs="Arial" w:eastAsia="Arial" w:hAnsi="Arial"/>
          <w:b/>
          <w:bCs/>
          <w:sz w:val="20"/>
          <w:szCs w:val="20"/>
        </w:rPr>
        <w:t xml:space="preserve">Token ID:  </w:t>
      </w:r>
      <w:r>
        <w:rPr>
          <w:rFonts w:ascii="Arial" w:cs="Arial" w:eastAsia="Arial" w:hAnsi="Arial"/>
          <w:sz w:val="20"/>
          <w:szCs w:val="20"/>
        </w:rPr>
        <w:t xml:space="preserve">PRE_DENOM_GSD_SCORE</w:t>
      </w:r>
    </w:p>
    <w:p>
      <w:pPr>
        <w:spacing w:after="60" w:before="60"/>
      </w:pPr>
      <w:r>
        <w:rPr>
          <w:rFonts w:ascii="Arial" w:cs="Arial" w:eastAsia="Arial" w:hAnsi="Arial"/>
          <w:b/>
          <w:bCs/>
          <w:sz w:val="20"/>
          <w:szCs w:val="20"/>
        </w:rPr>
        <w:t xml:space="preserve">Measure:  </w:t>
      </w:r>
      <w:r>
        <w:rPr>
          <w:rFonts w:ascii="Arial" w:cs="Arial" w:eastAsia="Arial" w:hAnsi="Arial"/>
          <w:sz w:val="20"/>
          <w:szCs w:val="20"/>
        </w:rPr>
        <w:t xml:space="preserve">GSD — Glycemic Status for Diabetes (HEDIS MY 2026)</w:t>
      </w:r>
    </w:p>
    <w:p>
      <w:pPr>
        <w:spacing w:after="60" w:before="60"/>
      </w:pPr>
      <w:r>
        <w:rPr>
          <w:rFonts w:ascii="Arial" w:cs="Arial" w:eastAsia="Arial" w:hAnsi="Arial"/>
          <w:b/>
          <w:bCs/>
          <w:sz w:val="20"/>
          <w:szCs w:val="20"/>
        </w:rPr>
        <w:t xml:space="preserve">Denominator Basis:  </w:t>
      </w:r>
      <w:r>
        <w:rPr>
          <w:rFonts w:ascii="Arial" w:cs="Arial" w:eastAsia="Arial" w:hAnsi="Arial"/>
          <w:sz w:val="20"/>
          <w:szCs w:val="20"/>
        </w:rPr>
        <w:t xml:space="preserve">Members 18–75 with established diabetes (2+ outpatient dx on different dates, or 1 inpatient dx, or qualifying diabetes medication)</w:t>
      </w:r>
    </w:p>
    <w:p>
      <w:pPr>
        <w:spacing w:after="60" w:before="60"/>
      </w:pPr>
      <w:r>
        <w:rPr>
          <w:rFonts w:ascii="Arial" w:cs="Arial" w:eastAsia="Arial" w:hAnsi="Arial"/>
          <w:b/>
          <w:bCs/>
          <w:sz w:val="20"/>
          <w:szCs w:val="20"/>
        </w:rPr>
        <w:t xml:space="preserve">Token Type:  </w:t>
      </w:r>
      <w:r>
        <w:rPr>
          <w:rFonts w:ascii="Arial" w:cs="Arial" w:eastAsia="Arial" w:hAnsi="Arial"/>
          <w:sz w:val="20"/>
          <w:szCs w:val="20"/>
        </w:rPr>
        <w:t xml:space="preserve">Weighted accumulation score with threshold routing</w:t>
      </w:r>
    </w:p>
    <w:p>
      <w:pPr>
        <w:spacing w:after="60" w:before="60"/>
      </w:pPr>
      <w:r>
        <w:rPr>
          <w:rFonts w:ascii="Arial" w:cs="Arial" w:eastAsia="Arial" w:hAnsi="Arial"/>
          <w:b/>
          <w:bCs/>
          <w:sz w:val="20"/>
          <w:szCs w:val="20"/>
        </w:rPr>
        <w:t xml:space="preserve">Fire Condition:  </w:t>
      </w:r>
      <w:r>
        <w:rPr>
          <w:rFonts w:ascii="Arial" w:cs="Arial" w:eastAsia="Arial" w:hAnsi="Arial"/>
          <w:sz w:val="20"/>
          <w:szCs w:val="20"/>
        </w:rPr>
        <w:t xml:space="preserve">Score &gt;= 3 AND disqualifier check passes</w:t>
      </w:r>
    </w:p>
    <w:p>
      <w:pPr>
        <w:spacing w:after="160" w:before="0"/>
      </w:pPr>
    </w:p>
    <w:p>
      <w:pPr>
        <w:spacing w:after="60" w:before="200"/>
      </w:pPr>
      <w:r>
        <w:rPr>
          <w:rFonts w:ascii="Arial" w:cs="Arial" w:eastAsia="Arial" w:hAnsi="Arial"/>
          <w:b/>
          <w:bCs/>
          <w:color w:val="000000"/>
          <w:sz w:val="21"/>
          <w:szCs w:val="21"/>
        </w:rPr>
        <w:t xml:space="preserve">4.2  Signal Definitions &amp; Scoring</w:t>
      </w:r>
    </w:p>
    <w:p>
      <w:pPr>
        <w:spacing w:after="60" w:before="60"/>
      </w:pPr>
      <w:r>
        <w:rPr>
          <w:rFonts w:ascii="Arial" w:cs="Arial" w:eastAsia="Arial" w:hAnsi="Arial"/>
          <w:sz w:val="20"/>
          <w:szCs w:val="20"/>
        </w:rPr>
        <w:t xml:space="preserve">Each signal below is evaluated independently. Signals that are true for a member contribute their point value to the member’s total PRE_DENOM_GSD_SCORE. Disqualifier signals exclude the member from token output regardless of score.</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000"/>
        <w:gridCol w:w="2160"/>
        <w:gridCol w:w="2000"/>
      </w:tblGrid>
      <w:tr>
        <w:trPr>
          <w:tblHeader/>
        </w:trPr>
        <w:tc>
          <w:tcPr>
            <w:tcW w:type="dxa" w:w="420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vAlign w:val="center"/>
          </w:tcPr>
          <w:p>
            <w:r>
              <w:rPr>
                <w:rFonts w:ascii="Arial" w:cs="Arial" w:eastAsia="Arial" w:hAnsi="Arial"/>
                <w:b/>
                <w:bCs/>
                <w:color w:val="FFFFFF"/>
                <w:sz w:val="19"/>
                <w:szCs w:val="19"/>
              </w:rPr>
              <w:t xml:space="preserve">Signal Description</w:t>
            </w:r>
          </w:p>
        </w:tc>
        <w:tc>
          <w:tcPr>
            <w:tcW w:type="dxa" w:w="100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vAlign w:val="center"/>
          </w:tcPr>
          <w:p>
            <w:r>
              <w:rPr>
                <w:rFonts w:ascii="Arial" w:cs="Arial" w:eastAsia="Arial" w:hAnsi="Arial"/>
                <w:b/>
                <w:bCs/>
                <w:color w:val="FFFFFF"/>
                <w:sz w:val="19"/>
                <w:szCs w:val="19"/>
              </w:rPr>
              <w:t xml:space="preserve">Pts</w:t>
            </w:r>
          </w:p>
        </w:tc>
        <w:tc>
          <w:tcPr>
            <w:tcW w:type="dxa" w:w="216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vAlign w:val="center"/>
          </w:tcPr>
          <w:p>
            <w:r>
              <w:rPr>
                <w:rFonts w:ascii="Arial" w:cs="Arial" w:eastAsia="Arial" w:hAnsi="Arial"/>
                <w:b/>
                <w:bCs/>
                <w:color w:val="FFFFFF"/>
                <w:sz w:val="19"/>
                <w:szCs w:val="19"/>
              </w:rPr>
              <w:t xml:space="preserve">Source Table</w:t>
            </w:r>
          </w:p>
        </w:tc>
        <w:tc>
          <w:tcPr>
            <w:tcW w:type="dxa" w:w="200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vAlign w:val="center"/>
          </w:tcPr>
          <w:p>
            <w:r>
              <w:rPr>
                <w:rFonts w:ascii="Arial" w:cs="Arial" w:eastAsia="Arial" w:hAnsi="Arial"/>
                <w:b/>
                <w:bCs/>
                <w:color w:val="FFFFFF"/>
                <w:sz w:val="19"/>
                <w:szCs w:val="19"/>
              </w:rPr>
              <w:t xml:space="preserve">Key Fields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Exactly 1 diabetes dx on record (ICD-10: E10.x, E11.x, E13.x) in any rolling 24-month window — a single date only (insufficient for denominator entry without additional qualifying event)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CLAIMS_DX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ICD_CD, SVC_DT, MBR_ID, VISIT_TYPE_CD</w:t>
            </w:r>
          </w:p>
        </w:tc>
      </w:tr>
      <w:tr>
        <w:tc>
          <w:tcPr>
            <w:tcW w:type="dxa" w:w="42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Active metformin dispense with no diabetes dx on record — metformin is the primary indicator of pre-diabetes clinical management</w:t>
            </w:r>
          </w:p>
        </w:tc>
        <w:tc>
          <w:tcPr>
            <w:tcW w:type="dxa" w:w="10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2</w:t>
            </w:r>
          </w:p>
        </w:tc>
        <w:tc>
          <w:tcPr>
            <w:tcW w:type="dxa" w:w="216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PHARMACY_CLAIMS</w:t>
            </w:r>
          </w:p>
        </w:tc>
        <w:tc>
          <w:tcPr>
            <w:tcW w:type="dxa" w:w="20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NDC_CD, GENERIC_NM, FILL_DT, DAYS_SUPPLY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Active GLP-1 agonist or SGLT2 inhibitor dispense with no diabetes dx on record (drug classes increasingly prescribed for weight/cardiac indications but with high diabetes co-occurrence)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PHARMACY_CLAIMS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NDC_CD, DRUG_CLASS_CD, FILL_DT, DAYS_SUPPLY</w:t>
            </w:r>
          </w:p>
        </w:tc>
      </w:tr>
      <w:tr>
        <w:tc>
          <w:tcPr>
            <w:tcW w:type="dxa" w:w="42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Prediabetes dx on record (ICD-10: R73.09, R73.01) in current or prior 24-month window</w:t>
            </w:r>
          </w:p>
        </w:tc>
        <w:tc>
          <w:tcPr>
            <w:tcW w:type="dxa" w:w="10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2</w:t>
            </w:r>
          </w:p>
        </w:tc>
        <w:tc>
          <w:tcPr>
            <w:tcW w:type="dxa" w:w="216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CLAIMS_DX</w:t>
            </w:r>
          </w:p>
        </w:tc>
        <w:tc>
          <w:tcPr>
            <w:tcW w:type="dxa" w:w="20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ICD_CD, SVC_DT, MBR_ID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HbA1c lab result in 5.7%–6.4% range (prediabetic threshold) documented in prior 24 months — member is already being monitored, not yet coded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LAB_RESULTS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LOINC_CD (4548-4, 4549-2), RESULT_VAL, RESULT_DT</w:t>
            </w:r>
          </w:p>
        </w:tc>
      </w:tr>
      <w:tr>
        <w:tc>
          <w:tcPr>
            <w:tcW w:type="dxa" w:w="42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History of gestational diabetes (ICD-10: O24.4x, Z86.32) — post-GDM members have substantially elevated lifetime diabetes risk</w:t>
            </w:r>
          </w:p>
        </w:tc>
        <w:tc>
          <w:tcPr>
            <w:tcW w:type="dxa" w:w="10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1</w:t>
            </w:r>
          </w:p>
        </w:tc>
        <w:tc>
          <w:tcPr>
            <w:tcW w:type="dxa" w:w="216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CLAIMS_DX</w:t>
            </w:r>
          </w:p>
        </w:tc>
        <w:tc>
          <w:tcPr>
            <w:tcW w:type="dxa" w:w="20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ICD_CD, SVC_DT, MBR_ID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Co-occurrence of obesity (BMI &gt;= 30) AND dyslipidemia (ICD-10: E78.x) — metabolic syndrome clustering with no diabetes dx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CLAIMS_DX / LAB_RESULTS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ICD_CD, BMI_VAL, LDL_VAL, OBS_DT</w:t>
            </w:r>
          </w:p>
        </w:tc>
      </w:tr>
      <w:tr>
        <w:tc>
          <w:tcPr>
            <w:tcW w:type="dxa" w:w="42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Member age &gt;= 45 with no prior HbA1c or fasting glucose lab on record — age-based risk with absence of screening evidence</w:t>
            </w:r>
          </w:p>
        </w:tc>
        <w:tc>
          <w:tcPr>
            <w:tcW w:type="dxa" w:w="10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1</w:t>
            </w:r>
          </w:p>
        </w:tc>
        <w:tc>
          <w:tcPr>
            <w:tcW w:type="dxa" w:w="216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MEMBERSHIP / LAB_RESULTS</w:t>
            </w:r>
          </w:p>
        </w:tc>
        <w:tc>
          <w:tcPr>
            <w:tcW w:type="dxa" w:w="20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vAlign w:val="center"/>
          </w:tcPr>
          <w:p>
            <w:r>
              <w:rPr>
                <w:rFonts w:ascii="Arial" w:cs="Arial" w:eastAsia="Arial" w:hAnsi="Arial"/>
                <w:i w:val="false"/>
                <w:iCs w:val="false"/>
                <w:color w:val="000000"/>
                <w:sz w:val="18"/>
                <w:szCs w:val="18"/>
              </w:rPr>
              <w:t xml:space="preserve">DOB, CALC_AGE, LOINC_CD check</w:t>
            </w:r>
          </w:p>
        </w:tc>
      </w:tr>
      <w:tr>
        <w:tc>
          <w:tcPr>
            <w:tcW w:type="dxa" w:w="4200"/>
            <w:tcBorders>
              <w:top w:val="single" w:color="CCCCCC" w:sz="1"/>
              <w:left w:val="single" w:color="CCCCCC" w:sz="1"/>
              <w:bottom w:val="single" w:color="CCCCCC" w:sz="1"/>
              <w:right w:val="single" w:color="CCCCCC" w:sz="1"/>
            </w:tcBorders>
            <w:shd w:fill="FCE8D5" w:val="clear"/>
            <w:tcMar>
              <w:top w:type="dxa" w:w="80"/>
              <w:left w:type="dxa" w:w="120"/>
              <w:bottom w:type="dxa" w:w="80"/>
              <w:right w:type="dxa" w:w="120"/>
            </w:tcMar>
            <w:vAlign w:val="center"/>
          </w:tcPr>
          <w:p>
            <w:r>
              <w:rPr>
                <w:rFonts w:ascii="Arial" w:cs="Arial" w:eastAsia="Arial" w:hAnsi="Arial"/>
                <w:i w:val="false"/>
                <w:iCs w:val="false"/>
                <w:color w:val="C45911"/>
                <w:sz w:val="18"/>
                <w:szCs w:val="18"/>
              </w:rPr>
              <w:t xml:space="preserve">DISQUALIFIER: Member is currently in GSD denominator for active measurement year (already captured by existing gap rules)</w:t>
            </w:r>
          </w:p>
        </w:tc>
        <w:tc>
          <w:tcPr>
            <w:tcW w:type="dxa" w:w="1000"/>
            <w:tcBorders>
              <w:top w:val="single" w:color="CCCCCC" w:sz="1"/>
              <w:left w:val="single" w:color="CCCCCC" w:sz="1"/>
              <w:bottom w:val="single" w:color="CCCCCC" w:sz="1"/>
              <w:right w:val="single" w:color="CCCCCC" w:sz="1"/>
            </w:tcBorders>
            <w:shd w:fill="FCE8D5" w:val="clear"/>
            <w:tcMar>
              <w:top w:type="dxa" w:w="80"/>
              <w:left w:type="dxa" w:w="120"/>
              <w:bottom w:type="dxa" w:w="80"/>
              <w:right w:type="dxa" w:w="120"/>
            </w:tcMar>
            <w:vAlign w:val="center"/>
          </w:tcPr>
          <w:p>
            <w:r>
              <w:rPr>
                <w:rFonts w:ascii="Arial" w:cs="Arial" w:eastAsia="Arial" w:hAnsi="Arial"/>
                <w:i w:val="false"/>
                <w:iCs w:val="false"/>
                <w:color w:val="C45911"/>
                <w:sz w:val="18"/>
                <w:szCs w:val="18"/>
              </w:rPr>
              <w:t xml:space="preserve">EXCLUDE</w:t>
            </w:r>
          </w:p>
        </w:tc>
        <w:tc>
          <w:tcPr>
            <w:tcW w:type="dxa" w:w="2160"/>
            <w:tcBorders>
              <w:top w:val="single" w:color="CCCCCC" w:sz="1"/>
              <w:left w:val="single" w:color="CCCCCC" w:sz="1"/>
              <w:bottom w:val="single" w:color="CCCCCC" w:sz="1"/>
              <w:right w:val="single" w:color="CCCCCC" w:sz="1"/>
            </w:tcBorders>
            <w:shd w:fill="FCE8D5" w:val="clear"/>
            <w:tcMar>
              <w:top w:type="dxa" w:w="80"/>
              <w:left w:type="dxa" w:w="120"/>
              <w:bottom w:type="dxa" w:w="80"/>
              <w:right w:type="dxa" w:w="120"/>
            </w:tcMar>
            <w:vAlign w:val="center"/>
          </w:tcPr>
          <w:p>
            <w:r>
              <w:rPr>
                <w:rFonts w:ascii="Arial" w:cs="Arial" w:eastAsia="Arial" w:hAnsi="Arial"/>
                <w:i/>
                <w:iCs/>
                <w:color w:val="C45911"/>
                <w:sz w:val="18"/>
                <w:szCs w:val="18"/>
              </w:rPr>
              <w:t xml:space="preserve">HEDIS_DENOM_CURR</w:t>
            </w:r>
          </w:p>
        </w:tc>
        <w:tc>
          <w:tcPr>
            <w:tcW w:type="dxa" w:w="2000"/>
            <w:tcBorders>
              <w:top w:val="single" w:color="CCCCCC" w:sz="1"/>
              <w:left w:val="single" w:color="CCCCCC" w:sz="1"/>
              <w:bottom w:val="single" w:color="CCCCCC" w:sz="1"/>
              <w:right w:val="single" w:color="CCCCCC" w:sz="1"/>
            </w:tcBorders>
            <w:shd w:fill="FCE8D5" w:val="clear"/>
            <w:tcMar>
              <w:top w:type="dxa" w:w="80"/>
              <w:left w:type="dxa" w:w="120"/>
              <w:bottom w:type="dxa" w:w="80"/>
              <w:right w:type="dxa" w:w="120"/>
            </w:tcMar>
            <w:vAlign w:val="center"/>
          </w:tcPr>
          <w:p>
            <w:r>
              <w:rPr>
                <w:rFonts w:ascii="Arial" w:cs="Arial" w:eastAsia="Arial" w:hAnsi="Arial"/>
                <w:i/>
                <w:iCs/>
                <w:color w:val="C45911"/>
                <w:sz w:val="18"/>
                <w:szCs w:val="18"/>
              </w:rPr>
              <w:t xml:space="preserve">MEASURE_CD, MEAS_YR, MBR_ID</w:t>
            </w:r>
          </w:p>
        </w:tc>
      </w:tr>
      <w:tr>
        <w:tc>
          <w:tcPr>
            <w:tcW w:type="dxa" w:w="4200"/>
            <w:tcBorders>
              <w:top w:val="single" w:color="CCCCCC" w:sz="1"/>
              <w:left w:val="single" w:color="CCCCCC" w:sz="1"/>
              <w:bottom w:val="single" w:color="CCCCCC" w:sz="1"/>
              <w:right w:val="single" w:color="CCCCCC" w:sz="1"/>
            </w:tcBorders>
            <w:shd w:fill="FCE8D5" w:val="clear"/>
            <w:tcMar>
              <w:top w:type="dxa" w:w="80"/>
              <w:left w:type="dxa" w:w="120"/>
              <w:bottom w:type="dxa" w:w="80"/>
              <w:right w:type="dxa" w:w="120"/>
            </w:tcMar>
            <w:vAlign w:val="center"/>
          </w:tcPr>
          <w:p>
            <w:r>
              <w:rPr>
                <w:rFonts w:ascii="Arial" w:cs="Arial" w:eastAsia="Arial" w:hAnsi="Arial"/>
                <w:i w:val="false"/>
                <w:iCs w:val="false"/>
                <w:color w:val="C45911"/>
                <w:sz w:val="18"/>
                <w:szCs w:val="18"/>
              </w:rPr>
              <w:t xml:space="preserve">DISQUALIFIER: Member has diabetes dx on 2+ distinct dates in measurement year (denominator criteria already met — standard gap rule should fire)</w:t>
            </w:r>
          </w:p>
        </w:tc>
        <w:tc>
          <w:tcPr>
            <w:tcW w:type="dxa" w:w="1000"/>
            <w:tcBorders>
              <w:top w:val="single" w:color="CCCCCC" w:sz="1"/>
              <w:left w:val="single" w:color="CCCCCC" w:sz="1"/>
              <w:bottom w:val="single" w:color="CCCCCC" w:sz="1"/>
              <w:right w:val="single" w:color="CCCCCC" w:sz="1"/>
            </w:tcBorders>
            <w:shd w:fill="FCE8D5" w:val="clear"/>
            <w:tcMar>
              <w:top w:type="dxa" w:w="80"/>
              <w:left w:type="dxa" w:w="120"/>
              <w:bottom w:type="dxa" w:w="80"/>
              <w:right w:type="dxa" w:w="120"/>
            </w:tcMar>
            <w:vAlign w:val="center"/>
          </w:tcPr>
          <w:p>
            <w:r>
              <w:rPr>
                <w:rFonts w:ascii="Arial" w:cs="Arial" w:eastAsia="Arial" w:hAnsi="Arial"/>
                <w:i w:val="false"/>
                <w:iCs w:val="false"/>
                <w:color w:val="C45911"/>
                <w:sz w:val="18"/>
                <w:szCs w:val="18"/>
              </w:rPr>
              <w:t xml:space="preserve">EXCLUDE</w:t>
            </w:r>
          </w:p>
        </w:tc>
        <w:tc>
          <w:tcPr>
            <w:tcW w:type="dxa" w:w="2160"/>
            <w:tcBorders>
              <w:top w:val="single" w:color="CCCCCC" w:sz="1"/>
              <w:left w:val="single" w:color="CCCCCC" w:sz="1"/>
              <w:bottom w:val="single" w:color="CCCCCC" w:sz="1"/>
              <w:right w:val="single" w:color="CCCCCC" w:sz="1"/>
            </w:tcBorders>
            <w:shd w:fill="FCE8D5" w:val="clear"/>
            <w:tcMar>
              <w:top w:type="dxa" w:w="80"/>
              <w:left w:type="dxa" w:w="120"/>
              <w:bottom w:type="dxa" w:w="80"/>
              <w:right w:type="dxa" w:w="120"/>
            </w:tcMar>
            <w:vAlign w:val="center"/>
          </w:tcPr>
          <w:p>
            <w:r>
              <w:rPr>
                <w:rFonts w:ascii="Arial" w:cs="Arial" w:eastAsia="Arial" w:hAnsi="Arial"/>
                <w:i/>
                <w:iCs/>
                <w:color w:val="C45911"/>
                <w:sz w:val="18"/>
                <w:szCs w:val="18"/>
              </w:rPr>
              <w:t xml:space="preserve">CLAIMS_DX</w:t>
            </w:r>
          </w:p>
        </w:tc>
        <w:tc>
          <w:tcPr>
            <w:tcW w:type="dxa" w:w="2000"/>
            <w:tcBorders>
              <w:top w:val="single" w:color="CCCCCC" w:sz="1"/>
              <w:left w:val="single" w:color="CCCCCC" w:sz="1"/>
              <w:bottom w:val="single" w:color="CCCCCC" w:sz="1"/>
              <w:right w:val="single" w:color="CCCCCC" w:sz="1"/>
            </w:tcBorders>
            <w:shd w:fill="FCE8D5" w:val="clear"/>
            <w:tcMar>
              <w:top w:type="dxa" w:w="80"/>
              <w:left w:type="dxa" w:w="120"/>
              <w:bottom w:type="dxa" w:w="80"/>
              <w:right w:type="dxa" w:w="120"/>
            </w:tcMar>
            <w:vAlign w:val="center"/>
          </w:tcPr>
          <w:p>
            <w:r>
              <w:rPr>
                <w:rFonts w:ascii="Arial" w:cs="Arial" w:eastAsia="Arial" w:hAnsi="Arial"/>
                <w:i/>
                <w:iCs/>
                <w:color w:val="C45911"/>
                <w:sz w:val="18"/>
                <w:szCs w:val="18"/>
              </w:rPr>
              <w:t xml:space="preserve">ICD_CD, SVC_DT, COUNT(DISTINCT SVC_DT)</w:t>
            </w:r>
          </w:p>
        </w:tc>
      </w:tr>
      <w:tr>
        <w:tc>
          <w:tcPr>
            <w:tcW w:type="dxa" w:w="4200"/>
            <w:tcBorders>
              <w:top w:val="single" w:color="CCCCCC" w:sz="1"/>
              <w:left w:val="single" w:color="CCCCCC" w:sz="1"/>
              <w:bottom w:val="single" w:color="CCCCCC" w:sz="1"/>
              <w:right w:val="single" w:color="CCCCCC" w:sz="1"/>
            </w:tcBorders>
            <w:shd w:fill="FCE8D5" w:val="clear"/>
            <w:tcMar>
              <w:top w:type="dxa" w:w="80"/>
              <w:left w:type="dxa" w:w="120"/>
              <w:bottom w:type="dxa" w:w="80"/>
              <w:right w:type="dxa" w:w="120"/>
            </w:tcMar>
            <w:vAlign w:val="center"/>
          </w:tcPr>
          <w:p>
            <w:r>
              <w:rPr>
                <w:rFonts w:ascii="Arial" w:cs="Arial" w:eastAsia="Arial" w:hAnsi="Arial"/>
                <w:i w:val="false"/>
                <w:iCs w:val="false"/>
                <w:color w:val="C45911"/>
                <w:sz w:val="18"/>
                <w:szCs w:val="18"/>
              </w:rPr>
              <w:t xml:space="preserve">DISQUALIFIER: Member has a qualifying diabetes medication on record that independently satisfies GSD denominator criteria (insulin, sulfonylurea, thiazolidinedione, etc.)</w:t>
            </w:r>
          </w:p>
        </w:tc>
        <w:tc>
          <w:tcPr>
            <w:tcW w:type="dxa" w:w="1000"/>
            <w:tcBorders>
              <w:top w:val="single" w:color="CCCCCC" w:sz="1"/>
              <w:left w:val="single" w:color="CCCCCC" w:sz="1"/>
              <w:bottom w:val="single" w:color="CCCCCC" w:sz="1"/>
              <w:right w:val="single" w:color="CCCCCC" w:sz="1"/>
            </w:tcBorders>
            <w:shd w:fill="FCE8D5" w:val="clear"/>
            <w:tcMar>
              <w:top w:type="dxa" w:w="80"/>
              <w:left w:type="dxa" w:w="120"/>
              <w:bottom w:type="dxa" w:w="80"/>
              <w:right w:type="dxa" w:w="120"/>
            </w:tcMar>
            <w:vAlign w:val="center"/>
          </w:tcPr>
          <w:p>
            <w:r>
              <w:rPr>
                <w:rFonts w:ascii="Arial" w:cs="Arial" w:eastAsia="Arial" w:hAnsi="Arial"/>
                <w:i w:val="false"/>
                <w:iCs w:val="false"/>
                <w:color w:val="C45911"/>
                <w:sz w:val="18"/>
                <w:szCs w:val="18"/>
              </w:rPr>
              <w:t xml:space="preserve">EXCLUDE</w:t>
            </w:r>
          </w:p>
        </w:tc>
        <w:tc>
          <w:tcPr>
            <w:tcW w:type="dxa" w:w="2160"/>
            <w:tcBorders>
              <w:top w:val="single" w:color="CCCCCC" w:sz="1"/>
              <w:left w:val="single" w:color="CCCCCC" w:sz="1"/>
              <w:bottom w:val="single" w:color="CCCCCC" w:sz="1"/>
              <w:right w:val="single" w:color="CCCCCC" w:sz="1"/>
            </w:tcBorders>
            <w:shd w:fill="FCE8D5" w:val="clear"/>
            <w:tcMar>
              <w:top w:type="dxa" w:w="80"/>
              <w:left w:type="dxa" w:w="120"/>
              <w:bottom w:type="dxa" w:w="80"/>
              <w:right w:type="dxa" w:w="120"/>
            </w:tcMar>
            <w:vAlign w:val="center"/>
          </w:tcPr>
          <w:p>
            <w:r>
              <w:rPr>
                <w:rFonts w:ascii="Arial" w:cs="Arial" w:eastAsia="Arial" w:hAnsi="Arial"/>
                <w:i/>
                <w:iCs/>
                <w:color w:val="C45911"/>
                <w:sz w:val="18"/>
                <w:szCs w:val="18"/>
              </w:rPr>
              <w:t xml:space="preserve">PHARMACY_CLAIMS</w:t>
            </w:r>
          </w:p>
        </w:tc>
        <w:tc>
          <w:tcPr>
            <w:tcW w:type="dxa" w:w="2000"/>
            <w:tcBorders>
              <w:top w:val="single" w:color="CCCCCC" w:sz="1"/>
              <w:left w:val="single" w:color="CCCCCC" w:sz="1"/>
              <w:bottom w:val="single" w:color="CCCCCC" w:sz="1"/>
              <w:right w:val="single" w:color="CCCCCC" w:sz="1"/>
            </w:tcBorders>
            <w:shd w:fill="FCE8D5" w:val="clear"/>
            <w:tcMar>
              <w:top w:type="dxa" w:w="80"/>
              <w:left w:type="dxa" w:w="120"/>
              <w:bottom w:type="dxa" w:w="80"/>
              <w:right w:type="dxa" w:w="120"/>
            </w:tcMar>
            <w:vAlign w:val="center"/>
          </w:tcPr>
          <w:p>
            <w:r>
              <w:rPr>
                <w:rFonts w:ascii="Arial" w:cs="Arial" w:eastAsia="Arial" w:hAnsi="Arial"/>
                <w:i/>
                <w:iCs/>
                <w:color w:val="C45911"/>
                <w:sz w:val="18"/>
                <w:szCs w:val="18"/>
              </w:rPr>
              <w:t xml:space="preserve">NDC_CD, DRUG_CLASS_CD — match to GSD qualifying drug list</w:t>
            </w:r>
          </w:p>
        </w:tc>
      </w:tr>
    </w:tbl>
    <w:p>
      <w:pPr>
        <w:spacing w:after="160" w:before="0"/>
      </w:pPr>
    </w:p>
    <w:p>
      <w:pPr>
        <w:spacing w:after="60" w:before="200"/>
      </w:pPr>
      <w:r>
        <w:rPr>
          <w:rFonts w:ascii="Arial" w:cs="Arial" w:eastAsia="Arial" w:hAnsi="Arial"/>
          <w:b/>
          <w:bCs/>
          <w:color w:val="000000"/>
          <w:sz w:val="21"/>
          <w:szCs w:val="21"/>
        </w:rPr>
        <w:t xml:space="preserve">4.3  Scoring &amp; Threshold Logic</w:t>
      </w:r>
    </w:p>
    <w:p>
      <w:pPr>
        <w:spacing w:after="60" w:before="60"/>
      </w:pPr>
      <w:r>
        <w:rPr>
          <w:rFonts w:ascii="Arial" w:cs="Arial" w:eastAsia="Arial" w:hAnsi="Arial"/>
          <w:sz w:val="20"/>
          <w:szCs w:val="20"/>
        </w:rPr>
        <w:t xml:space="preserve">The token score is the sum of all applicable signal point values for a given member, evaluated after disqualifier exclusion.</w:t>
      </w:r>
    </w:p>
    <w:p>
      <w:pPr>
        <w:spacing w:after="80" w:before="0"/>
      </w:pPr>
    </w:p>
    <w:p>
      <w:pPr>
        <w:spacing w:after="60" w:before="60"/>
        <w:ind w:left="720"/>
      </w:pPr>
      <w:r>
        <w:rPr>
          <w:rFonts w:ascii="Courier New" w:cs="Courier New" w:eastAsia="Courier New" w:hAnsi="Courier New"/>
          <w:color w:val="1A3A5C"/>
          <w:sz w:val="18"/>
          <w:szCs w:val="18"/>
        </w:rPr>
        <w:t xml:space="preserve">PRE_DENOM_GSD_SCORE(member):</w:t>
      </w:r>
    </w:p>
    <w:p>
      <w:pPr>
        <w:spacing w:after="60" w:before="60"/>
        <w:ind w:left="720"/>
      </w:pPr>
      <w:r>
        <w:rPr>
          <w:rFonts w:ascii="Courier New" w:cs="Courier New" w:eastAsia="Courier New" w:hAnsi="Courier New"/>
          <w:color w:val="1A3A5C"/>
          <w:sz w:val="18"/>
          <w:szCs w:val="18"/>
        </w:rPr>
        <w:t xml:space="preserve">  IF disqualifier_check(member) = TRUE THEN RETURN NULL  -- excluded</w:t>
      </w:r>
    </w:p>
    <w:p>
      <w:pPr>
        <w:spacing w:after="60" w:before="60"/>
        <w:ind w:left="720"/>
      </w:pPr>
      <w:r>
        <w:rPr>
          <w:rFonts w:ascii="Courier New" w:cs="Courier New" w:eastAsia="Courier New" w:hAnsi="Courier New"/>
          <w:color w:val="1A3A5C"/>
          <w:sz w:val="18"/>
          <w:szCs w:val="18"/>
        </w:rPr>
        <w:t xml:space="preserve">  score = 0</w:t>
      </w:r>
    </w:p>
    <w:p>
      <w:pPr>
        <w:spacing w:after="60" w:before="60"/>
        <w:ind w:left="720"/>
      </w:pPr>
      <w:r>
        <w:rPr>
          <w:rFonts w:ascii="Courier New" w:cs="Courier New" w:eastAsia="Courier New" w:hAnsi="Courier New"/>
          <w:color w:val="1A3A5C"/>
          <w:sz w:val="18"/>
          <w:szCs w:val="18"/>
        </w:rPr>
        <w:t xml:space="preserve">  FOR EACH signal IN [GSD_ONE_DX, GSD_METFORMIN, GSD_GLP1_SGLT2,</w:t>
      </w:r>
    </w:p>
    <w:p>
      <w:pPr>
        <w:spacing w:after="60" w:before="60"/>
        <w:ind w:left="720"/>
      </w:pPr>
      <w:r>
        <w:rPr>
          <w:rFonts w:ascii="Courier New" w:cs="Courier New" w:eastAsia="Courier New" w:hAnsi="Courier New"/>
          <w:color w:val="1A3A5C"/>
          <w:sz w:val="18"/>
          <w:szCs w:val="18"/>
        </w:rPr>
        <w:t xml:space="preserve">                       GSD_PREDIABETES, GSD_HBA1C_LAB, GSD_GDM_HIST,</w:t>
      </w:r>
    </w:p>
    <w:p>
      <w:pPr>
        <w:spacing w:after="60" w:before="60"/>
        <w:ind w:left="720"/>
      </w:pPr>
      <w:r>
        <w:rPr>
          <w:rFonts w:ascii="Courier New" w:cs="Courier New" w:eastAsia="Courier New" w:hAnsi="Courier New"/>
          <w:color w:val="1A3A5C"/>
          <w:sz w:val="18"/>
          <w:szCs w:val="18"/>
        </w:rPr>
        <w:t xml:space="preserve">                       GSD_METABOLIC_CLUSTER, GSD_AGE_NO_SCREEN]:</w:t>
      </w:r>
    </w:p>
    <w:p>
      <w:pPr>
        <w:spacing w:after="60" w:before="60"/>
        <w:ind w:left="720"/>
      </w:pPr>
      <w:r>
        <w:rPr>
          <w:rFonts w:ascii="Courier New" w:cs="Courier New" w:eastAsia="Courier New" w:hAnsi="Courier New"/>
          <w:color w:val="1A3A5C"/>
          <w:sz w:val="18"/>
          <w:szCs w:val="18"/>
        </w:rPr>
        <w:t xml:space="preserve">    IF signal.evaluate(member) = TRUE THEN score += signal.points</w:t>
      </w:r>
    </w:p>
    <w:p>
      <w:pPr>
        <w:spacing w:after="60" w:before="60"/>
        <w:ind w:left="720"/>
      </w:pPr>
      <w:r>
        <w:rPr>
          <w:rFonts w:ascii="Courier New" w:cs="Courier New" w:eastAsia="Courier New" w:hAnsi="Courier New"/>
          <w:color w:val="1A3A5C"/>
          <w:sz w:val="18"/>
          <w:szCs w:val="18"/>
        </w:rPr>
        <w:t xml:space="preserve">  RETURN score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r>
              <w:rPr>
                <w:rFonts w:ascii="Arial" w:cs="Arial" w:eastAsia="Arial" w:hAnsi="Arial"/>
                <w:b/>
                <w:bCs/>
                <w:color w:val="FFFFFF"/>
                <w:sz w:val="19"/>
                <w:szCs w:val="19"/>
              </w:rPr>
              <w:t xml:space="preserve">Score</w:t>
            </w:r>
          </w:p>
        </w:tc>
        <w:tc>
          <w:tcPr>
            <w:tcW w:type="dxa" w:w="200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576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r>
              <w:rPr>
                <w:rFonts w:ascii="Arial" w:cs="Arial" w:eastAsia="Arial" w:hAnsi="Arial"/>
                <w:b/>
                <w:bCs/>
                <w:color w:val="FFFFFF"/>
                <w:sz w:val="19"/>
                <w:szCs w:val="19"/>
              </w:rPr>
              <w:t xml:space="preserve">Recommended Action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&lt;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No Action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Member does not meet minimum threshold. No IHWA routing. Suppress output.</w:t>
            </w:r>
          </w:p>
        </w:tc>
      </w:tr>
      <w:tr>
        <w:tc>
          <w:tcPr>
            <w:tcW w:type="dxa" w:w="16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tcPr>
          <w:p>
            <w:r>
              <w:rPr>
                <w:rFonts w:ascii="Arial" w:cs="Arial" w:eastAsia="Arial" w:hAnsi="Arial"/>
                <w:b/>
                <w:bCs/>
                <w:sz w:val="18"/>
                <w:szCs w:val="18"/>
              </w:rPr>
              <w:t xml:space="preserve">3 – 4</w:t>
            </w:r>
          </w:p>
        </w:tc>
        <w:tc>
          <w:tcPr>
            <w:tcW w:type="dxa" w:w="20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tcPr>
          <w:p>
            <w:r>
              <w:rPr>
                <w:rFonts w:ascii="Arial" w:cs="Arial" w:eastAsia="Arial" w:hAnsi="Arial"/>
                <w:b/>
                <w:bCs/>
                <w:sz w:val="18"/>
                <w:szCs w:val="18"/>
              </w:rPr>
              <w:t xml:space="preserve">Standard</w:t>
            </w:r>
          </w:p>
        </w:tc>
        <w:tc>
          <w:tcPr>
            <w:tcW w:type="dxa" w:w="576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tcPr>
          <w:p>
            <w:r>
              <w:rPr>
                <w:rFonts w:ascii="Arial" w:cs="Arial" w:eastAsia="Arial" w:hAnsi="Arial"/>
                <w:b w:val="false"/>
                <w:bCs w:val="false"/>
                <w:sz w:val="18"/>
                <w:szCs w:val="18"/>
              </w:rPr>
              <w:t xml:space="preserve">Route to IHWA queue — standard priority. Clinician to assess metabolic risk, order HbA1c if not recent, confirm or rule out diabetes diagnosis.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&gt;=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HIGH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Route to IHWA queue — elevated priority. Member has multiple converging signals. Expedite IHWA scheduling; strong candidate for diagnosis confirmation and denominator entry.</w:t>
            </w:r>
          </w:p>
        </w:tc>
      </w:tr>
    </w:tbl>
    <w:p>
      <w:pPr>
        <w:spacing w:after="160" w:before="0"/>
      </w:pPr>
    </w:p>
    <w:p>
      <w:pPr>
        <w:spacing w:after="60" w:before="200"/>
      </w:pPr>
      <w:r>
        <w:rPr>
          <w:rFonts w:ascii="Arial" w:cs="Arial" w:eastAsia="Arial" w:hAnsi="Arial"/>
          <w:b/>
          <w:bCs/>
          <w:color w:val="000000"/>
          <w:sz w:val="21"/>
          <w:szCs w:val="21"/>
        </w:rPr>
        <w:t xml:space="preserve">4.4  Lookback Window Definitions</w:t>
      </w:r>
    </w:p>
    <w:p>
      <w:pPr>
        <w:pStyle w:val="ListParagraph"/>
        <w:numPr>
          <w:ilvl w:val="0"/>
          <w:numId w:val="2"/>
        </w:numPr>
        <w:spacing w:after="40" w:before="40"/>
      </w:pPr>
      <w:r>
        <w:rPr>
          <w:rFonts w:ascii="Arial" w:cs="Arial" w:eastAsia="Arial" w:hAnsi="Arial"/>
          <w:b w:val="false"/>
          <w:bCs w:val="false"/>
          <w:sz w:val="20"/>
          <w:szCs w:val="20"/>
        </w:rPr>
        <w:t xml:space="preserve">GSD_ONE_DX signal: 24-month rolling lookback — a single prior-year dx that did not recur is a high-priority signal</w:t>
      </w:r>
    </w:p>
    <w:p>
      <w:pPr>
        <w:pStyle w:val="ListParagraph"/>
        <w:numPr>
          <w:ilvl w:val="0"/>
          <w:numId w:val="2"/>
        </w:numPr>
        <w:spacing w:after="40" w:before="40"/>
      </w:pPr>
      <w:r>
        <w:rPr>
          <w:rFonts w:ascii="Arial" w:cs="Arial" w:eastAsia="Arial" w:hAnsi="Arial"/>
          <w:b w:val="false"/>
          <w:bCs w:val="false"/>
          <w:sz w:val="20"/>
          <w:szCs w:val="20"/>
        </w:rPr>
        <w:t xml:space="preserve">GSD_METFORMIN signal: Active dispense in last 12 months (FILL_DT &gt;= run date minus 365 days AND supply extends to or beyond run date)</w:t>
      </w:r>
    </w:p>
    <w:p>
      <w:pPr>
        <w:pStyle w:val="ListParagraph"/>
        <w:numPr>
          <w:ilvl w:val="0"/>
          <w:numId w:val="2"/>
        </w:numPr>
        <w:spacing w:after="40" w:before="40"/>
      </w:pPr>
      <w:r>
        <w:rPr>
          <w:rFonts w:ascii="Arial" w:cs="Arial" w:eastAsia="Arial" w:hAnsi="Arial"/>
          <w:b w:val="false"/>
          <w:bCs w:val="false"/>
          <w:sz w:val="20"/>
          <w:szCs w:val="20"/>
        </w:rPr>
        <w:t xml:space="preserve">GSD_GLP1_SGLT2 signal: Active dispense in last 12 months — same supply-coverage logic as metformin signal</w:t>
      </w:r>
    </w:p>
    <w:p>
      <w:pPr>
        <w:pStyle w:val="ListParagraph"/>
        <w:numPr>
          <w:ilvl w:val="0"/>
          <w:numId w:val="2"/>
        </w:numPr>
        <w:spacing w:after="40" w:before="40"/>
      </w:pPr>
      <w:r>
        <w:rPr>
          <w:rFonts w:ascii="Arial" w:cs="Arial" w:eastAsia="Arial" w:hAnsi="Arial"/>
          <w:b w:val="false"/>
          <w:bCs w:val="false"/>
          <w:sz w:val="20"/>
          <w:szCs w:val="20"/>
        </w:rPr>
        <w:t xml:space="preserve">GSD_PREDIABETES signal: 24-month rolling lookback — prediabetes dx from prior year remains clinically relevant</w:t>
      </w:r>
    </w:p>
    <w:p>
      <w:pPr>
        <w:pStyle w:val="ListParagraph"/>
        <w:numPr>
          <w:ilvl w:val="0"/>
          <w:numId w:val="2"/>
        </w:numPr>
        <w:spacing w:after="40" w:before="40"/>
      </w:pPr>
      <w:r>
        <w:rPr>
          <w:rFonts w:ascii="Arial" w:cs="Arial" w:eastAsia="Arial" w:hAnsi="Arial"/>
          <w:b w:val="false"/>
          <w:bCs w:val="false"/>
          <w:sz w:val="20"/>
          <w:szCs w:val="20"/>
        </w:rPr>
        <w:t xml:space="preserve">GSD_HBA1C_LAB signal: 24-month rolling lookback — lab result from prior period indicates ongoing metabolic monitoring</w:t>
      </w:r>
    </w:p>
    <w:p>
      <w:pPr>
        <w:pStyle w:val="ListParagraph"/>
        <w:numPr>
          <w:ilvl w:val="0"/>
          <w:numId w:val="2"/>
        </w:numPr>
        <w:spacing w:after="40" w:before="40"/>
      </w:pPr>
      <w:r>
        <w:rPr>
          <w:rFonts w:ascii="Arial" w:cs="Arial" w:eastAsia="Arial" w:hAnsi="Arial"/>
          <w:b w:val="false"/>
          <w:bCs w:val="false"/>
          <w:sz w:val="20"/>
          <w:szCs w:val="20"/>
        </w:rPr>
        <w:t xml:space="preserve">GSD_GDM_HIST signal: Lifetime lookback — gestational diabetes history is a permanent risk flag; no time bound</w:t>
      </w:r>
    </w:p>
    <w:p>
      <w:pPr>
        <w:pStyle w:val="ListParagraph"/>
        <w:numPr>
          <w:ilvl w:val="0"/>
          <w:numId w:val="2"/>
        </w:numPr>
        <w:spacing w:after="40" w:before="40"/>
      </w:pPr>
      <w:r>
        <w:rPr>
          <w:rFonts w:ascii="Arial" w:cs="Arial" w:eastAsia="Arial" w:hAnsi="Arial"/>
          <w:b w:val="false"/>
          <w:bCs w:val="false"/>
          <w:sz w:val="20"/>
          <w:szCs w:val="20"/>
        </w:rPr>
        <w:t xml:space="preserve">GSD_METABOLIC_CLUSTER signal: 24-month rolling lookback for both obesity and dyslipidemia codes</w:t>
      </w:r>
    </w:p>
    <w:p>
      <w:pPr>
        <w:pStyle w:val="ListParagraph"/>
        <w:numPr>
          <w:ilvl w:val="0"/>
          <w:numId w:val="2"/>
        </w:numPr>
        <w:spacing w:after="40" w:before="40"/>
      </w:pPr>
      <w:r>
        <w:rPr>
          <w:rFonts w:ascii="Arial" w:cs="Arial" w:eastAsia="Arial" w:hAnsi="Arial"/>
          <w:b w:val="false"/>
          <w:bCs w:val="false"/>
          <w:sz w:val="20"/>
          <w:szCs w:val="20"/>
        </w:rPr>
        <w:t xml:space="preserve">GSD_AGE_NO_SCREEN signal: Age evaluated at run date; lab absence check covers entire available claims history</w:t>
      </w:r>
    </w:p>
    <w:p>
      <w:pPr>
        <w:spacing w:after="160" w:before="0"/>
      </w:pPr>
    </w:p>
    <w:p>
      <w:pPr>
        <w:spacing w:after="60" w:before="200"/>
      </w:pPr>
      <w:r>
        <w:rPr>
          <w:rFonts w:ascii="Arial" w:cs="Arial" w:eastAsia="Arial" w:hAnsi="Arial"/>
          <w:b/>
          <w:bCs/>
          <w:color w:val="000000"/>
          <w:sz w:val="21"/>
          <w:szCs w:val="21"/>
        </w:rPr>
        <w:t xml:space="preserve">4.5  Sample Token Output Record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96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r>
              <w:rPr>
                <w:rFonts w:ascii="Arial" w:cs="Arial" w:eastAsia="Arial" w:hAnsi="Arial"/>
                <w:b/>
                <w:bCs/>
                <w:color w:val="FFFFFF"/>
                <w:sz w:val="19"/>
                <w:szCs w:val="19"/>
              </w:rPr>
              <w:t xml:space="preserve">Example 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Member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MBR-00571034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Token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PRE_DENOM_GSD_SCORE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Run 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2026-03-01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Score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Priority Tier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Triggered Signals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GSD_ONE_DX (3 pts), GSD_METFORMIN (2 pts), GSD_PREDIABETES (2 pts)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Disqualifier Check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PASSED — not in active GSD denominator; metformin is not a qualifying GSD denominator drug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Recommended Action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Route to IHWA — assess glycemic status, order HbA1c, confirm diabetes dx if clinically supported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IHWA Clinician Note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Member has 1 E11.9 dx on record (2025-08-22), active metformin dispense, and R73.09 prediabetes dx. Second qualifying encounter would establish GSD denominator eligibility.</w:t>
            </w:r>
          </w:p>
        </w:tc>
      </w:tr>
    </w:tbl>
    <w:p>
      <w:pPr>
        <w:spacing w:after="200" w:before="0"/>
      </w:pPr>
    </w:p>
    <w:p>
      <w:pPr>
        <w:pStyle w:val="Heading2"/>
      </w:pPr>
      <w:r>
        <w:rPr>
          <w:rFonts w:ascii="Arial" w:cs="Arial" w:eastAsia="Arial" w:hAnsi="Arial"/>
          <w:b/>
          <w:bCs/>
          <w:color w:val="1A7A6E"/>
          <w:sz w:val="26"/>
          <w:szCs w:val="26"/>
        </w:rPr>
        <w:t xml:space="preserve">5.  Shared Guardrails &amp; Over-Utilization Controls</w:t>
      </w:r>
    </w:p>
    <w:p>
      <w:pPr>
        <w:pBdr>
          <w:bottom w:val="single" w:color="1A7A6E" w:sz="8" w:space="1"/>
        </w:pBdr>
        <w:spacing w:after="120" w:before="0"/>
      </w:pPr>
    </w:p>
    <w:p>
      <w:pPr>
        <w:spacing w:after="60" w:before="60"/>
      </w:pPr>
      <w:r>
        <w:rPr>
          <w:rFonts w:ascii="Arial" w:cs="Arial" w:eastAsia="Arial" w:hAnsi="Arial"/>
          <w:sz w:val="20"/>
          <w:szCs w:val="20"/>
        </w:rPr>
        <w:t xml:space="preserve">The following guardrails apply to both tokens and must be implemented as pre-filter logic prior to score accumulation or IHWA routing output. These controls ensure the program remains clinically defensible and avoids over-utilization concerns.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r>
              <w:rPr>
                <w:rFonts w:ascii="Arial" w:cs="Arial" w:eastAsia="Arial" w:hAnsi="Arial"/>
                <w:b/>
                <w:bCs/>
                <w:color w:val="FFFFFF"/>
                <w:sz w:val="19"/>
                <w:szCs w:val="19"/>
              </w:rPr>
              <w:t xml:space="preserve">Guardrail</w:t>
            </w:r>
          </w:p>
        </w:tc>
        <w:tc>
          <w:tcPr>
            <w:tcW w:type="dxa" w:w="636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r>
              <w:rPr>
                <w:rFonts w:ascii="Arial" w:cs="Arial" w:eastAsia="Arial" w:hAnsi="Arial"/>
                <w:b/>
                <w:bCs/>
                <w:color w:val="FFFFFF"/>
                <w:sz w:val="19"/>
                <w:szCs w:val="19"/>
              </w:rPr>
              <w:t xml:space="preserve">Implementation Note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Pharmacy signal corroboration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Medication-only signals (MED_NO_DX, METFORMIN, GLP1_SGLT2) should not be the sole basis for a HIGH priority routing. If the only triggered signals are pharmacy-based, cap the priority tier at Standard regardless of score. Require at least one non-pharmacy signal for HIGH tier.</w:t>
            </w:r>
          </w:p>
        </w:tc>
      </w:tr>
      <w:tr>
        <w:tc>
          <w:tcPr>
            <w:tcW w:type="dxa" w:w="30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tcPr>
          <w:p>
            <w:r>
              <w:rPr>
                <w:rFonts w:ascii="Arial" w:cs="Arial" w:eastAsia="Arial" w:hAnsi="Arial"/>
                <w:sz w:val="18"/>
                <w:szCs w:val="18"/>
              </w:rPr>
              <w:t xml:space="preserve">Prediabetes framing</w:t>
            </w:r>
          </w:p>
        </w:tc>
        <w:tc>
          <w:tcPr>
            <w:tcW w:type="dxa" w:w="636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tcPr>
          <w:p>
            <w:r>
              <w:rPr>
                <w:rFonts w:ascii="Arial" w:cs="Arial" w:eastAsia="Arial" w:hAnsi="Arial"/>
                <w:sz w:val="18"/>
                <w:szCs w:val="18"/>
              </w:rPr>
              <w:t xml:space="preserve">GSD prediabetes signals should route to IHWA as prevention-oriented visits, not gap-closure visits. IHWA clinician notes must reflect this distinction. The goal is improved metabolic trajectory, not accelerated denominator entry.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Active gap rule deduplication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tokens must query the active gap rule output table and exclude members already appearing in an active CBP or GSD gap record for the current measurement year. The HEDIS_DENOM_CURR disqualifier implements this.</w:t>
            </w:r>
          </w:p>
        </w:tc>
      </w:tr>
      <w:tr>
        <w:tc>
          <w:tcPr>
            <w:tcW w:type="dxa" w:w="30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tcPr>
          <w:p>
            <w:r>
              <w:rPr>
                <w:rFonts w:ascii="Arial" w:cs="Arial" w:eastAsia="Arial" w:hAnsi="Arial"/>
                <w:sz w:val="18"/>
                <w:szCs w:val="18"/>
              </w:rPr>
              <w:t xml:space="preserve">Hospice and palliative exclusion</w:t>
            </w:r>
          </w:p>
        </w:tc>
        <w:tc>
          <w:tcPr>
            <w:tcW w:type="dxa" w:w="636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tcPr>
          <w:p>
            <w:r>
              <w:rPr>
                <w:rFonts w:ascii="Arial" w:cs="Arial" w:eastAsia="Arial" w:hAnsi="Arial"/>
                <w:sz w:val="18"/>
                <w:szCs w:val="18"/>
              </w:rPr>
              <w:t xml:space="preserve">Members with an active hospice or palliative care flag in the enrollment or care management system must be excluded from both token outputs. Do not route terminally ill members to IHWA for measure-related intervention.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Score decay for older signals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For signals based on a 24-month lookback, consider applying a decay factor: signals from the prior measurement year carry full weight; signals from 13–24 months ago carry 50% weight. This is an optional enhancement — document if implemented.</w:t>
            </w:r>
          </w:p>
        </w:tc>
      </w:tr>
      <w:tr>
        <w:tc>
          <w:tcPr>
            <w:tcW w:type="dxa" w:w="30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tcPr>
          <w:p>
            <w:r>
              <w:rPr>
                <w:rFonts w:ascii="Arial" w:cs="Arial" w:eastAsia="Arial" w:hAnsi="Arial"/>
                <w:sz w:val="18"/>
                <w:szCs w:val="18"/>
              </w:rPr>
              <w:t xml:space="preserve">IHWA capacity throttle</w:t>
            </w:r>
          </w:p>
        </w:tc>
        <w:tc>
          <w:tcPr>
            <w:tcW w:type="dxa" w:w="636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tcPr>
          <w:p>
            <w:r>
              <w:rPr>
                <w:rFonts w:ascii="Arial" w:cs="Arial" w:eastAsia="Arial" w:hAnsi="Arial"/>
                <w:sz w:val="18"/>
                <w:szCs w:val="18"/>
              </w:rPr>
              <w:t xml:space="preserve">If IHWA capacity is constrained, both tokens should be filterable by minimum score threshold (e.g., suppress Standard tier, output HIGH tier only). The token output table should include the raw score to allow downstream threshold adjustment without re-running the token.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Audit trail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Every token output record must log the specific signals that fired and their individual point contributions. This supports clinical audit, QA review, and any regulatory inquiry into IHWA visit rationale.</w:t>
            </w:r>
          </w:p>
        </w:tc>
      </w:tr>
    </w:tbl>
    <w:p>
      <w:pPr>
        <w:spacing w:after="200" w:before="0"/>
      </w:pPr>
    </w:p>
    <w:p>
      <w:pPr>
        <w:pStyle w:val="Heading2"/>
      </w:pPr>
      <w:r>
        <w:rPr>
          <w:rFonts w:ascii="Arial" w:cs="Arial" w:eastAsia="Arial" w:hAnsi="Arial"/>
          <w:b/>
          <w:bCs/>
          <w:color w:val="1A7A6E"/>
          <w:sz w:val="26"/>
          <w:szCs w:val="26"/>
        </w:rPr>
        <w:t xml:space="preserve">6.  Source Data Requirements</w:t>
      </w:r>
    </w:p>
    <w:p>
      <w:pPr>
        <w:pBdr>
          <w:bottom w:val="single" w:color="1A7A6E" w:sz="8" w:space="1"/>
        </w:pBdr>
        <w:spacing w:after="120" w:before="0"/>
      </w:pPr>
    </w:p>
    <w:p>
      <w:pPr>
        <w:spacing w:after="60" w:before="60"/>
      </w:pPr>
      <w:r>
        <w:rPr>
          <w:rFonts w:ascii="Arial" w:cs="Arial" w:eastAsia="Arial" w:hAnsi="Arial"/>
          <w:sz w:val="20"/>
          <w:szCs w:val="20"/>
        </w:rPr>
        <w:t xml:space="preserve">The following source tables are required for token execution. Table names are illustrative — substitute actual EDW schema names during implementation.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r>
              <w:rPr>
                <w:rFonts w:ascii="Arial" w:cs="Arial" w:eastAsia="Arial" w:hAnsi="Arial"/>
                <w:b/>
                <w:bCs/>
                <w:color w:val="FFFFFF"/>
                <w:sz w:val="19"/>
                <w:szCs w:val="19"/>
              </w:rPr>
              <w:t xml:space="preserve">Source Table (Illustrative)</w:t>
            </w:r>
          </w:p>
        </w:tc>
        <w:tc>
          <w:tcPr>
            <w:tcW w:type="dxa" w:w="240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r>
              <w:rPr>
                <w:rFonts w:ascii="Arial" w:cs="Arial" w:eastAsia="Arial" w:hAnsi="Arial"/>
                <w:b/>
                <w:bCs/>
                <w:color w:val="FFFFFF"/>
                <w:sz w:val="19"/>
                <w:szCs w:val="19"/>
              </w:rPr>
              <w:t xml:space="preserve">Used By</w:t>
            </w:r>
          </w:p>
        </w:tc>
        <w:tc>
          <w:tcPr>
            <w:tcW w:type="dxa" w:w="456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r>
              <w:rPr>
                <w:rFonts w:ascii="Arial" w:cs="Arial" w:eastAsia="Arial" w:hAnsi="Arial"/>
                <w:b/>
                <w:bCs/>
                <w:color w:val="FFFFFF"/>
                <w:sz w:val="19"/>
                <w:szCs w:val="19"/>
              </w:rPr>
              <w:t xml:space="preserve">Key Columns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7"/>
                <w:szCs w:val="17"/>
              </w:rPr>
              <w:t xml:space="preserve">CLAIMS_DX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Both tokens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MBR_ID, ICD_CD, SVC_DT, VISIT_TYPE_CD (inpatient/outpatient), POS_CD</w:t>
            </w:r>
          </w:p>
        </w:tc>
      </w:tr>
      <w:tr>
        <w:tc>
          <w:tcPr>
            <w:tcW w:type="dxa" w:w="24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tcPr>
          <w:p>
            <w:r>
              <w:rPr>
                <w:rFonts w:ascii="Arial" w:cs="Arial" w:eastAsia="Arial" w:hAnsi="Arial"/>
                <w:b/>
                <w:bCs/>
                <w:sz w:val="17"/>
                <w:szCs w:val="17"/>
              </w:rPr>
              <w:t xml:space="preserve">PHARMACY_CLAIMS</w:t>
            </w:r>
          </w:p>
        </w:tc>
        <w:tc>
          <w:tcPr>
            <w:tcW w:type="dxa" w:w="24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tcPr>
          <w:p>
            <w:r>
              <w:rPr>
                <w:rFonts w:ascii="Arial" w:cs="Arial" w:eastAsia="Arial" w:hAnsi="Arial"/>
                <w:b w:val="false"/>
                <w:bCs w:val="false"/>
                <w:sz w:val="17"/>
                <w:szCs w:val="17"/>
              </w:rPr>
              <w:t xml:space="preserve">Both tokens</w:t>
            </w:r>
          </w:p>
        </w:tc>
        <w:tc>
          <w:tcPr>
            <w:tcW w:type="dxa" w:w="456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tcPr>
          <w:p>
            <w:r>
              <w:rPr>
                <w:rFonts w:ascii="Arial" w:cs="Arial" w:eastAsia="Arial" w:hAnsi="Arial"/>
                <w:b w:val="false"/>
                <w:bCs w:val="false"/>
                <w:sz w:val="17"/>
                <w:szCs w:val="17"/>
              </w:rPr>
              <w:t xml:space="preserve">MBR_ID, NDC_CD, GENERIC_NM, DRUG_CLASS_CD, FILL_DT, DAYS_SUPPLY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7"/>
                <w:szCs w:val="17"/>
              </w:rPr>
              <w:t xml:space="preserve">LAB_RESULTS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Both tokens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MBR_ID, LOINC_CD, RESULT_VAL, RESULT_UNIT, RESULT_DT</w:t>
            </w:r>
          </w:p>
        </w:tc>
      </w:tr>
      <w:tr>
        <w:tc>
          <w:tcPr>
            <w:tcW w:type="dxa" w:w="24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tcPr>
          <w:p>
            <w:r>
              <w:rPr>
                <w:rFonts w:ascii="Arial" w:cs="Arial" w:eastAsia="Arial" w:hAnsi="Arial"/>
                <w:b/>
                <w:bCs/>
                <w:sz w:val="17"/>
                <w:szCs w:val="17"/>
              </w:rPr>
              <w:t xml:space="preserve">MEMBERSHIP</w:t>
            </w:r>
          </w:p>
        </w:tc>
        <w:tc>
          <w:tcPr>
            <w:tcW w:type="dxa" w:w="24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tcPr>
          <w:p>
            <w:r>
              <w:rPr>
                <w:rFonts w:ascii="Arial" w:cs="Arial" w:eastAsia="Arial" w:hAnsi="Arial"/>
                <w:b w:val="false"/>
                <w:bCs w:val="false"/>
                <w:sz w:val="17"/>
                <w:szCs w:val="17"/>
              </w:rPr>
              <w:t xml:space="preserve">Both tokens</w:t>
            </w:r>
          </w:p>
        </w:tc>
        <w:tc>
          <w:tcPr>
            <w:tcW w:type="dxa" w:w="456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tcPr>
          <w:p>
            <w:r>
              <w:rPr>
                <w:rFonts w:ascii="Arial" w:cs="Arial" w:eastAsia="Arial" w:hAnsi="Arial"/>
                <w:b w:val="false"/>
                <w:bCs w:val="false"/>
                <w:sz w:val="17"/>
                <w:szCs w:val="17"/>
              </w:rPr>
              <w:t xml:space="preserve">MBR_ID, DOB, CALC_AGE, EFF_DT, TERM_DT, PROD_LINE, HOSPICE_FLG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7"/>
                <w:szCs w:val="17"/>
              </w:rPr>
              <w:t xml:space="preserve">HEDIS_DENOM_CURR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Both tokens (disqualifier)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MBR_ID, MEASURE_CD, MEAS_YR, DENOM_FLG</w:t>
            </w:r>
          </w:p>
        </w:tc>
      </w:tr>
      <w:tr>
        <w:tc>
          <w:tcPr>
            <w:tcW w:type="dxa" w:w="24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tcPr>
          <w:p>
            <w:r>
              <w:rPr>
                <w:rFonts w:ascii="Arial" w:cs="Arial" w:eastAsia="Arial" w:hAnsi="Arial"/>
                <w:b/>
                <w:bCs/>
                <w:sz w:val="17"/>
                <w:szCs w:val="17"/>
              </w:rPr>
              <w:t xml:space="preserve">HEDIS_DENOM_HIST</w:t>
            </w:r>
          </w:p>
        </w:tc>
        <w:tc>
          <w:tcPr>
            <w:tcW w:type="dxa" w:w="24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tcPr>
          <w:p>
            <w:r>
              <w:rPr>
                <w:rFonts w:ascii="Arial" w:cs="Arial" w:eastAsia="Arial" w:hAnsi="Arial"/>
                <w:b w:val="false"/>
                <w:bCs w:val="false"/>
                <w:sz w:val="17"/>
                <w:szCs w:val="17"/>
              </w:rPr>
              <w:t xml:space="preserve">CBP token</w:t>
            </w:r>
          </w:p>
        </w:tc>
        <w:tc>
          <w:tcPr>
            <w:tcW w:type="dxa" w:w="456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20"/>
            </w:tcMar>
          </w:tcPr>
          <w:p>
            <w:r>
              <w:rPr>
                <w:rFonts w:ascii="Arial" w:cs="Arial" w:eastAsia="Arial" w:hAnsi="Arial"/>
                <w:b w:val="false"/>
                <w:bCs w:val="false"/>
                <w:sz w:val="17"/>
                <w:szCs w:val="17"/>
              </w:rPr>
              <w:t xml:space="preserve">MBR_ID, MEASURE_CD, MEAS_YR, DENOM_FLG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7"/>
                <w:szCs w:val="17"/>
              </w:rPr>
              <w:t xml:space="preserve">CARE_MGMT_FLAGS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Both tokens (guardrail)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MBR_ID, FLAG_TYPE_CD (hospice, palliative), EFF_DT, TERM_DT</w:t>
            </w:r>
          </w:p>
        </w:tc>
      </w:tr>
    </w:tbl>
    <w:p>
      <w:pPr>
        <w:spacing w:after="200" w:before="0"/>
      </w:pPr>
    </w:p>
    <w:p>
      <w:pPr>
        <w:pStyle w:val="Heading2"/>
      </w:pPr>
      <w:r>
        <w:rPr>
          <w:rFonts w:ascii="Arial" w:cs="Arial" w:eastAsia="Arial" w:hAnsi="Arial"/>
          <w:b/>
          <w:bCs/>
          <w:color w:val="1A7A6E"/>
          <w:sz w:val="26"/>
          <w:szCs w:val="26"/>
        </w:rPr>
        <w:t xml:space="preserve">7.  QA &amp; Validation Guidance</w:t>
      </w:r>
    </w:p>
    <w:p>
      <w:pPr>
        <w:pBdr>
          <w:bottom w:val="single" w:color="1A7A6E" w:sz="8" w:space="1"/>
        </w:pBdr>
        <w:spacing w:after="120" w:before="0"/>
      </w:pPr>
    </w:p>
    <w:p>
      <w:pPr>
        <w:spacing w:after="60" w:before="200"/>
      </w:pPr>
      <w:r>
        <w:rPr>
          <w:rFonts w:ascii="Arial" w:cs="Arial" w:eastAsia="Arial" w:hAnsi="Arial"/>
          <w:b/>
          <w:bCs/>
          <w:color w:val="000000"/>
          <w:sz w:val="21"/>
          <w:szCs w:val="21"/>
        </w:rPr>
        <w:t xml:space="preserve">7.1  Unit Tests — PRE_DENOM_CBP_SCORE</w:t>
      </w:r>
    </w:p>
    <w:p>
      <w:pPr>
        <w:pStyle w:val="ListParagraph"/>
        <w:numPr>
          <w:ilvl w:val="0"/>
          <w:numId w:val="2"/>
        </w:numPr>
        <w:spacing w:after="40" w:before="40"/>
      </w:pPr>
      <w:r>
        <w:rPr>
          <w:rFonts w:ascii="Arial" w:cs="Arial" w:eastAsia="Arial" w:hAnsi="Arial"/>
          <w:b w:val="false"/>
          <w:bCs w:val="false"/>
          <w:sz w:val="20"/>
          <w:szCs w:val="20"/>
        </w:rPr>
        <w:t xml:space="preserve">Member with 1 hypertension dx, no medication, no comorbidities → Score = 3, Standard tier</w:t>
      </w:r>
    </w:p>
    <w:p>
      <w:pPr>
        <w:pStyle w:val="ListParagraph"/>
        <w:numPr>
          <w:ilvl w:val="0"/>
          <w:numId w:val="2"/>
        </w:numPr>
        <w:spacing w:after="40" w:before="40"/>
      </w:pPr>
      <w:r>
        <w:rPr>
          <w:rFonts w:ascii="Arial" w:cs="Arial" w:eastAsia="Arial" w:hAnsi="Arial"/>
          <w:b w:val="false"/>
          <w:bCs w:val="false"/>
          <w:sz w:val="20"/>
          <w:szCs w:val="20"/>
        </w:rPr>
        <w:t xml:space="preserve">Member with 1 hypertension dx + active lisinopril + age 52 → Score = 6, HIGH tier</w:t>
      </w:r>
    </w:p>
    <w:p>
      <w:pPr>
        <w:pStyle w:val="ListParagraph"/>
        <w:numPr>
          <w:ilvl w:val="0"/>
          <w:numId w:val="2"/>
        </w:numPr>
        <w:spacing w:after="40" w:before="40"/>
      </w:pPr>
      <w:r>
        <w:rPr>
          <w:rFonts w:ascii="Arial" w:cs="Arial" w:eastAsia="Arial" w:hAnsi="Arial"/>
          <w:b w:val="false"/>
          <w:bCs w:val="false"/>
          <w:sz w:val="20"/>
          <w:szCs w:val="20"/>
        </w:rPr>
        <w:t xml:space="preserve">Member with R03.0 encounter only → Score = 2, below threshold, no output</w:t>
      </w:r>
    </w:p>
    <w:p>
      <w:pPr>
        <w:pStyle w:val="ListParagraph"/>
        <w:numPr>
          <w:ilvl w:val="0"/>
          <w:numId w:val="2"/>
        </w:numPr>
        <w:spacing w:after="40" w:before="40"/>
      </w:pPr>
      <w:r>
        <w:rPr>
          <w:rFonts w:ascii="Arial" w:cs="Arial" w:eastAsia="Arial" w:hAnsi="Arial"/>
          <w:b w:val="false"/>
          <w:bCs w:val="false"/>
          <w:sz w:val="20"/>
          <w:szCs w:val="20"/>
        </w:rPr>
        <w:t xml:space="preserve">Member with 2 hypertension dx on different dates in measurement year → disqualifier fires, no output</w:t>
      </w:r>
    </w:p>
    <w:p>
      <w:pPr>
        <w:pStyle w:val="ListParagraph"/>
        <w:numPr>
          <w:ilvl w:val="0"/>
          <w:numId w:val="2"/>
        </w:numPr>
        <w:spacing w:after="40" w:before="40"/>
      </w:pPr>
      <w:r>
        <w:rPr>
          <w:rFonts w:ascii="Arial" w:cs="Arial" w:eastAsia="Arial" w:hAnsi="Arial"/>
          <w:b w:val="false"/>
          <w:bCs w:val="false"/>
          <w:sz w:val="20"/>
          <w:szCs w:val="20"/>
        </w:rPr>
        <w:t xml:space="preserve">Member in prior year CBP denominator + BMI &gt;= 30 → Score = 3, Standard tier</w:t>
      </w:r>
    </w:p>
    <w:p>
      <w:pPr>
        <w:pStyle w:val="ListParagraph"/>
        <w:numPr>
          <w:ilvl w:val="0"/>
          <w:numId w:val="2"/>
        </w:numPr>
        <w:spacing w:after="40" w:before="40"/>
      </w:pPr>
      <w:r>
        <w:rPr>
          <w:rFonts w:ascii="Arial" w:cs="Arial" w:eastAsia="Arial" w:hAnsi="Arial"/>
          <w:b w:val="false"/>
          <w:bCs w:val="false"/>
          <w:sz w:val="20"/>
          <w:szCs w:val="20"/>
        </w:rPr>
        <w:t xml:space="preserve">Member on antihypertensive med only (no other signals) → Score = 2, below threshold — validates pharmacy solo-signal cap</w:t>
      </w:r>
    </w:p>
    <w:p>
      <w:pPr>
        <w:spacing w:after="120" w:before="0"/>
      </w:pPr>
    </w:p>
    <w:p>
      <w:pPr>
        <w:spacing w:after="60" w:before="200"/>
      </w:pPr>
      <w:r>
        <w:rPr>
          <w:rFonts w:ascii="Arial" w:cs="Arial" w:eastAsia="Arial" w:hAnsi="Arial"/>
          <w:b/>
          <w:bCs/>
          <w:color w:val="000000"/>
          <w:sz w:val="21"/>
          <w:szCs w:val="21"/>
        </w:rPr>
        <w:t xml:space="preserve">7.2  Unit Tests — PRE_DENOM_GSD_SCORE</w:t>
      </w:r>
    </w:p>
    <w:p>
      <w:pPr>
        <w:pStyle w:val="ListParagraph"/>
        <w:numPr>
          <w:ilvl w:val="0"/>
          <w:numId w:val="2"/>
        </w:numPr>
        <w:spacing w:after="40" w:before="40"/>
      </w:pPr>
      <w:r>
        <w:rPr>
          <w:rFonts w:ascii="Arial" w:cs="Arial" w:eastAsia="Arial" w:hAnsi="Arial"/>
          <w:b w:val="false"/>
          <w:bCs w:val="false"/>
          <w:sz w:val="20"/>
          <w:szCs w:val="20"/>
        </w:rPr>
        <w:t xml:space="preserve">Member with 1 diabetes dx, no medication, no labs → Score = 3, Standard tier</w:t>
      </w:r>
    </w:p>
    <w:p>
      <w:pPr>
        <w:pStyle w:val="ListParagraph"/>
        <w:numPr>
          <w:ilvl w:val="0"/>
          <w:numId w:val="2"/>
        </w:numPr>
        <w:spacing w:after="40" w:before="40"/>
      </w:pPr>
      <w:r>
        <w:rPr>
          <w:rFonts w:ascii="Arial" w:cs="Arial" w:eastAsia="Arial" w:hAnsi="Arial"/>
          <w:b w:val="false"/>
          <w:bCs w:val="false"/>
          <w:sz w:val="20"/>
          <w:szCs w:val="20"/>
        </w:rPr>
        <w:t xml:space="preserve">Member with 1 diabetes dx + active metformin + prediabetes dx → Score = 7, HIGH tier</w:t>
      </w:r>
    </w:p>
    <w:p>
      <w:pPr>
        <w:pStyle w:val="ListParagraph"/>
        <w:numPr>
          <w:ilvl w:val="0"/>
          <w:numId w:val="2"/>
        </w:numPr>
        <w:spacing w:after="40" w:before="40"/>
      </w:pPr>
      <w:r>
        <w:rPr>
          <w:rFonts w:ascii="Arial" w:cs="Arial" w:eastAsia="Arial" w:hAnsi="Arial"/>
          <w:b w:val="false"/>
          <w:bCs w:val="false"/>
          <w:sz w:val="20"/>
          <w:szCs w:val="20"/>
        </w:rPr>
        <w:t xml:space="preserve">Member with prediabetes dx + HbA1c 6.1% → Score = 4, Standard tier</w:t>
      </w:r>
    </w:p>
    <w:p>
      <w:pPr>
        <w:pStyle w:val="ListParagraph"/>
        <w:numPr>
          <w:ilvl w:val="0"/>
          <w:numId w:val="2"/>
        </w:numPr>
        <w:spacing w:after="40" w:before="40"/>
      </w:pPr>
      <w:r>
        <w:rPr>
          <w:rFonts w:ascii="Arial" w:cs="Arial" w:eastAsia="Arial" w:hAnsi="Arial"/>
          <w:b w:val="false"/>
          <w:bCs w:val="false"/>
          <w:sz w:val="20"/>
          <w:szCs w:val="20"/>
        </w:rPr>
        <w:t xml:space="preserve">Member with 2 diabetes dx on different dates → disqualifier fires, no output</w:t>
      </w:r>
    </w:p>
    <w:p>
      <w:pPr>
        <w:pStyle w:val="ListParagraph"/>
        <w:numPr>
          <w:ilvl w:val="0"/>
          <w:numId w:val="2"/>
        </w:numPr>
        <w:spacing w:after="40" w:before="40"/>
      </w:pPr>
      <w:r>
        <w:rPr>
          <w:rFonts w:ascii="Arial" w:cs="Arial" w:eastAsia="Arial" w:hAnsi="Arial"/>
          <w:b w:val="false"/>
          <w:bCs w:val="false"/>
          <w:sz w:val="20"/>
          <w:szCs w:val="20"/>
        </w:rPr>
        <w:t xml:space="preserve">Member with active insulin dispense → disqualifier fires (qualifying GSD denominator drug), no output</w:t>
      </w:r>
    </w:p>
    <w:p>
      <w:pPr>
        <w:pStyle w:val="ListParagraph"/>
        <w:numPr>
          <w:ilvl w:val="0"/>
          <w:numId w:val="2"/>
        </w:numPr>
        <w:spacing w:after="40" w:before="40"/>
      </w:pPr>
      <w:r>
        <w:rPr>
          <w:rFonts w:ascii="Arial" w:cs="Arial" w:eastAsia="Arial" w:hAnsi="Arial"/>
          <w:b w:val="false"/>
          <w:bCs w:val="false"/>
          <w:sz w:val="20"/>
          <w:szCs w:val="20"/>
        </w:rPr>
        <w:t xml:space="preserve">Member with GLP-1 only, no other signals → Score = 2, below threshold — validates pharmacy solo-signal cap</w:t>
      </w:r>
    </w:p>
    <w:p>
      <w:pPr>
        <w:pStyle w:val="ListParagraph"/>
        <w:numPr>
          <w:ilvl w:val="0"/>
          <w:numId w:val="2"/>
        </w:numPr>
        <w:spacing w:after="40" w:before="40"/>
      </w:pPr>
      <w:r>
        <w:rPr>
          <w:rFonts w:ascii="Arial" w:cs="Arial" w:eastAsia="Arial" w:hAnsi="Arial"/>
          <w:b w:val="false"/>
          <w:bCs w:val="false"/>
          <w:sz w:val="20"/>
          <w:szCs w:val="20"/>
        </w:rPr>
        <w:t xml:space="preserve">Member with GDM history + age 47, no labs → Score = 2, below threshold — validates that historical GDM alone is insufficient</w:t>
      </w:r>
    </w:p>
    <w:p>
      <w:pPr>
        <w:spacing w:after="120" w:before="0"/>
      </w:pPr>
    </w:p>
    <w:p>
      <w:pPr>
        <w:spacing w:after="60" w:before="200"/>
      </w:pPr>
      <w:r>
        <w:rPr>
          <w:rFonts w:ascii="Arial" w:cs="Arial" w:eastAsia="Arial" w:hAnsi="Arial"/>
          <w:b/>
          <w:bCs/>
          <w:color w:val="000000"/>
          <w:sz w:val="21"/>
          <w:szCs w:val="21"/>
        </w:rPr>
        <w:t xml:space="preserve">7.3  Cross-Token Validation</w:t>
      </w:r>
    </w:p>
    <w:p>
      <w:pPr>
        <w:pStyle w:val="ListParagraph"/>
        <w:numPr>
          <w:ilvl w:val="0"/>
          <w:numId w:val="2"/>
        </w:numPr>
        <w:spacing w:after="40" w:before="40"/>
      </w:pPr>
      <w:r>
        <w:rPr>
          <w:rFonts w:ascii="Arial" w:cs="Arial" w:eastAsia="Arial" w:hAnsi="Arial"/>
          <w:b w:val="false"/>
          <w:bCs w:val="false"/>
          <w:sz w:val="20"/>
          <w:szCs w:val="20"/>
        </w:rPr>
        <w:t xml:space="preserve">Run both tokens against a known HEDIS denominator population and confirm zero overlap (disqualifiers working correctly)</w:t>
      </w:r>
    </w:p>
    <w:p>
      <w:pPr>
        <w:pStyle w:val="ListParagraph"/>
        <w:numPr>
          <w:ilvl w:val="0"/>
          <w:numId w:val="2"/>
        </w:numPr>
        <w:spacing w:after="40" w:before="40"/>
      </w:pPr>
      <w:r>
        <w:rPr>
          <w:rFonts w:ascii="Arial" w:cs="Arial" w:eastAsia="Arial" w:hAnsi="Arial"/>
          <w:b w:val="false"/>
          <w:bCs w:val="false"/>
          <w:sz w:val="20"/>
          <w:szCs w:val="20"/>
        </w:rPr>
        <w:t xml:space="preserve">Spot-check 20 HIGH tier members per token against source claims to manually verify signal attribution</w:t>
      </w:r>
    </w:p>
    <w:p>
      <w:pPr>
        <w:pStyle w:val="ListParagraph"/>
        <w:numPr>
          <w:ilvl w:val="0"/>
          <w:numId w:val="2"/>
        </w:numPr>
        <w:spacing w:after="40" w:before="40"/>
      </w:pPr>
      <w:r>
        <w:rPr>
          <w:rFonts w:ascii="Arial" w:cs="Arial" w:eastAsia="Arial" w:hAnsi="Arial"/>
          <w:b w:val="false"/>
          <w:bCs w:val="false"/>
          <w:sz w:val="20"/>
          <w:szCs w:val="20"/>
        </w:rPr>
        <w:t xml:space="preserve">Confirm IHWA routing queue does not contain duplicate MBR_IDs across active gap rules and token output</w:t>
      </w:r>
    </w:p>
    <w:p>
      <w:pPr>
        <w:pStyle w:val="ListParagraph"/>
        <w:numPr>
          <w:ilvl w:val="0"/>
          <w:numId w:val="2"/>
        </w:numPr>
        <w:spacing w:after="40" w:before="40"/>
      </w:pPr>
      <w:r>
        <w:rPr>
          <w:rFonts w:ascii="Arial" w:cs="Arial" w:eastAsia="Arial" w:hAnsi="Arial"/>
          <w:b w:val="false"/>
          <w:bCs w:val="false"/>
          <w:sz w:val="20"/>
          <w:szCs w:val="20"/>
        </w:rPr>
        <w:t xml:space="preserve">Validate score distributions — a heavily right-skewed distribution (most members score 0–2) is expected and indicates appropriate sensitivity</w:t>
      </w:r>
    </w:p>
    <w:p>
      <w:pPr>
        <w:spacing w:after="200" w:before="0"/>
      </w:pPr>
    </w:p>
    <w:p>
      <w:pPr>
        <w:pStyle w:val="Heading2"/>
      </w:pPr>
      <w:r>
        <w:rPr>
          <w:rFonts w:ascii="Arial" w:cs="Arial" w:eastAsia="Arial" w:hAnsi="Arial"/>
          <w:b/>
          <w:bCs/>
          <w:color w:val="1A7A6E"/>
          <w:sz w:val="26"/>
          <w:szCs w:val="26"/>
        </w:rPr>
        <w:t xml:space="preserve">8.  Open Decisions &amp; Design Notes</w:t>
      </w:r>
    </w:p>
    <w:p>
      <w:pPr>
        <w:pBdr>
          <w:bottom w:val="single" w:color="1A7A6E" w:sz="8" w:space="1"/>
        </w:pBdr>
        <w:spacing w:after="120" w:before="0"/>
      </w:pPr>
    </w:p>
    <w:p>
      <w:pPr>
        <w:spacing w:after="60" w:before="60"/>
      </w:pPr>
      <w:r>
        <w:rPr>
          <w:rFonts w:ascii="Arial" w:cs="Arial" w:eastAsia="Arial" w:hAnsi="Arial"/>
          <w:sz w:val="20"/>
          <w:szCs w:val="20"/>
        </w:rPr>
        <w:t xml:space="preserve">The following items require stakeholder input or business decision before final implementation:</w:t>
      </w:r>
    </w:p>
    <w:p>
      <w:pPr>
        <w:spacing w:after="80" w:before="0"/>
      </w:pPr>
    </w:p>
    <w:p>
      <w:pPr>
        <w:pStyle w:val="ListParagraph"/>
        <w:numPr>
          <w:ilvl w:val="0"/>
          <w:numId w:val="2"/>
        </w:numPr>
        <w:spacing w:after="40" w:before="40"/>
      </w:pPr>
      <w:r>
        <w:rPr>
          <w:rFonts w:ascii="Arial" w:cs="Arial" w:eastAsia="Arial" w:hAnsi="Arial"/>
          <w:b w:val="false"/>
          <w:bCs w:val="false"/>
          <w:sz w:val="20"/>
          <w:szCs w:val="20"/>
        </w:rPr>
        <w:t xml:space="preserve">Score decay for 13–24 month signals: Implement 50% weight reduction, or use full weight with a recency flag in the output record? Recommend discussion with clinical team.</w:t>
      </w:r>
    </w:p>
    <w:p>
      <w:pPr>
        <w:pStyle w:val="ListParagraph"/>
        <w:numPr>
          <w:ilvl w:val="0"/>
          <w:numId w:val="2"/>
        </w:numPr>
        <w:spacing w:after="40" w:before="40"/>
      </w:pPr>
      <w:r>
        <w:rPr>
          <w:rFonts w:ascii="Arial" w:cs="Arial" w:eastAsia="Arial" w:hAnsi="Arial"/>
          <w:b w:val="false"/>
          <w:bCs w:val="false"/>
          <w:sz w:val="20"/>
          <w:szCs w:val="20"/>
        </w:rPr>
        <w:t xml:space="preserve">Pharmacy solo-signal cap: Confirm the Standard-only cap for pharmacy-only scores, or allow HIGH tier if score &gt;= 7 and all points are from pharmacy signals?</w:t>
      </w:r>
    </w:p>
    <w:p>
      <w:pPr>
        <w:pStyle w:val="ListParagraph"/>
        <w:numPr>
          <w:ilvl w:val="0"/>
          <w:numId w:val="2"/>
        </w:numPr>
        <w:spacing w:after="40" w:before="40"/>
      </w:pPr>
      <w:r>
        <w:rPr>
          <w:rFonts w:ascii="Arial" w:cs="Arial" w:eastAsia="Arial" w:hAnsi="Arial"/>
          <w:b w:val="false"/>
          <w:bCs w:val="false"/>
          <w:sz w:val="20"/>
          <w:szCs w:val="20"/>
        </w:rPr>
        <w:t xml:space="preserve">GSD prediabetes visit framing: Does IHWA have a distinct visit type code for prevention vs. gap-closure? This affects how the clinician note template is populated.</w:t>
      </w:r>
    </w:p>
    <w:p>
      <w:pPr>
        <w:pStyle w:val="ListParagraph"/>
        <w:numPr>
          <w:ilvl w:val="0"/>
          <w:numId w:val="2"/>
        </w:numPr>
        <w:spacing w:after="40" w:before="40"/>
      </w:pPr>
      <w:r>
        <w:rPr>
          <w:rFonts w:ascii="Arial" w:cs="Arial" w:eastAsia="Arial" w:hAnsi="Arial"/>
          <w:b w:val="false"/>
          <w:bCs w:val="false"/>
          <w:sz w:val="20"/>
          <w:szCs w:val="20"/>
        </w:rPr>
        <w:t xml:space="preserve">Run frequency: Monthly is recommended but may require EDW performance assessment at 14M member scale. Quarterly may be acceptable given IHWA scheduling lead times.</w:t>
      </w:r>
    </w:p>
    <w:p>
      <w:pPr>
        <w:pStyle w:val="ListParagraph"/>
        <w:numPr>
          <w:ilvl w:val="0"/>
          <w:numId w:val="2"/>
        </w:numPr>
        <w:spacing w:after="40" w:before="40"/>
      </w:pPr>
      <w:r>
        <w:rPr>
          <w:rFonts w:ascii="Arial" w:cs="Arial" w:eastAsia="Arial" w:hAnsi="Arial"/>
          <w:b w:val="false"/>
          <w:bCs w:val="false"/>
          <w:sz w:val="20"/>
          <w:szCs w:val="20"/>
        </w:rPr>
        <w:t xml:space="preserve">IHWA capacity throttle threshold: At what score or tier does the strategy team prefer to begin? Recommend piloting HIGH tier only in first production run.</w:t>
      </w:r>
    </w:p>
    <w:p>
      <w:pPr>
        <w:pStyle w:val="ListParagraph"/>
        <w:numPr>
          <w:ilvl w:val="0"/>
          <w:numId w:val="2"/>
        </w:numPr>
        <w:spacing w:after="40" w:before="40"/>
      </w:pPr>
      <w:r>
        <w:rPr>
          <w:rFonts w:ascii="Arial" w:cs="Arial" w:eastAsia="Arial" w:hAnsi="Arial"/>
          <w:b w:val="false"/>
          <w:bCs w:val="false"/>
          <w:sz w:val="20"/>
          <w:szCs w:val="20"/>
        </w:rPr>
        <w:t xml:space="preserve">Score decay implementation: If implemented, document the decay formula and apply it consistently — do not apply decay to pharmacy signal dates (dispense recency is already controlled by active supply logic).</w:t>
      </w:r>
    </w:p>
    <w:p>
      <w:pPr>
        <w:spacing w:after="200" w:before="0"/>
      </w:pPr>
    </w:p>
    <w:p>
      <w:pPr>
        <w:pStyle w:val="Heading2"/>
      </w:pPr>
      <w:r>
        <w:rPr>
          <w:rFonts w:ascii="Arial" w:cs="Arial" w:eastAsia="Arial" w:hAnsi="Arial"/>
          <w:b/>
          <w:bCs/>
          <w:color w:val="1A7A6E"/>
          <w:sz w:val="26"/>
          <w:szCs w:val="26"/>
        </w:rPr>
        <w:t xml:space="preserve">9.  Revision History</w:t>
      </w:r>
    </w:p>
    <w:p>
      <w:pPr>
        <w:pBdr>
          <w:bottom w:val="single" w:color="1A7A6E" w:sz="8" w:space="1"/>
        </w:pBd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160"/>
        <w:gridCol w:w="4200"/>
      </w:tblGrid>
      <w:tr>
        <w:trPr>
          <w:tblHeader/>
        </w:trPr>
        <w:tc>
          <w:tcPr>
            <w:tcW w:type="dxa" w:w="120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180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216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r>
              <w:rPr>
                <w:rFonts w:ascii="Arial" w:cs="Arial" w:eastAsia="Arial" w:hAnsi="Arial"/>
                <w:b/>
                <w:bCs/>
                <w:color w:val="FFFFFF"/>
                <w:sz w:val="19"/>
                <w:szCs w:val="19"/>
              </w:rPr>
              <w:t xml:space="preserve">Author</w:t>
            </w:r>
          </w:p>
        </w:tc>
        <w:tc>
          <w:tcPr>
            <w:tcW w:type="dxa" w:w="420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r>
              <w:rPr>
                <w:rFonts w:ascii="Arial" w:cs="Arial" w:eastAsia="Arial" w:hAnsi="Arial"/>
                <w:b/>
                <w:bCs/>
                <w:color w:val="FFFFFF"/>
                <w:sz w:val="19"/>
                <w:szCs w:val="19"/>
              </w:rPr>
              <w:t xml:space="preserve">Change Summary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 — DRAFT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March 2026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[Author]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Initial draft — both tokens defined. Pending stakeholder review of open decisions in Section 8.</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1"/>
              <w:left w:val="single" w:color="1A7A6E" w:sz="1"/>
              <w:bottom w:val="single" w:color="1A7A6E" w:sz="1"/>
              <w:right w:val="single" w:color="1A7A6E" w:sz="1"/>
            </w:tcBorders>
            <w:shd w:fill="FCE8D5" w:val="clear"/>
            <w:tcMar>
              <w:top w:type="dxa" w:w="100"/>
              <w:left w:type="dxa" w:w="160"/>
              <w:bottom w:type="dxa" w:w="100"/>
              <w:right w:type="dxa" w:w="160"/>
            </w:tcMar>
          </w:tcPr>
          <w:p>
            <w:pPr>
              <w:spacing w:after="40" w:before="40"/>
            </w:pPr>
            <w:r>
              <w:rPr>
                <w:rFonts w:ascii="Arial" w:cs="Arial" w:eastAsia="Arial" w:hAnsi="Arial"/>
                <w:b/>
                <w:bCs/>
                <w:color w:val="1A7A6E"/>
                <w:sz w:val="19"/>
                <w:szCs w:val="19"/>
              </w:rPr>
              <w:t xml:space="preserve">Classification:  </w:t>
            </w:r>
            <w:r>
              <w:rPr>
                <w:rFonts w:ascii="Arial" w:cs="Arial" w:eastAsia="Arial" w:hAnsi="Arial"/>
                <w:sz w:val="19"/>
                <w:szCs w:val="19"/>
              </w:rPr>
              <w:t xml:space="preserve">This document contains internal operational specifications for clinical quality measure strategy. It is intended for use by clinical informatics, care management, and engineering teams only. Not for external distribution.</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A6E" w:sz="6" w:space="1"/>
      </w:pBdr>
      <w:tabs>
        <w:tab w:val="right" w:pos="9360"/>
      </w:tabs>
      <w:spacing w:after="0" w:before="80"/>
    </w:pPr>
    <w:r>
      <w:rPr>
        <w:rFonts w:ascii="Arial" w:cs="Arial" w:eastAsia="Arial" w:hAnsi="Arial"/>
        <w:color w:val="555555"/>
        <w:sz w:val="18"/>
        <w:szCs w:val="18"/>
      </w:rPr>
      <w:t xml:space="preserve">PRE_DENOM_CBP_SCORE  |  PRE_DENOM_GSD_SCORE</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6E" w:sz="6" w:space="1"/>
      </w:pBdr>
      <w:spacing w:after="80" w:before="0"/>
    </w:pPr>
    <w:r>
      <w:rPr>
        <w:rFonts w:ascii="Arial" w:cs="Arial" w:eastAsia="Arial" w:hAnsi="Arial"/>
        <w:color w:val="555555"/>
        <w:sz w:val="18"/>
        <w:szCs w:val="18"/>
      </w:rPr>
      <w:t xml:space="preserve">Clinical Rules Engine  |  Custom Token Specification</w:t>
    </w:r>
    <w:r>
      <w:rPr>
        <w:rFonts w:ascii="Arial" w:cs="Arial" w:eastAsia="Arial" w:hAnsi="Arial"/>
        <w:b/>
        <w:bCs/>
        <w:color w:val="C45911"/>
        <w:sz w:val="18"/>
        <w:szCs w:val="18"/>
      </w:rPr>
      <w:t xml:space="preserve">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7A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2026-03-22T16:35:16.573Z</dcterms:created>
  <dcterms:modified xsi:type="dcterms:W3CDTF">2026-03-22T16:35:16.574Z</dcterms:modified>
</cp:coreProperties>
</file>

<file path=docProps/custom.xml><?xml version="1.0" encoding="utf-8"?>
<Properties xmlns="http://schemas.openxmlformats.org/officeDocument/2006/custom-properties" xmlns:vt="http://schemas.openxmlformats.org/officeDocument/2006/docPropsVTypes"/>
</file>