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1F3A5F"/>
          <w:sz w:val="36"/>
        </w:rPr>
        <w:t>新灯（耀乾 FL05 泛光灯）室内测试简报</w:t>
      </w:r>
    </w:p>
    <w:p>
      <w:pPr>
        <w:jc w:val="center"/>
      </w:pPr>
      <w:r>
        <w:rPr>
          <w:sz w:val="19"/>
        </w:rPr>
        <w:t>杆式夜间水体遥感反射率测量系统    测试：2026-10-22 晚，宁波公司室内    操作：郝威</w:t>
      </w:r>
    </w:p>
    <w:p>
      <w:pPr>
        <w:pStyle w:val="Heading1"/>
      </w:pPr>
      <w:r>
        <w:t>结论</w:t>
      </w:r>
    </w:p>
    <w:p>
      <w:pPr>
        <w:pStyle w:val="ListBullet"/>
      </w:pPr>
      <w:r>
        <w:rPr>
          <w:b/>
        </w:rPr>
        <w:t>均匀性达标：</w:t>
      </w:r>
      <w:r>
        <w:t>50 cm 范围内最低照度在 1.5–5 m 各距离都 ≥ 92.9%（要求 80%），80 cm 范围 ≥ 81.7%。旧灯在同样距离下全部不达标（最好 77.7%）。</w:t>
      </w:r>
    </w:p>
    <w:p>
      <w:pPr>
        <w:pStyle w:val="ListBullet"/>
      </w:pPr>
      <w:r>
        <w:rPr>
          <w:b/>
        </w:rPr>
        <w:t>稳定性达标：</w:t>
      </w:r>
      <w:r>
        <w:t>开灯 20 min 后，水体与参考板间隔 1 min 配对，灯的变化 &lt; 0.1%；20–50 min 波动 0.74%（旧灯 1.42%）。</w:t>
      </w:r>
    </w:p>
    <w:p>
      <w:pPr>
        <w:pStyle w:val="ListBullet"/>
      </w:pPr>
      <w:r>
        <w:rPr>
          <w:b/>
        </w:rPr>
        <w:t>距离规律清楚：</w:t>
      </w:r>
      <w:r>
        <w:t>中心亮度按 r^−1.96 衰减（R² = 0.9998），可直接做距离修正。</w:t>
      </w:r>
    </w:p>
    <w:p>
      <w:pPr>
        <w:pStyle w:val="ListBullet"/>
      </w:pPr>
      <w:r>
        <w:rPr>
          <w:b/>
        </w:rPr>
        <w:t>短板是亮度：</w:t>
      </w:r>
      <w:r>
        <w:t>同为 2 m、灯中心，新灯亮度约为旧灯的 1/5，420 nm 只有约 1/15。原因一是泛光把光摊开了，二是灯珠在蓝紫端本身偏弱。</w:t>
      </w:r>
    </w:p>
    <w:p>
      <w:pPr>
        <w:pStyle w:val="ListBullet"/>
      </w:pPr>
      <w:r>
        <w:rPr>
          <w:b/>
        </w:rPr>
        <w:t>水面能否用，待实测：</w:t>
      </w:r>
      <w:r>
        <w:t>绿、红波段（550、650 nm）在 1.5–5 m 都够；420 nm 和 700–720 nm 是瓶颈。估算安装 2–3 m、长积分时间加多帧平均可能够，但必须实测。</w:t>
      </w:r>
    </w:p>
    <w:p>
      <w:pPr>
        <w:pStyle w:val="ListBullet"/>
      </w:pPr>
      <w:r>
        <w:rPr>
          <w:b/>
        </w:rPr>
        <w:t>下一步：</w:t>
      </w:r>
      <w:r>
        <w:t>样机不拆，新灯临时架在旁边，与样机原装旧灯在同一水面点对比测量，按第 5 节的判据决定是否换灯。</w:t>
      </w:r>
    </w:p>
    <w:p>
      <w:pPr>
        <w:pStyle w:val="Heading1"/>
      </w:pPr>
      <w:r>
        <w:t>1 测试内容</w:t>
      </w:r>
    </w:p>
    <w:p>
      <w:pPr>
        <w:pStyle w:val="Caption"/>
        <w:jc w:val="center"/>
      </w:pPr>
      <w:r>
        <w:t>表1  测试条件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706"/>
        <w:gridCol w:w="4706"/>
      </w:tblGrid>
      <w:tr>
        <w:tc>
          <w:tcPr>
            <w:tcW w:type="dxa" w:w="1814"/>
            <w:shd w:val="clear" w:color="auto" w:fill="DCE6F0"/>
          </w:tcPr>
          <w:p>
            <w:r/>
            <w:r>
              <w:rPr>
                <w:b/>
                <w:sz w:val="18"/>
              </w:rPr>
              <w:t>项目</w:t>
            </w:r>
          </w:p>
        </w:tc>
        <w:tc>
          <w:tcPr>
            <w:tcW w:type="dxa" w:w="7540"/>
            <w:shd w:val="clear" w:color="auto" w:fill="DCE6F0"/>
          </w:tcPr>
          <w:p>
            <w:r/>
            <w:r>
              <w:rPr>
                <w:b/>
                <w:sz w:val="18"/>
              </w:rPr>
              <w:t>内容</w:t>
            </w:r>
          </w:p>
        </w:tc>
      </w:tr>
      <w:tr>
        <w:tc>
          <w:tcPr>
            <w:tcW w:type="dxa" w:w="1814"/>
          </w:tcPr>
          <w:p>
            <w:r/>
            <w:r>
              <w:rPr>
                <w:sz w:val="18"/>
              </w:rPr>
              <w:t>灯</w:t>
            </w:r>
          </w:p>
        </w:tc>
        <w:tc>
          <w:tcPr>
            <w:tcW w:type="dxa" w:w="7540"/>
          </w:tcPr>
          <w:p>
            <w:r/>
            <w:r>
              <w:rPr>
                <w:sz w:val="18"/>
              </w:rPr>
              <w:t>耀乾 FL05 泛光灯，50 W，DC 24 V</w:t>
            </w:r>
          </w:p>
        </w:tc>
      </w:tr>
      <w:tr>
        <w:tc>
          <w:tcPr>
            <w:tcW w:type="dxa" w:w="1814"/>
          </w:tcPr>
          <w:p>
            <w:r/>
            <w:r>
              <w:rPr>
                <w:sz w:val="18"/>
              </w:rPr>
              <w:t>探头 / 参考板</w:t>
            </w:r>
          </w:p>
        </w:tc>
        <w:tc>
          <w:tcPr>
            <w:tcW w:type="dxa" w:w="7540"/>
          </w:tcPr>
          <w:p>
            <w:r/>
            <w:r>
              <w:rPr>
                <w:sz w:val="18"/>
              </w:rPr>
              <w:t>IEP_O2N9DA（512 ms 固定积分时间）；25% 参考板，探头与板全程不动</w:t>
            </w:r>
          </w:p>
        </w:tc>
      </w:tr>
      <w:tr>
        <w:tc>
          <w:tcPr>
            <w:tcW w:type="dxa" w:w="1814"/>
          </w:tcPr>
          <w:p>
            <w:r/>
            <w:r>
              <w:rPr>
                <w:sz w:val="18"/>
              </w:rPr>
              <w:t>冷启动</w:t>
            </w:r>
          </w:p>
        </w:tc>
        <w:tc>
          <w:tcPr>
            <w:tcW w:type="dxa" w:w="7540"/>
          </w:tcPr>
          <w:p>
            <w:r/>
            <w:r>
              <w:rPr>
                <w:sz w:val="18"/>
              </w:rPr>
              <w:t>开灯后连续测参考板约 90 min</w:t>
            </w:r>
          </w:p>
        </w:tc>
      </w:tr>
      <w:tr>
        <w:tc>
          <w:tcPr>
            <w:tcW w:type="dxa" w:w="1814"/>
          </w:tcPr>
          <w:p>
            <w:r/>
            <w:r>
              <w:rPr>
                <w:sz w:val="18"/>
              </w:rPr>
              <w:t>距离与光斑</w:t>
            </w:r>
          </w:p>
        </w:tc>
        <w:tc>
          <w:tcPr>
            <w:tcW w:type="dxa" w:w="7540"/>
          </w:tcPr>
          <w:p>
            <w:r/>
            <w:r>
              <w:rPr>
                <w:sz w:val="18"/>
              </w:rPr>
              <w:t>灯距板 1.5 / 2 / 3 / 4 / 5 m；每个距离测中心及左右各 20、40 cm（共 5 点）</w:t>
            </w:r>
          </w:p>
        </w:tc>
      </w:tr>
      <w:tr>
        <w:tc>
          <w:tcPr>
            <w:tcW w:type="dxa" w:w="1814"/>
          </w:tcPr>
          <w:p>
            <w:r/>
            <w:r>
              <w:rPr>
                <w:sz w:val="18"/>
              </w:rPr>
              <w:t>亮度</w:t>
            </w:r>
          </w:p>
        </w:tc>
        <w:tc>
          <w:tcPr>
            <w:tcW w:type="dxa" w:w="7540"/>
          </w:tcPr>
          <w:p>
            <w:r/>
            <w:r>
              <w:rPr>
                <w:sz w:val="18"/>
              </w:rPr>
              <w:t>由各距离中心点数据计算单帧信噪比；与旧灯按辐亮度定标比较</w:t>
            </w:r>
          </w:p>
        </w:tc>
      </w:tr>
    </w:tbl>
    <w:p>
      <w:pPr>
        <w:spacing w:after="0"/>
      </w:pPr>
    </w:p>
    <w:p>
      <w:pPr>
        <w:pStyle w:val="Heading1"/>
      </w:pPr>
      <w:r>
        <w:t>2 光斑均匀性</w:t>
      </w:r>
    </w:p>
    <w:p>
      <w:pPr>
        <w:pStyle w:val="Caption"/>
        <w:jc w:val="center"/>
      </w:pPr>
      <w:r>
        <w:t>表2  横向最低照度（相对同距离中心）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569"/>
        <w:gridCol w:w="1569"/>
        <w:gridCol w:w="1569"/>
        <w:gridCol w:w="1569"/>
        <w:gridCol w:w="1569"/>
        <w:gridCol w:w="1569"/>
      </w:tblGrid>
      <w:tr>
        <w:tc>
          <w:tcPr>
            <w:tcW w:type="dxa" w:w="1247"/>
            <w:shd w:val="clear" w:color="auto" w:fill="DCE6F0"/>
          </w:tcPr>
          <w:p>
            <w:r/>
            <w:r>
              <w:rPr>
                <w:b/>
                <w:sz w:val="18"/>
              </w:rPr>
              <w:t>距离 / m</w:t>
            </w:r>
          </w:p>
        </w:tc>
        <w:tc>
          <w:tcPr>
            <w:tcW w:type="dxa" w:w="1361"/>
            <w:shd w:val="clear" w:color="auto" w:fill="DCE6F0"/>
          </w:tcPr>
          <w:p>
            <w:r/>
            <w:r>
              <w:rPr>
                <w:b/>
                <w:sz w:val="18"/>
              </w:rPr>
              <w:t>±20 cm</w:t>
            </w:r>
          </w:p>
        </w:tc>
        <w:tc>
          <w:tcPr>
            <w:tcW w:type="dxa" w:w="1361"/>
            <w:shd w:val="clear" w:color="auto" w:fill="DCE6F0"/>
          </w:tcPr>
          <w:p>
            <w:r/>
            <w:r>
              <w:rPr>
                <w:b/>
                <w:sz w:val="18"/>
              </w:rPr>
              <w:t>±40 cm</w:t>
            </w:r>
          </w:p>
        </w:tc>
        <w:tc>
          <w:tcPr>
            <w:tcW w:type="dxa" w:w="1871"/>
            <w:shd w:val="clear" w:color="auto" w:fill="DCE6F0"/>
          </w:tcPr>
          <w:p>
            <w:r/>
            <w:r>
              <w:rPr>
                <w:b/>
                <w:sz w:val="18"/>
              </w:rPr>
              <w:t>50 cm 范围（新灯）</w:t>
            </w:r>
          </w:p>
        </w:tc>
        <w:tc>
          <w:tcPr>
            <w:tcW w:type="dxa" w:w="1871"/>
            <w:shd w:val="clear" w:color="auto" w:fill="DCE6F0"/>
          </w:tcPr>
          <w:p>
            <w:r/>
            <w:r>
              <w:rPr>
                <w:b/>
                <w:sz w:val="18"/>
              </w:rPr>
              <w:t>50 cm 范围（旧灯）</w:t>
            </w:r>
          </w:p>
        </w:tc>
        <w:tc>
          <w:tcPr>
            <w:tcW w:type="dxa" w:w="1361"/>
            <w:shd w:val="clear" w:color="auto" w:fill="DCE6F0"/>
          </w:tcPr>
          <w:p>
            <w:r/>
            <w:r>
              <w:rPr>
                <w:b/>
                <w:sz w:val="18"/>
              </w:rPr>
              <w:t>新灯判定</w:t>
            </w:r>
          </w:p>
        </w:tc>
      </w:tr>
      <w:tr>
        <w:tc>
          <w:tcPr>
            <w:tcW w:type="dxa" w:w="1247"/>
          </w:tcPr>
          <w:p>
            <w:r/>
            <w:r>
              <w:rPr>
                <w:sz w:val="18"/>
              </w:rPr>
              <w:t>1.5</w:t>
            </w:r>
          </w:p>
        </w:tc>
        <w:tc>
          <w:tcPr>
            <w:tcW w:type="dxa" w:w="1361"/>
          </w:tcPr>
          <w:p>
            <w:r/>
            <w:r>
              <w:rPr>
                <w:sz w:val="18"/>
              </w:rPr>
              <w:t>98.3%</w:t>
            </w:r>
          </w:p>
        </w:tc>
        <w:tc>
          <w:tcPr>
            <w:tcW w:type="dxa" w:w="1361"/>
          </w:tcPr>
          <w:p>
            <w:r/>
            <w:r>
              <w:rPr>
                <w:sz w:val="18"/>
              </w:rPr>
              <w:t>81.7%</w:t>
            </w:r>
          </w:p>
        </w:tc>
        <w:tc>
          <w:tcPr>
            <w:tcW w:type="dxa" w:w="1871"/>
          </w:tcPr>
          <w:p>
            <w:r/>
            <w:r>
              <w:rPr>
                <w:sz w:val="18"/>
              </w:rPr>
              <w:t>94.2%</w:t>
            </w:r>
          </w:p>
        </w:tc>
        <w:tc>
          <w:tcPr>
            <w:tcW w:type="dxa" w:w="1871"/>
            <w:shd w:val="clear" w:color="auto" w:fill="FCE4D6"/>
          </w:tcPr>
          <w:p>
            <w:r/>
            <w:r>
              <w:rPr>
                <w:sz w:val="18"/>
              </w:rPr>
              <w:t>23.5%</w:t>
            </w:r>
          </w:p>
        </w:tc>
        <w:tc>
          <w:tcPr>
            <w:tcW w:type="dxa" w:w="1361"/>
            <w:shd w:val="clear" w:color="auto" w:fill="E2EFDA"/>
          </w:tcPr>
          <w:p>
            <w:r/>
            <w:r>
              <w:rPr>
                <w:sz w:val="18"/>
              </w:rPr>
              <w:t>达标</w:t>
            </w:r>
          </w:p>
        </w:tc>
      </w:tr>
      <w:tr>
        <w:tc>
          <w:tcPr>
            <w:tcW w:type="dxa" w:w="1247"/>
          </w:tcPr>
          <w:p>
            <w:r/>
            <w:r>
              <w:rPr>
                <w:sz w:val="18"/>
              </w:rPr>
              <w:t>2.0</w:t>
            </w:r>
          </w:p>
        </w:tc>
        <w:tc>
          <w:tcPr>
            <w:tcW w:type="dxa" w:w="1361"/>
          </w:tcPr>
          <w:p>
            <w:r/>
            <w:r>
              <w:rPr>
                <w:sz w:val="18"/>
              </w:rPr>
              <w:t>93.5%</w:t>
            </w:r>
          </w:p>
        </w:tc>
        <w:tc>
          <w:tcPr>
            <w:tcW w:type="dxa" w:w="1361"/>
          </w:tcPr>
          <w:p>
            <w:r/>
            <w:r>
              <w:rPr>
                <w:sz w:val="18"/>
              </w:rPr>
              <w:t>89.2%</w:t>
            </w:r>
          </w:p>
        </w:tc>
        <w:tc>
          <w:tcPr>
            <w:tcW w:type="dxa" w:w="1871"/>
          </w:tcPr>
          <w:p>
            <w:r/>
            <w:r>
              <w:rPr>
                <w:sz w:val="18"/>
              </w:rPr>
              <w:t>92.9%</w:t>
            </w:r>
          </w:p>
        </w:tc>
        <w:tc>
          <w:tcPr>
            <w:tcW w:type="dxa" w:w="1871"/>
            <w:shd w:val="clear" w:color="auto" w:fill="FCE4D6"/>
          </w:tcPr>
          <w:p>
            <w:r/>
            <w:r>
              <w:rPr>
                <w:sz w:val="18"/>
              </w:rPr>
              <w:t>43.5%</w:t>
            </w:r>
          </w:p>
        </w:tc>
        <w:tc>
          <w:tcPr>
            <w:tcW w:type="dxa" w:w="1361"/>
            <w:shd w:val="clear" w:color="auto" w:fill="E2EFDA"/>
          </w:tcPr>
          <w:p>
            <w:r/>
            <w:r>
              <w:rPr>
                <w:sz w:val="18"/>
              </w:rPr>
              <w:t>达标</w:t>
            </w:r>
          </w:p>
        </w:tc>
      </w:tr>
      <w:tr>
        <w:tc>
          <w:tcPr>
            <w:tcW w:type="dxa" w:w="1247"/>
          </w:tcPr>
          <w:p>
            <w:r/>
            <w:r>
              <w:rPr>
                <w:sz w:val="18"/>
              </w:rPr>
              <w:t>3.0</w:t>
            </w:r>
          </w:p>
        </w:tc>
        <w:tc>
          <w:tcPr>
            <w:tcW w:type="dxa" w:w="1361"/>
          </w:tcPr>
          <w:p>
            <w:r/>
            <w:r>
              <w:rPr>
                <w:sz w:val="18"/>
              </w:rPr>
              <w:t>94.9%</w:t>
            </w:r>
          </w:p>
        </w:tc>
        <w:tc>
          <w:tcPr>
            <w:tcW w:type="dxa" w:w="1361"/>
          </w:tcPr>
          <w:p>
            <w:r/>
            <w:r>
              <w:rPr>
                <w:sz w:val="18"/>
              </w:rPr>
              <w:t>87.2%</w:t>
            </w:r>
          </w:p>
        </w:tc>
        <w:tc>
          <w:tcPr>
            <w:tcW w:type="dxa" w:w="1871"/>
          </w:tcPr>
          <w:p>
            <w:r/>
            <w:r>
              <w:rPr>
                <w:sz w:val="18"/>
              </w:rPr>
              <w:t>93.0%</w:t>
            </w:r>
          </w:p>
        </w:tc>
        <w:tc>
          <w:tcPr>
            <w:tcW w:type="dxa" w:w="1871"/>
            <w:shd w:val="clear" w:color="auto" w:fill="FCE4D6"/>
          </w:tcPr>
          <w:p>
            <w:r/>
            <w:r>
              <w:rPr>
                <w:sz w:val="18"/>
              </w:rPr>
              <w:t>61.8%</w:t>
            </w:r>
          </w:p>
        </w:tc>
        <w:tc>
          <w:tcPr>
            <w:tcW w:type="dxa" w:w="1361"/>
            <w:shd w:val="clear" w:color="auto" w:fill="E2EFDA"/>
          </w:tcPr>
          <w:p>
            <w:r/>
            <w:r>
              <w:rPr>
                <w:sz w:val="18"/>
              </w:rPr>
              <w:t>达标</w:t>
            </w:r>
          </w:p>
        </w:tc>
      </w:tr>
      <w:tr>
        <w:tc>
          <w:tcPr>
            <w:tcW w:type="dxa" w:w="1247"/>
          </w:tcPr>
          <w:p>
            <w:r/>
            <w:r>
              <w:rPr>
                <w:sz w:val="18"/>
              </w:rPr>
              <w:t>4.1</w:t>
            </w:r>
          </w:p>
        </w:tc>
        <w:tc>
          <w:tcPr>
            <w:tcW w:type="dxa" w:w="1361"/>
          </w:tcPr>
          <w:p>
            <w:r/>
            <w:r>
              <w:rPr>
                <w:sz w:val="18"/>
              </w:rPr>
              <w:t>98.6%</w:t>
            </w:r>
          </w:p>
        </w:tc>
        <w:tc>
          <w:tcPr>
            <w:tcW w:type="dxa" w:w="1361"/>
          </w:tcPr>
          <w:p>
            <w:r/>
            <w:r>
              <w:rPr>
                <w:sz w:val="18"/>
              </w:rPr>
              <w:t>95.2%</w:t>
            </w:r>
          </w:p>
        </w:tc>
        <w:tc>
          <w:tcPr>
            <w:tcW w:type="dxa" w:w="1871"/>
          </w:tcPr>
          <w:p>
            <w:r/>
            <w:r>
              <w:rPr>
                <w:sz w:val="18"/>
              </w:rPr>
              <w:t>97.8%</w:t>
            </w:r>
          </w:p>
        </w:tc>
        <w:tc>
          <w:tcPr>
            <w:tcW w:type="dxa" w:w="1871"/>
            <w:shd w:val="clear" w:color="auto" w:fill="FCE4D6"/>
          </w:tcPr>
          <w:p>
            <w:r/>
            <w:r>
              <w:rPr>
                <w:sz w:val="18"/>
              </w:rPr>
              <w:t>69.0%</w:t>
            </w:r>
          </w:p>
        </w:tc>
        <w:tc>
          <w:tcPr>
            <w:tcW w:type="dxa" w:w="1361"/>
            <w:shd w:val="clear" w:color="auto" w:fill="E2EFDA"/>
          </w:tcPr>
          <w:p>
            <w:r/>
            <w:r>
              <w:rPr>
                <w:sz w:val="18"/>
              </w:rPr>
              <w:t>达标</w:t>
            </w:r>
          </w:p>
        </w:tc>
      </w:tr>
      <w:tr>
        <w:tc>
          <w:tcPr>
            <w:tcW w:type="dxa" w:w="1247"/>
          </w:tcPr>
          <w:p>
            <w:r/>
            <w:r>
              <w:rPr>
                <w:sz w:val="18"/>
              </w:rPr>
              <w:t>5.0</w:t>
            </w:r>
          </w:p>
        </w:tc>
        <w:tc>
          <w:tcPr>
            <w:tcW w:type="dxa" w:w="1361"/>
          </w:tcPr>
          <w:p>
            <w:r/>
            <w:r>
              <w:rPr>
                <w:sz w:val="18"/>
              </w:rPr>
              <w:t>99.6%</w:t>
            </w:r>
          </w:p>
        </w:tc>
        <w:tc>
          <w:tcPr>
            <w:tcW w:type="dxa" w:w="1361"/>
          </w:tcPr>
          <w:p>
            <w:r/>
            <w:r>
              <w:rPr>
                <w:sz w:val="18"/>
              </w:rPr>
              <w:t>99.6%</w:t>
            </w:r>
          </w:p>
        </w:tc>
        <w:tc>
          <w:tcPr>
            <w:tcW w:type="dxa" w:w="1871"/>
          </w:tcPr>
          <w:p>
            <w:r/>
            <w:r>
              <w:rPr>
                <w:sz w:val="18"/>
              </w:rPr>
              <w:t>99.6%</w:t>
            </w:r>
          </w:p>
        </w:tc>
        <w:tc>
          <w:tcPr>
            <w:tcW w:type="dxa" w:w="1871"/>
            <w:shd w:val="clear" w:color="auto" w:fill="FCE4D6"/>
          </w:tcPr>
          <w:p>
            <w:r/>
            <w:r>
              <w:rPr>
                <w:sz w:val="18"/>
              </w:rPr>
              <w:t>77.7%</w:t>
            </w:r>
          </w:p>
        </w:tc>
        <w:tc>
          <w:tcPr>
            <w:tcW w:type="dxa" w:w="1361"/>
            <w:shd w:val="clear" w:color="auto" w:fill="E2EFDA"/>
          </w:tcPr>
          <w:p>
            <w:r/>
            <w:r>
              <w:rPr>
                <w:sz w:val="18"/>
              </w:rPr>
              <w:t>达标</w:t>
            </w:r>
          </w:p>
        </w:tc>
      </w:tr>
    </w:tbl>
    <w:p>
      <w:pPr>
        <w:spacing w:after="0"/>
      </w:pP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580000" cy="2181273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ist_lateral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218127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jc w:val="center"/>
      </w:pPr>
      <w:r>
        <w:t>图1  横向光斑剖面：新灯（左）几乎是平的，旧灯（右）中心亮、两侧急降</w:t>
      </w:r>
    </w:p>
    <w:p>
      <w:pPr>
        <w:pStyle w:val="Heading1"/>
      </w:pPr>
      <w:r>
        <w:t>3 冷启动稳定性</w:t>
      </w:r>
    </w:p>
    <w:p>
      <w:pPr>
        <w:pStyle w:val="Caption"/>
        <w:jc w:val="center"/>
      </w:pPr>
      <w:r>
        <w:t>表3  稳定性指标（420–700 nm）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37"/>
        <w:gridCol w:w="3137"/>
        <w:gridCol w:w="3137"/>
      </w:tblGrid>
      <w:tr>
        <w:tc>
          <w:tcPr>
            <w:tcW w:type="dxa" w:w="2835"/>
            <w:shd w:val="clear" w:color="auto" w:fill="DCE6F0"/>
          </w:tcPr>
          <w:p>
            <w:r/>
            <w:r>
              <w:rPr>
                <w:b/>
                <w:sz w:val="18"/>
              </w:rPr>
              <w:t>指标</w:t>
            </w:r>
          </w:p>
        </w:tc>
        <w:tc>
          <w:tcPr>
            <w:tcW w:type="dxa" w:w="3288"/>
            <w:shd w:val="clear" w:color="auto" w:fill="DCE6F0"/>
          </w:tcPr>
          <w:p>
            <w:r/>
            <w:r>
              <w:rPr>
                <w:b/>
                <w:sz w:val="18"/>
              </w:rPr>
              <w:t>新灯</w:t>
            </w:r>
          </w:p>
        </w:tc>
        <w:tc>
          <w:tcPr>
            <w:tcW w:type="dxa" w:w="3231"/>
            <w:shd w:val="clear" w:color="auto" w:fill="DCE6F0"/>
          </w:tcPr>
          <w:p>
            <w:r/>
            <w:r>
              <w:rPr>
                <w:b/>
                <w:sz w:val="18"/>
              </w:rPr>
              <w:t>旧灯</w:t>
            </w:r>
          </w:p>
        </w:tc>
      </w:tr>
      <w:tr>
        <w:tc>
          <w:tcPr>
            <w:tcW w:type="dxa" w:w="2835"/>
          </w:tcPr>
          <w:p>
            <w:r/>
            <w:r>
              <w:rPr>
                <w:sz w:val="18"/>
              </w:rPr>
              <w:t>开灯后前 5 min 变化</w:t>
            </w:r>
          </w:p>
        </w:tc>
        <w:tc>
          <w:tcPr>
            <w:tcW w:type="dxa" w:w="3288"/>
          </w:tcPr>
          <w:p>
            <w:r/>
            <w:r>
              <w:rPr>
                <w:sz w:val="18"/>
              </w:rPr>
              <w:t>约 −2.2%（绿波段）</w:t>
            </w:r>
          </w:p>
        </w:tc>
        <w:tc>
          <w:tcPr>
            <w:tcW w:type="dxa" w:w="3231"/>
          </w:tcPr>
          <w:p>
            <w:r/>
            <w:r>
              <w:rPr>
                <w:sz w:val="18"/>
              </w:rPr>
              <w:t>—</w:t>
            </w:r>
          </w:p>
        </w:tc>
      </w:tr>
      <w:tr>
        <w:tc>
          <w:tcPr>
            <w:tcW w:type="dxa" w:w="2835"/>
          </w:tcPr>
          <w:p>
            <w:r/>
            <w:r>
              <w:rPr>
                <w:sz w:val="18"/>
              </w:rPr>
              <w:t>20–50 min 峰-峰变化</w:t>
            </w:r>
          </w:p>
        </w:tc>
        <w:tc>
          <w:tcPr>
            <w:tcW w:type="dxa" w:w="3288"/>
          </w:tcPr>
          <w:p>
            <w:r/>
            <w:r>
              <w:rPr>
                <w:sz w:val="18"/>
              </w:rPr>
              <w:t>0.74%</w:t>
            </w:r>
          </w:p>
        </w:tc>
        <w:tc>
          <w:tcPr>
            <w:tcW w:type="dxa" w:w="3231"/>
          </w:tcPr>
          <w:p>
            <w:r/>
            <w:r>
              <w:rPr>
                <w:sz w:val="18"/>
              </w:rPr>
              <w:t>1.42%</w:t>
            </w:r>
          </w:p>
        </w:tc>
      </w:tr>
      <w:tr>
        <w:tc>
          <w:tcPr>
            <w:tcW w:type="dxa" w:w="2835"/>
          </w:tcPr>
          <w:p>
            <w:r/>
            <w:r>
              <w:rPr>
                <w:sz w:val="18"/>
              </w:rPr>
              <w:t>1 h 后变暗速率</w:t>
            </w:r>
          </w:p>
        </w:tc>
        <w:tc>
          <w:tcPr>
            <w:tcW w:type="dxa" w:w="3288"/>
          </w:tcPr>
          <w:p>
            <w:r/>
            <w:r>
              <w:rPr>
                <w:sz w:val="18"/>
              </w:rPr>
              <w:t>0.004 %/min，接近平台</w:t>
            </w:r>
          </w:p>
        </w:tc>
        <w:tc>
          <w:tcPr>
            <w:tcW w:type="dxa" w:w="3231"/>
          </w:tcPr>
          <w:p>
            <w:r/>
            <w:r>
              <w:rPr>
                <w:sz w:val="18"/>
              </w:rPr>
              <w:t>0.022 %/min，未进入平台</w:t>
            </w:r>
          </w:p>
        </w:tc>
      </w:tr>
      <w:tr>
        <w:tc>
          <w:tcPr>
            <w:tcW w:type="dxa" w:w="2835"/>
          </w:tcPr>
          <w:p>
            <w:r/>
            <w:r>
              <w:rPr>
                <w:sz w:val="18"/>
              </w:rPr>
              <w:t>1 min 配对误差</w:t>
            </w:r>
          </w:p>
        </w:tc>
        <w:tc>
          <w:tcPr>
            <w:tcW w:type="dxa" w:w="3288"/>
          </w:tcPr>
          <w:p>
            <w:r/>
            <w:r>
              <w:rPr>
                <w:sz w:val="18"/>
              </w:rPr>
              <w:t>开灯 20 min 后 &lt; 0.1%</w:t>
            </w:r>
          </w:p>
        </w:tc>
        <w:tc>
          <w:tcPr>
            <w:tcW w:type="dxa" w:w="3231"/>
          </w:tcPr>
          <w:p>
            <w:r/>
            <w:r>
              <w:rPr>
                <w:sz w:val="18"/>
              </w:rPr>
              <w:t>&lt; 0.1%</w:t>
            </w:r>
          </w:p>
        </w:tc>
      </w:tr>
    </w:tbl>
    <w:p>
      <w:pPr>
        <w:spacing w:after="0"/>
      </w:pPr>
    </w:p>
    <w:p>
      <w:r>
        <w:t>建议开灯后等 20 min 再测，有条件等 1 h。</w:t>
      </w:r>
    </w:p>
    <w:p>
      <w:pPr>
        <w:pStyle w:val="Heading1"/>
      </w:pPr>
      <w:r>
        <w:t>4 亮度与信噪比</w:t>
      </w:r>
    </w:p>
    <w:p>
      <w:pPr>
        <w:pStyle w:val="Caption"/>
        <w:jc w:val="center"/>
      </w:pPr>
      <w:r>
        <w:t>表4  参考板单帧 SNR ≥ 20 的波段（512 ms）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706"/>
        <w:gridCol w:w="4706"/>
      </w:tblGrid>
      <w:tr>
        <w:tc>
          <w:tcPr>
            <w:tcW w:type="dxa" w:w="1701"/>
            <w:shd w:val="clear" w:color="auto" w:fill="DCE6F0"/>
          </w:tcPr>
          <w:p>
            <w:r/>
            <w:r>
              <w:rPr>
                <w:b/>
                <w:sz w:val="18"/>
              </w:rPr>
              <w:t>距离 / m</w:t>
            </w:r>
          </w:p>
        </w:tc>
        <w:tc>
          <w:tcPr>
            <w:tcW w:type="dxa" w:w="4535"/>
            <w:shd w:val="clear" w:color="auto" w:fill="DCE6F0"/>
          </w:tcPr>
          <w:p>
            <w:r/>
            <w:r>
              <w:rPr>
                <w:b/>
                <w:sz w:val="18"/>
              </w:rPr>
              <w:t>SNR ≥ 20 的连续波段 / nm</w:t>
            </w:r>
          </w:p>
        </w:tc>
      </w:tr>
      <w:tr>
        <w:tc>
          <w:tcPr>
            <w:tcW w:type="dxa" w:w="1701"/>
          </w:tcPr>
          <w:p>
            <w:r/>
            <w:r>
              <w:rPr>
                <w:sz w:val="18"/>
              </w:rPr>
              <w:t>1.5</w:t>
            </w:r>
          </w:p>
        </w:tc>
        <w:tc>
          <w:tcPr>
            <w:tcW w:type="dxa" w:w="4535"/>
          </w:tcPr>
          <w:p>
            <w:r/>
            <w:r>
              <w:rPr>
                <w:sz w:val="18"/>
              </w:rPr>
              <w:t>423.0 – 706.9</w:t>
            </w:r>
          </w:p>
        </w:tc>
      </w:tr>
      <w:tr>
        <w:tc>
          <w:tcPr>
            <w:tcW w:type="dxa" w:w="1701"/>
          </w:tcPr>
          <w:p>
            <w:r/>
            <w:r>
              <w:rPr>
                <w:sz w:val="18"/>
              </w:rPr>
              <w:t>2.0</w:t>
            </w:r>
          </w:p>
        </w:tc>
        <w:tc>
          <w:tcPr>
            <w:tcW w:type="dxa" w:w="4535"/>
          </w:tcPr>
          <w:p>
            <w:r/>
            <w:r>
              <w:rPr>
                <w:sz w:val="18"/>
              </w:rPr>
              <w:t>426.3 – 693.5</w:t>
            </w:r>
          </w:p>
        </w:tc>
      </w:tr>
      <w:tr>
        <w:tc>
          <w:tcPr>
            <w:tcW w:type="dxa" w:w="1701"/>
          </w:tcPr>
          <w:p>
            <w:r/>
            <w:r>
              <w:rPr>
                <w:sz w:val="18"/>
              </w:rPr>
              <w:t>3.0</w:t>
            </w:r>
          </w:p>
        </w:tc>
        <w:tc>
          <w:tcPr>
            <w:tcW w:type="dxa" w:w="4535"/>
          </w:tcPr>
          <w:p>
            <w:r/>
            <w:r>
              <w:rPr>
                <w:sz w:val="18"/>
              </w:rPr>
              <w:t>432.9 – 660.1</w:t>
            </w:r>
          </w:p>
        </w:tc>
      </w:tr>
      <w:tr>
        <w:tc>
          <w:tcPr>
            <w:tcW w:type="dxa" w:w="1701"/>
          </w:tcPr>
          <w:p>
            <w:r/>
            <w:r>
              <w:rPr>
                <w:sz w:val="18"/>
              </w:rPr>
              <w:t>4.1</w:t>
            </w:r>
          </w:p>
        </w:tc>
        <w:tc>
          <w:tcPr>
            <w:tcW w:type="dxa" w:w="4535"/>
          </w:tcPr>
          <w:p>
            <w:r/>
            <w:r>
              <w:rPr>
                <w:sz w:val="18"/>
              </w:rPr>
              <w:t>436.3 – 650.0</w:t>
            </w:r>
          </w:p>
        </w:tc>
      </w:tr>
      <w:tr>
        <w:tc>
          <w:tcPr>
            <w:tcW w:type="dxa" w:w="1701"/>
          </w:tcPr>
          <w:p>
            <w:r/>
            <w:r>
              <w:rPr>
                <w:sz w:val="18"/>
              </w:rPr>
              <w:t>5.0</w:t>
            </w:r>
          </w:p>
        </w:tc>
        <w:tc>
          <w:tcPr>
            <w:tcW w:type="dxa" w:w="4535"/>
          </w:tcPr>
          <w:p>
            <w:r/>
            <w:r>
              <w:rPr>
                <w:sz w:val="18"/>
              </w:rPr>
              <w:t>439.6 – 633.3</w:t>
            </w:r>
          </w:p>
        </w:tc>
      </w:tr>
    </w:tbl>
    <w:p>
      <w:pPr>
        <w:spacing w:after="0"/>
      </w:pPr>
    </w:p>
    <w:p>
      <w:pPr>
        <w:pStyle w:val="Caption"/>
        <w:jc w:val="center"/>
      </w:pPr>
      <w:r>
        <w:t>表5  旧灯 ÷ 新灯 参考板辐亮度（2 m，灯中心）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569"/>
        <w:gridCol w:w="1569"/>
        <w:gridCol w:w="1569"/>
        <w:gridCol w:w="1569"/>
        <w:gridCol w:w="1569"/>
        <w:gridCol w:w="1569"/>
      </w:tblGrid>
      <w:tr>
        <w:tc>
          <w:tcPr>
            <w:tcW w:type="dxa" w:w="1474"/>
            <w:shd w:val="clear" w:color="auto" w:fill="DCE6F0"/>
          </w:tcPr>
          <w:p>
            <w:r/>
            <w:r>
              <w:rPr>
                <w:b/>
                <w:sz w:val="18"/>
              </w:rPr>
              <w:t>420 nm</w:t>
            </w:r>
          </w:p>
        </w:tc>
        <w:tc>
          <w:tcPr>
            <w:tcW w:type="dxa" w:w="1474"/>
            <w:shd w:val="clear" w:color="auto" w:fill="DCE6F0"/>
          </w:tcPr>
          <w:p>
            <w:r/>
            <w:r>
              <w:rPr>
                <w:b/>
                <w:sz w:val="18"/>
              </w:rPr>
              <w:t>450 nm</w:t>
            </w:r>
          </w:p>
        </w:tc>
        <w:tc>
          <w:tcPr>
            <w:tcW w:type="dxa" w:w="1474"/>
            <w:shd w:val="clear" w:color="auto" w:fill="DCE6F0"/>
          </w:tcPr>
          <w:p>
            <w:r/>
            <w:r>
              <w:rPr>
                <w:b/>
                <w:sz w:val="18"/>
              </w:rPr>
              <w:t>550 nm</w:t>
            </w:r>
          </w:p>
        </w:tc>
        <w:tc>
          <w:tcPr>
            <w:tcW w:type="dxa" w:w="1474"/>
            <w:shd w:val="clear" w:color="auto" w:fill="DCE6F0"/>
          </w:tcPr>
          <w:p>
            <w:r/>
            <w:r>
              <w:rPr>
                <w:b/>
                <w:sz w:val="18"/>
              </w:rPr>
              <w:t>650 nm</w:t>
            </w:r>
          </w:p>
        </w:tc>
        <w:tc>
          <w:tcPr>
            <w:tcW w:type="dxa" w:w="1474"/>
            <w:shd w:val="clear" w:color="auto" w:fill="DCE6F0"/>
          </w:tcPr>
          <w:p>
            <w:r/>
            <w:r>
              <w:rPr>
                <w:b/>
                <w:sz w:val="18"/>
              </w:rPr>
              <w:t>700 nm</w:t>
            </w:r>
          </w:p>
        </w:tc>
        <w:tc>
          <w:tcPr>
            <w:tcW w:type="dxa" w:w="1474"/>
            <w:shd w:val="clear" w:color="auto" w:fill="DCE6F0"/>
          </w:tcPr>
          <w:p>
            <w:r/>
            <w:r>
              <w:rPr>
                <w:b/>
                <w:sz w:val="18"/>
              </w:rPr>
              <w:t>420–700 nm</w:t>
            </w:r>
          </w:p>
        </w:tc>
      </w:tr>
      <w:tr>
        <w:tc>
          <w:tcPr>
            <w:tcW w:type="dxa" w:w="1474"/>
          </w:tcPr>
          <w:p>
            <w:r/>
            <w:r>
              <w:rPr>
                <w:sz w:val="18"/>
              </w:rPr>
              <w:t>14.5 倍</w:t>
            </w:r>
          </w:p>
        </w:tc>
        <w:tc>
          <w:tcPr>
            <w:tcW w:type="dxa" w:w="1474"/>
          </w:tcPr>
          <w:p>
            <w:r/>
            <w:r>
              <w:rPr>
                <w:sz w:val="18"/>
              </w:rPr>
              <w:t>4.4 倍</w:t>
            </w:r>
          </w:p>
        </w:tc>
        <w:tc>
          <w:tcPr>
            <w:tcW w:type="dxa" w:w="1474"/>
          </w:tcPr>
          <w:p>
            <w:r/>
            <w:r>
              <w:rPr>
                <w:sz w:val="18"/>
              </w:rPr>
              <w:t>6.5 倍</w:t>
            </w:r>
          </w:p>
        </w:tc>
        <w:tc>
          <w:tcPr>
            <w:tcW w:type="dxa" w:w="1474"/>
          </w:tcPr>
          <w:p>
            <w:r/>
            <w:r>
              <w:rPr>
                <w:sz w:val="18"/>
              </w:rPr>
              <w:t>5.9 倍</w:t>
            </w:r>
          </w:p>
        </w:tc>
        <w:tc>
          <w:tcPr>
            <w:tcW w:type="dxa" w:w="1474"/>
          </w:tcPr>
          <w:p>
            <w:r/>
            <w:r>
              <w:rPr>
                <w:sz w:val="18"/>
              </w:rPr>
              <w:t>6.6 倍</w:t>
            </w:r>
          </w:p>
        </w:tc>
        <w:tc>
          <w:tcPr>
            <w:tcW w:type="dxa" w:w="1474"/>
          </w:tcPr>
          <w:p>
            <w:r/>
            <w:r>
              <w:rPr>
                <w:sz w:val="18"/>
              </w:rPr>
              <w:t>4.9 倍</w:t>
            </w:r>
          </w:p>
        </w:tc>
      </w:tr>
    </w:tbl>
    <w:p>
      <w:pPr>
        <w:spacing w:after="0"/>
      </w:pPr>
    </w:p>
    <w:p>
      <w:r>
        <w:rPr>
          <w:sz w:val="19"/>
        </w:rPr>
        <w:t>两盏灯用不同探头测量，各自按同一台标准灯（Lamp2501）的定标换算成辐亮度后比较，误差约 ±20%（420–700 nm 比值范围 3.9–5.8 倍）。新灯 420 nm 相对 450 nm 只有旧灯的约 1/3，属于灯珠本身的光谱特性。</w:t>
      </w:r>
    </w:p>
    <w:p>
      <w:pPr>
        <w:pStyle w:val="Caption"/>
        <w:jc w:val="center"/>
      </w:pPr>
      <w:r>
        <w:t>表6  新灯在水面上满足 SNR ≥ 20 的最大安装距离（估算）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882"/>
        <w:gridCol w:w="1882"/>
        <w:gridCol w:w="1882"/>
        <w:gridCol w:w="1882"/>
        <w:gridCol w:w="1882"/>
      </w:tblGrid>
      <w:tr>
        <w:tc>
          <w:tcPr>
            <w:tcW w:type="dxa" w:w="1814"/>
            <w:shd w:val="clear" w:color="auto" w:fill="DCE6F0"/>
          </w:tcPr>
          <w:p>
            <w:r/>
            <w:r>
              <w:rPr>
                <w:b/>
                <w:sz w:val="18"/>
              </w:rPr>
              <w:t>水体 Rrs / sr⁻¹</w:t>
            </w:r>
          </w:p>
        </w:tc>
        <w:tc>
          <w:tcPr>
            <w:tcW w:type="dxa" w:w="1814"/>
            <w:shd w:val="clear" w:color="auto" w:fill="DCE6F0"/>
          </w:tcPr>
          <w:p>
            <w:r/>
            <w:r>
              <w:rPr>
                <w:b/>
                <w:sz w:val="18"/>
              </w:rPr>
              <w:t>420 nm 单帧</w:t>
            </w:r>
          </w:p>
        </w:tc>
        <w:tc>
          <w:tcPr>
            <w:tcW w:type="dxa" w:w="1928"/>
            <w:shd w:val="clear" w:color="auto" w:fill="DCE6F0"/>
          </w:tcPr>
          <w:p>
            <w:r/>
            <w:r>
              <w:rPr>
                <w:b/>
                <w:sz w:val="18"/>
              </w:rPr>
              <w:t>420 nm 10 帧平均</w:t>
            </w:r>
          </w:p>
        </w:tc>
        <w:tc>
          <w:tcPr>
            <w:tcW w:type="dxa" w:w="1814"/>
            <w:shd w:val="clear" w:color="auto" w:fill="DCE6F0"/>
          </w:tcPr>
          <w:p>
            <w:r/>
            <w:r>
              <w:rPr>
                <w:b/>
                <w:sz w:val="18"/>
              </w:rPr>
              <w:t>700 nm 单帧</w:t>
            </w:r>
          </w:p>
        </w:tc>
        <w:tc>
          <w:tcPr>
            <w:tcW w:type="dxa" w:w="1928"/>
            <w:shd w:val="clear" w:color="auto" w:fill="DCE6F0"/>
          </w:tcPr>
          <w:p>
            <w:r/>
            <w:r>
              <w:rPr>
                <w:b/>
                <w:sz w:val="18"/>
              </w:rPr>
              <w:t>700 nm 10 帧平均</w:t>
            </w:r>
          </w:p>
        </w:tc>
      </w:tr>
      <w:tr>
        <w:tc>
          <w:tcPr>
            <w:tcW w:type="dxa" w:w="1814"/>
          </w:tcPr>
          <w:p>
            <w:r/>
            <w:r>
              <w:rPr>
                <w:sz w:val="18"/>
              </w:rPr>
              <w:t>0.005</w:t>
            </w:r>
          </w:p>
        </w:tc>
        <w:tc>
          <w:tcPr>
            <w:tcW w:type="dxa" w:w="1814"/>
          </w:tcPr>
          <w:p>
            <w:r/>
            <w:r>
              <w:rPr>
                <w:sz w:val="18"/>
              </w:rPr>
              <w:t>1.7 m</w:t>
            </w:r>
          </w:p>
        </w:tc>
        <w:tc>
          <w:tcPr>
            <w:tcW w:type="dxa" w:w="1928"/>
          </w:tcPr>
          <w:p>
            <w:r/>
            <w:r>
              <w:rPr>
                <w:sz w:val="18"/>
              </w:rPr>
              <w:t>3.1 m</w:t>
            </w:r>
          </w:p>
        </w:tc>
        <w:tc>
          <w:tcPr>
            <w:tcW w:type="dxa" w:w="1814"/>
          </w:tcPr>
          <w:p>
            <w:r/>
            <w:r>
              <w:rPr>
                <w:sz w:val="18"/>
              </w:rPr>
              <w:t>2.1 m</w:t>
            </w:r>
          </w:p>
        </w:tc>
        <w:tc>
          <w:tcPr>
            <w:tcW w:type="dxa" w:w="1928"/>
          </w:tcPr>
          <w:p>
            <w:r/>
            <w:r>
              <w:rPr>
                <w:sz w:val="18"/>
              </w:rPr>
              <w:t>3.9 m</w:t>
            </w:r>
          </w:p>
        </w:tc>
      </w:tr>
      <w:tr>
        <w:tc>
          <w:tcPr>
            <w:tcW w:type="dxa" w:w="1814"/>
          </w:tcPr>
          <w:p>
            <w:r/>
            <w:r>
              <w:rPr>
                <w:sz w:val="18"/>
              </w:rPr>
              <w:t>0.01</w:t>
            </w:r>
          </w:p>
        </w:tc>
        <w:tc>
          <w:tcPr>
            <w:tcW w:type="dxa" w:w="1814"/>
          </w:tcPr>
          <w:p>
            <w:r/>
            <w:r>
              <w:rPr>
                <w:sz w:val="18"/>
              </w:rPr>
              <w:t>2.5 m</w:t>
            </w:r>
          </w:p>
        </w:tc>
        <w:tc>
          <w:tcPr>
            <w:tcW w:type="dxa" w:w="1928"/>
          </w:tcPr>
          <w:p>
            <w:r/>
            <w:r>
              <w:rPr>
                <w:sz w:val="18"/>
              </w:rPr>
              <w:t>4.4 m</w:t>
            </w:r>
          </w:p>
        </w:tc>
        <w:tc>
          <w:tcPr>
            <w:tcW w:type="dxa" w:w="1814"/>
          </w:tcPr>
          <w:p>
            <w:r/>
            <w:r>
              <w:rPr>
                <w:sz w:val="18"/>
              </w:rPr>
              <w:t>3.1 m</w:t>
            </w:r>
          </w:p>
        </w:tc>
        <w:tc>
          <w:tcPr>
            <w:tcW w:type="dxa" w:w="1928"/>
          </w:tcPr>
          <w:p>
            <w:r/>
            <w:r>
              <w:rPr>
                <w:sz w:val="18"/>
              </w:rPr>
              <w:t>5.5 m（外推）</w:t>
            </w:r>
          </w:p>
        </w:tc>
      </w:tr>
      <w:tr>
        <w:tc>
          <w:tcPr>
            <w:tcW w:type="dxa" w:w="1814"/>
          </w:tcPr>
          <w:p>
            <w:r/>
            <w:r>
              <w:rPr>
                <w:sz w:val="18"/>
              </w:rPr>
              <w:t>0.02</w:t>
            </w:r>
          </w:p>
        </w:tc>
        <w:tc>
          <w:tcPr>
            <w:tcW w:type="dxa" w:w="1814"/>
          </w:tcPr>
          <w:p>
            <w:r/>
            <w:r>
              <w:rPr>
                <w:sz w:val="18"/>
              </w:rPr>
              <w:t>3.5 m</w:t>
            </w:r>
          </w:p>
        </w:tc>
        <w:tc>
          <w:tcPr>
            <w:tcW w:type="dxa" w:w="1928"/>
          </w:tcPr>
          <w:p>
            <w:r/>
            <w:r>
              <w:rPr>
                <w:sz w:val="18"/>
              </w:rPr>
              <w:t>6.3 m（外推）</w:t>
            </w:r>
          </w:p>
        </w:tc>
        <w:tc>
          <w:tcPr>
            <w:tcW w:type="dxa" w:w="1814"/>
          </w:tcPr>
          <w:p>
            <w:r/>
            <w:r>
              <w:rPr>
                <w:sz w:val="18"/>
              </w:rPr>
              <w:t>4.4 m</w:t>
            </w:r>
          </w:p>
        </w:tc>
        <w:tc>
          <w:tcPr>
            <w:tcW w:type="dxa" w:w="1928"/>
          </w:tcPr>
          <w:p>
            <w:r/>
            <w:r>
              <w:rPr>
                <w:sz w:val="18"/>
              </w:rPr>
              <w:t>7.9 m（外推）</w:t>
            </w:r>
          </w:p>
        </w:tc>
      </w:tr>
    </w:tbl>
    <w:p>
      <w:pPr>
        <w:spacing w:after="0"/>
      </w:pPr>
    </w:p>
    <w:p>
      <w:r>
        <w:rPr>
          <w:sz w:val="19"/>
        </w:rPr>
        <w:t>估算条件：积分时间最长 8192 ms；假设水体反射率各波长相同、噪声不随积分时间增大。实际水体蓝端反射率通常更低，结果仅供参考，以实测为准。</w:t>
      </w:r>
    </w:p>
    <w:p>
      <w:pPr>
        <w:pStyle w:val="Heading1"/>
      </w:pPr>
      <w:r>
        <w:t>5 下一步：水面对比测试</w:t>
      </w:r>
    </w:p>
    <w:p>
      <w:r>
        <w:t>样机不拆。原装旧灯照常使用，新灯用支架临时架在旁边、单独供电，对准同一水面点。用样机自己的探头分别测两盏灯，同时测一次参考板在样机位置和水面测点位置的照度差。</w:t>
      </w:r>
    </w:p>
    <w:p>
      <w:pPr>
        <w:pStyle w:val="Caption"/>
        <w:jc w:val="center"/>
      </w:pPr>
      <w:r>
        <w:t>表7  决策判据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706"/>
        <w:gridCol w:w="4706"/>
      </w:tblGrid>
      <w:tr>
        <w:tc>
          <w:tcPr>
            <w:tcW w:type="dxa" w:w="5669"/>
            <w:shd w:val="clear" w:color="auto" w:fill="DCE6F0"/>
          </w:tcPr>
          <w:p>
            <w:r/>
            <w:r>
              <w:rPr>
                <w:b/>
                <w:sz w:val="18"/>
              </w:rPr>
              <w:t>实测结果</w:t>
            </w:r>
          </w:p>
        </w:tc>
        <w:tc>
          <w:tcPr>
            <w:tcW w:type="dxa" w:w="3685"/>
            <w:shd w:val="clear" w:color="auto" w:fill="DCE6F0"/>
          </w:tcPr>
          <w:p>
            <w:r/>
            <w:r>
              <w:rPr>
                <w:b/>
                <w:sz w:val="18"/>
              </w:rPr>
              <w:t>结论</w:t>
            </w:r>
          </w:p>
        </w:tc>
      </w:tr>
      <w:tr>
        <w:tc>
          <w:tcPr>
            <w:tcW w:type="dxa" w:w="5669"/>
          </w:tcPr>
          <w:p>
            <w:r/>
            <w:r>
              <w:rPr>
                <w:sz w:val="18"/>
              </w:rPr>
              <w:t>旧灯：参考板两个位置照度接近且稳定，水面 420–700 nm SNR ≥ 20</w:t>
            </w:r>
          </w:p>
        </w:tc>
        <w:tc>
          <w:tcPr>
            <w:tcW w:type="dxa" w:w="3685"/>
          </w:tcPr>
          <w:p>
            <w:r/>
            <w:r>
              <w:rPr>
                <w:sz w:val="18"/>
              </w:rPr>
              <w:t>样机暂不改动</w:t>
            </w:r>
          </w:p>
        </w:tc>
      </w:tr>
      <w:tr>
        <w:tc>
          <w:tcPr>
            <w:tcW w:type="dxa" w:w="5669"/>
          </w:tcPr>
          <w:p>
            <w:r/>
            <w:r>
              <w:rPr>
                <w:sz w:val="18"/>
              </w:rPr>
              <w:t>旧灯：参考板两个位置照度差别大或不稳定</w:t>
            </w:r>
          </w:p>
        </w:tc>
        <w:tc>
          <w:tcPr>
            <w:tcW w:type="dxa" w:w="3685"/>
          </w:tcPr>
          <w:p>
            <w:r/>
            <w:r>
              <w:rPr>
                <w:sz w:val="18"/>
              </w:rPr>
              <w:t>必须换灯（光斑问题，与亮度无关）</w:t>
            </w:r>
          </w:p>
        </w:tc>
      </w:tr>
      <w:tr>
        <w:tc>
          <w:tcPr>
            <w:tcW w:type="dxa" w:w="5669"/>
          </w:tcPr>
          <w:p>
            <w:r/>
            <w:r>
              <w:rPr>
                <w:sz w:val="18"/>
              </w:rPr>
              <w:t>新灯：在样机安装距离下水面 420 nm SNR ≥ 20</w:t>
            </w:r>
          </w:p>
        </w:tc>
        <w:tc>
          <w:tcPr>
            <w:tcW w:type="dxa" w:w="3685"/>
          </w:tcPr>
          <w:p>
            <w:r/>
            <w:r>
              <w:rPr>
                <w:sz w:val="18"/>
              </w:rPr>
              <w:t>换新灯</w:t>
            </w:r>
          </w:p>
        </w:tc>
      </w:tr>
      <w:tr>
        <w:tc>
          <w:tcPr>
            <w:tcW w:type="dxa" w:w="5669"/>
          </w:tcPr>
          <w:p>
            <w:r/>
            <w:r>
              <w:rPr>
                <w:sz w:val="18"/>
              </w:rPr>
              <w:t>新灯：420 nm 不够，440 nm 以上够</w:t>
            </w:r>
          </w:p>
        </w:tc>
        <w:tc>
          <w:tcPr>
            <w:tcW w:type="dxa" w:w="3685"/>
          </w:tcPr>
          <w:p>
            <w:r/>
            <w:r>
              <w:rPr>
                <w:sz w:val="18"/>
              </w:rPr>
              <w:t>换新灯并加一盏，或分析波段从约 440 nm 起</w:t>
            </w:r>
          </w:p>
        </w:tc>
      </w:tr>
    </w:tbl>
    <w:p>
      <w:pPr>
        <w:spacing w:after="0"/>
      </w:pPr>
    </w:p>
    <w:p/>
    <w:p>
      <w:r>
        <w:rPr>
          <w:sz w:val="19"/>
        </w:rPr>
        <w:t>完整数据与方法见《新灯FL05室内实验报告_20261022_v2.docx》。</w:t>
      </w:r>
    </w:p>
    <w:sectPr w:rsidR="00FC693F" w:rsidRPr="0006063C" w:rsidSect="00034616">
      <w:pgSz w:w="11906" w:h="16838"/>
      <w:pgMar w:top="1134" w:right="1247" w:bottom="1134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60" w:line="288" w:lineRule="auto"/>
    </w:pPr>
    <w:rPr>
      <w:rFonts w:ascii="Times New Roman" w:hAnsi="Times New Roman" w:eastAsia="宋体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00" w:after="80"/>
      <w:outlineLvl w:val="0"/>
    </w:pPr>
    <w:rPr>
      <w:rFonts w:asciiTheme="majorHAnsi" w:eastAsiaTheme="majorEastAsia" w:hAnsiTheme="majorHAnsi" w:cstheme="majorBidi" w:ascii="Times New Roman" w:hAnsi="Times New Roman" w:eastAsia="黑体"/>
      <w:b/>
      <w:bCs/>
      <w:color w:val="1F3A5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80"/>
      <w:outlineLvl w:val="1"/>
    </w:pPr>
    <w:rPr>
      <w:rFonts w:asciiTheme="majorHAnsi" w:eastAsiaTheme="majorEastAsia" w:hAnsiTheme="majorHAnsi" w:cstheme="majorBidi" w:ascii="Times New Roman" w:hAnsi="Times New Roman" w:eastAsia="黑体"/>
      <w:b/>
      <w:bCs/>
      <w:color w:val="1F3A5F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rFonts w:ascii="Times New Roman" w:hAnsi="Times New Roman" w:eastAsia="黑体"/>
      <w:b/>
      <w:bCs/>
      <w:color w:val="333333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