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both"/>
        <w:rPr>
          <w:b/>
          <w:bCs/>
          <w:sz w:val="32"/>
          <w:szCs w:val="32"/>
        </w:rPr>
      </w:pPr>
      <w:r>
        <w:rPr>
          <w:b/>
          <w:bCs/>
          <w:sz w:val="32"/>
          <w:szCs w:val="32"/>
        </w:rPr>
        <w:t xml:space="preserve">MechLib: A Conformation-Dependent Geometry Correction Library for Protein and DNA Backbones </w:t>
      </w:r>
    </w:p>
    <w:p>
      <w:pPr>
        <w:pStyle w:val="Normal"/>
        <w:spacing w:before="0" w:after="40"/>
        <w:jc w:val="both"/>
        <w:rPr/>
      </w:pPr>
      <w:r>
        <w:rPr>
          <w:sz w:val="22"/>
          <w:szCs w:val="22"/>
        </w:rPr>
        <w:t>Wei Chen, Xiaohong Lu</w:t>
      </w:r>
    </w:p>
    <w:p>
      <w:pPr>
        <w:pStyle w:val="Normal"/>
        <w:spacing w:before="0" w:after="40"/>
        <w:jc w:val="both"/>
        <w:rPr/>
      </w:pPr>
      <w:r>
        <w:rPr>
          <w:i/>
          <w:iCs/>
        </w:rPr>
        <w:t>Louisiana State University Health Sciences Center, Shreveport</w:t>
      </w:r>
    </w:p>
    <w:p>
      <w:pPr>
        <w:pStyle w:val="Normal"/>
        <w:spacing w:before="0" w:after="60"/>
        <w:jc w:val="both"/>
        <w:rPr/>
      </w:pPr>
      <w:r>
        <w:rPr/>
        <w:t>Corresponding Author: Wei Chen (wei09128@gmail.com)</w:t>
      </w:r>
    </w:p>
    <w:p>
      <w:pPr>
        <w:pStyle w:val="Normal"/>
        <w:spacing w:before="0" w:after="400"/>
        <w:jc w:val="both"/>
        <w:rPr/>
      </w:pPr>
      <w:r>
        <w:rPr/>
      </w:r>
    </w:p>
    <w:p>
      <w:pPr>
        <w:pStyle w:val="Heading1"/>
        <w:jc w:val="both"/>
        <w:rPr/>
      </w:pPr>
      <w:r>
        <w:rPr/>
        <w:t>Abstract</w:t>
      </w:r>
    </w:p>
    <w:p>
      <w:pPr>
        <w:pStyle w:val="Normal"/>
        <w:jc w:val="both"/>
        <w:rPr/>
      </w:pPr>
      <w:r>
        <w:rPr/>
        <w:t>Force fields commonly assign fixed equilibrium bond lengths and angles despite conformation-dependent protein backbone geometry; we constructed MechLib from 1.7 million crystallographic residues and extended its geometric framework to DNA. On 300 temporally held-out structures, static perturb–minimize–recover lowered RMSD to deposited coordinates by 33.1% against AMBER ff14SB (95% CI 32.0–34.1%), while an exploratory ten-term crystal-coordinate comparison found the Berkholz conformation-dependent library (CDL) slightly better overall (44.9% versus 43.3% strain reduction) but worse in REFMAC-labeled structures. In a prespecified constrained-QM benchmark, all 80 peptides passed quality control and the aggregate favored MechLib (weighted mean Δ = 0.00933; clustered 95% CI 0.00263–0.01666), yet the strict registered endpoint failed because N–Cα, C–O, and C–N(next) worsened after Holm correction. A paired 1 ns GB3/ubiquitin MD pilot favored MechLib against experimental backbone ³J(HN,Hα) values in five of six seed pairs, but a post hoc last-800-ps analysis was discordant between proteins; the evidence supports term-specific investigation and longer independent tests before general force-field adoption.</w:t>
      </w:r>
    </w:p>
    <w:p>
      <w:pPr>
        <w:pStyle w:val="Normal"/>
        <w:jc w:val="center"/>
        <w:rPr/>
      </w:pPr>
      <w:r>
        <w:rPr>
          <w:b/>
          <w:bCs/>
        </w:rPr>
        <w:t>Keywords: Conformation-dependent library; Protein backbone geometry; DNA backbone geometry; Empirical force fields; Constrained quantum mechanics; NMR scalar couplings</w:t>
      </w:r>
      <w:r>
        <w:rPr/>
        <w:drawing>
          <wp:inline distT="0" distB="0" distL="0" distR="0">
            <wp:extent cx="2971800" cy="1600200"/>
            <wp:effectExtent l="0" t="0" r="0" b="0"/>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pic:cNvPicPr>
                      <a:picLocks noChangeAspect="1" noChangeArrowheads="1"/>
                    </pic:cNvPicPr>
                  </pic:nvPicPr>
                  <pic:blipFill>
                    <a:blip r:embed="rId2"/>
                    <a:stretch>
                      <a:fillRect/>
                    </a:stretch>
                  </pic:blipFill>
                  <pic:spPr bwMode="auto">
                    <a:xfrm>
                      <a:off x="0" y="0"/>
                      <a:ext cx="2971800" cy="1600200"/>
                    </a:xfrm>
                    <a:prstGeom prst="rect">
                      <a:avLst/>
                    </a:prstGeom>
                    <a:noFill/>
                  </pic:spPr>
                </pic:pic>
              </a:graphicData>
            </a:graphic>
          </wp:inline>
        </w:drawing>
      </w:r>
    </w:p>
    <w:p>
      <w:pPr>
        <w:pStyle w:val="Heading1"/>
        <w:jc w:val="both"/>
        <w:rPr/>
      </w:pPr>
      <w:r>
        <w:rPr/>
        <w:t>1. Introduction</w:t>
      </w:r>
    </w:p>
    <w:p>
      <w:pPr>
        <w:pStyle w:val="Normal"/>
        <w:jc w:val="both"/>
        <w:rPr/>
      </w:pPr>
      <w:r>
        <w:rPr/>
        <w:t>Ramachandran conformational preferences reflect real physical and statistical mechanics; backbone-dependent rotamer libraries, knowledge-based potentials, and structure-validation tools treat these distributions as far more than simple steric exclusion. Earlier crystallographic and quantum-mechanical studies found that backbone bond lengths and angles vary with ϕ and ψ, with different geometric terms showing different patterns of variation</w:t>
      </w:r>
      <w:r>
        <w:rPr>
          <w:vertAlign w:val="superscript"/>
        </w:rPr>
        <w:t>1–3</w:t>
      </w:r>
      <w:r>
        <w:rPr/>
        <w:t>. Against that background, the present work demonstrates directly (Section 3.2) that correcting for conformation-dependent equilibrium geometry improves recovery of held-out deposited coordinates; this static recovery test does not establish that the targets are physically optimal.</w:t>
      </w:r>
    </w:p>
    <w:p>
      <w:pPr>
        <w:pStyle w:val="Normal"/>
        <w:jc w:val="both"/>
        <w:rPr/>
      </w:pPr>
      <w:r>
        <w:rPr/>
        <w:t>Coupling among bonded, torsional, and nonbonded interactions can shift observed bond lengths and angles across backbone conformations. Consequently, standard molecular mechanics force fields—which represent backbone geometry using fixed harmonic equilibrium values—introduce systematic phantom strain: artificial energetic penalties arising from rigid geometric assumptions rather than true physical strain. Because individual X-ray bond angles carry coordinate uncertainties comparable to or larger than these systematic shifts, the effect is not observable in any single structure. Instead, it emerges only from statistical averaging over hundreds of thousands of independent experimental observations.</w:t>
      </w:r>
    </w:p>
    <w:p>
      <w:pPr>
        <w:pStyle w:val="Normal"/>
        <w:jc w:val="both"/>
        <w:rPr/>
      </w:pPr>
      <w:r>
        <w:rPr/>
        <w:t>MechLib builds directly on the conformation-dependent library (CDL) of Berkholz et al.</w:t>
      </w:r>
      <w:r>
        <w:rPr>
          <w:vertAlign w:val="superscript"/>
        </w:rPr>
        <w:t>1</w:t>
      </w:r>
      <w:r>
        <w:rPr/>
        <w:t>, which tabulates φ/ψ-dependent backbone bond lengths and angles for residue classes and is used as a default restraint set in crystallographic refinement</w:t>
      </w:r>
      <w:r>
        <w:rPr>
          <w:vertAlign w:val="superscript"/>
        </w:rPr>
        <w:t>4,5</w:t>
      </w:r>
      <w:r>
        <w:rPr/>
        <w:t>. MechLib shares this central idea but differs in purpose and implementation: it provides separate targets for each of the 20 residue types, an optional χ1-conditioned extension for the two Cβ-adjacent angles, and a molecular-mechanics implementation in which targets follow the instantaneous backbone torsions and contribute their φ/ψ derivatives to the forces. Because the two libraries encode the same kind of information, we treat CDL as the primary comparator on held-out crystal coordinates rather than as prior work to be superseded, and we evaluate MechLib's force-field use against quantum-mechanical and NMR targets.</w:t>
      </w:r>
    </w:p>
    <w:p>
      <w:pPr>
        <w:pStyle w:val="Normal"/>
        <w:jc w:val="both"/>
        <w:rPr/>
      </w:pPr>
      <w:r>
        <w:rPr/>
        <w:t>Because a library of bin-averaged equilibria necessarily fits the structures it was built from better than a single fixed value, agreement with crystallographic geometry cannot by itself establish that the correction is physically meaningful. We therefore organize the evaluation by evidentiary strength. We first characterize, descriptively, how much and where MechLib reduces phantom strain against crystallographic geometry, including a temporally blind holdout and controls for resolution and refinement-restraint confounding, and a direct comparison with CDL (Section 3.1). We then test MechLib out of sample and against observables it was not fit to: recovery of held-out structures after perturbation and energy minimization (Section 3.2), a prespecified constrained quantum-mechanical geometry benchmark (Section 3.3), and an exploratory molecular-dynamics comparison with NMR scalar couplings (Section 3.4). Finally, we extend the framework to the DNA sugar–phosphate backbone, including a separability test of equilibrium geometry across two torsional degrees of freedom analogous to the protein φ–ψ analysis (Section 3.5).</w:t>
      </w:r>
    </w:p>
    <w:p>
      <w:pPr>
        <w:pStyle w:val="Heading1"/>
        <w:jc w:val="both"/>
        <w:rPr/>
      </w:pPr>
      <w:r>
        <w:rPr/>
        <w:t>2. Methods</w:t>
      </w:r>
    </w:p>
    <w:p>
      <w:pPr>
        <w:pStyle w:val="Heading2"/>
        <w:jc w:val="both"/>
        <w:rPr/>
      </w:pPr>
      <w:r>
        <w:rPr/>
        <w:t>2.1 Dataset Curation and Feature Extraction</w:t>
      </w:r>
    </w:p>
    <w:p>
      <w:pPr>
        <w:pStyle w:val="Normal"/>
        <w:jc w:val="both"/>
        <w:rPr/>
      </w:pPr>
      <w:r>
        <w:rPr/>
        <w:t>A non-redundant set of protein chains was generated using the PISCES server</w:t>
      </w:r>
      <w:r>
        <w:rPr>
          <w:vertAlign w:val="superscript"/>
        </w:rPr>
        <w:t>6</w:t>
      </w:r>
      <w:r>
        <w:rPr/>
        <w:t xml:space="preserve"> (</w:t>
      </w:r>
      <w:r>
        <w:rPr/>
      </w:r>
      <m:oMath xmlns:m="http://schemas.openxmlformats.org/officeDocument/2006/math">
        <m:r>
          <m:t xml:space="preserve">≤</m:t>
        </m:r>
        <m:r>
          <m:t xml:space="preserve">25</m:t>
        </m:r>
        <m:r>
          <m:rPr>
            <m:lit/>
            <m:nor/>
          </m:rPr>
          <m:t xml:space="preserve">%</m:t>
        </m:r>
      </m:oMath>
      <w:r>
        <w:rPr/>
        <w:t xml:space="preserve"> sequence identity, resolution </w:t>
      </w:r>
      <w:r>
        <w:rPr/>
      </w:r>
      <m:oMath xmlns:m="http://schemas.openxmlformats.org/officeDocument/2006/math">
        <m:r>
          <m:t xml:space="preserve">≤</m:t>
        </m:r>
        <m:r>
          <m:t xml:space="preserve">2.0</m:t>
        </m:r>
      </m:oMath>
      <w:r>
        <w:rPr/>
        <w:t xml:space="preserve"> Å, </w:t>
      </w:r>
      <w:r>
        <w:rPr/>
      </w:r>
      <m:oMath xmlns:m="http://schemas.openxmlformats.org/officeDocument/2006/math">
        <m:r>
          <m:t xml:space="preserve">R</m:t>
        </m:r>
        <m:r>
          <m:rPr>
            <m:lit/>
            <m:nor/>
          </m:rPr>
          <m:t xml:space="preserve">-factor</m:t>
        </m:r>
        <m:r>
          <m:t xml:space="preserve">≤</m:t>
        </m:r>
        <m:r>
          <m:t xml:space="preserve">0.25</m:t>
        </m:r>
      </m:oMath>
      <w:r>
        <w:rPr/>
        <w:t xml:space="preserve">, length </w:t>
      </w:r>
      <w:r>
        <w:rPr/>
      </w:r>
      <m:oMath xmlns:m="http://schemas.openxmlformats.org/officeDocument/2006/math">
        <m:r>
          <m:t xml:space="preserve">≥</m:t>
        </m:r>
        <m:r>
          <m:t xml:space="preserve">40</m:t>
        </m:r>
      </m:oMath>
      <w:r>
        <w:rPr/>
        <w:t xml:space="preserve"> residues), yielding 9,162 chains downloaded in batch from the RCSB PDB</w:t>
      </w:r>
      <w:r>
        <w:rPr>
          <w:vertAlign w:val="superscript"/>
        </w:rPr>
        <w:t>7</w:t>
      </w:r>
      <w:r>
        <w:rPr/>
        <w:t>. Following quality filtering—retaining only standard amino acids with defined (</w:t>
      </w:r>
      <w:r>
        <w:rPr/>
      </w:r>
      <m:oMath xmlns:m="http://schemas.openxmlformats.org/officeDocument/2006/math">
        <m:r>
          <m:t xml:space="preserve">ϕ</m:t>
        </m:r>
        <m:r>
          <m:t xml:space="preserve">,</m:t>
        </m:r>
        <m:r>
          <m:t xml:space="preserve">ψ</m:t>
        </m:r>
      </m:oMath>
      <w:r>
        <w:rPr/>
        <w:t xml:space="preserve">) torsions and a per-residue sliding-window </w:t>
      </w:r>
      <w:r>
        <w:rPr/>
      </w:r>
      <m:oMath xmlns:m="http://schemas.openxmlformats.org/officeDocument/2006/math">
        <m:r>
          <m:t xml:space="preserve">B</m:t>
        </m:r>
      </m:oMath>
      <w:r>
        <w:rPr/>
        <w:t xml:space="preserve">-factor </w:t>
      </w:r>
      <w:r>
        <w:rPr/>
      </w:r>
      <m:oMath xmlns:m="http://schemas.openxmlformats.org/officeDocument/2006/math">
        <m:r>
          <m:t xml:space="preserve">≤</m:t>
        </m:r>
        <m:r>
          <m:t xml:space="preserve">30</m:t>
        </m:r>
      </m:oMath>
      <w:r>
        <w:rPr/>
        <w:t>—the final protein dataset comprised 8,292 structures (1,698,562 residues).</w:t>
      </w:r>
    </w:p>
    <w:p>
      <w:pPr>
        <w:pStyle w:val="Normal"/>
        <w:jc w:val="both"/>
        <w:rPr/>
      </w:pPr>
      <w:r>
        <w:rPr/>
        <w:t>Structures were parsed from PDB ATOM records of model 1 only; HETATM records (solvent, ligands, ions, and non-standard residues such as selenomethionine) were excluded, and backbone geometry spanning an excluded residue was treated as a chain break (see below). Where alternate locations were present, the highest-occupancy conformer was retained, with ties broken toward altloc 'A'. Amide hydrogens — absent from most X-ray depositions — were placed geometrically from each residue's own N and the preceding residue's C and O, following the Kabsch–Sander convention</w:t>
      </w:r>
      <w:r>
        <w:rPr>
          <w:vertAlign w:val="superscript"/>
        </w:rPr>
        <w:t>8</w:t>
      </w:r>
      <w:r>
        <w:rPr/>
        <w:t>: H = N + 1.01 Å · (C(i−1) − O(i−1))/|C(i−1) − O(i−1)|; proline residues, lacking an amide hydrogen, were excluded from this step. Chain breaks were flagged wherever the sequential C(i)–N(i+1) distance exceeded 2.5 Å, and dihedral or geometry calculations spanning a flagged break were treated as undefined rather than computed across the discontinuity.</w:t>
      </w:r>
    </w:p>
    <w:p>
      <w:pPr>
        <w:pStyle w:val="Normal"/>
        <w:jc w:val="both"/>
        <w:rPr/>
      </w:pPr>
      <w:r>
        <w:rPr/>
        <w:t>Backbone torsions were computed as φ(i) = dihedral(C(i−1), Nᵢ, Cαᵢ, Cᵢ), ψ(i) = dihedral(Nᵢ, Cαᵢ, Cᵢ, N(i+1)), and ω(i) = dihedral(Cαᵢ, Cᵢ, N(i+1), Cα(i+1)), all from directly observed atomic coordinates (no internal-coordinate reconstruction). Backbone bond lengths were computed as Euclidean distances between bonded atom pairs; bond angles as the arccosine of the normalized dot product between the two bond vectors meeting at the vertex atom. Side-chain χ1 and χ2 torsions were computed analogously from each residue's respective heavy-atom chains where applicable.</w:t>
      </w:r>
    </w:p>
    <w:p>
      <w:pPr>
        <w:pStyle w:val="Normal"/>
        <w:jc w:val="both"/>
        <w:rPr/>
      </w:pPr>
      <w:r>
        <w:rPr/>
        <w:t xml:space="preserve">DNA structures were retrieved via the RCSB Search API (X-ray, resolution </w:t>
      </w:r>
      <w:r>
        <w:rPr/>
      </w:r>
      <m:oMath xmlns:m="http://schemas.openxmlformats.org/officeDocument/2006/math">
        <m:r>
          <m:t xml:space="preserve">≤</m:t>
        </m:r>
        <m:r>
          <m:t xml:space="preserve">3.0</m:t>
        </m:r>
      </m:oMath>
      <w:r>
        <w:rPr/>
        <w:t xml:space="preserve"> Å, polymer entity restricted to DNA) and processed through an analogous per-nucleotide pipeline. This extractor computed six backbone torsions, glycosidic torsions, sugar pucker parameters, BI/BII backbone classifications, and bonded geometries directly from coordinates. PDB release dates were retrieved via the RCSB GraphQL API, and reference force-field parameter sources were independently verified against their authoritative primary distributions.</w:t>
      </w:r>
    </w:p>
    <w:p>
      <w:pPr>
        <w:pStyle w:val="Heading2"/>
        <w:jc w:val="both"/>
        <w:rPr/>
      </w:pPr>
      <w:r>
        <w:rPr/>
        <w:t>2.2 Reference parameters</w:t>
      </w:r>
    </w:p>
    <w:p>
      <w:pPr>
        <w:pStyle w:val="Normal"/>
        <w:spacing w:before="0" w:after="160"/>
        <w:jc w:val="both"/>
        <w:rPr>
          <w:color w:val="auto"/>
          <w:sz w:val="20"/>
          <w:szCs w:val="20"/>
        </w:rPr>
      </w:pPr>
      <w:r>
        <w:rPr>
          <w:color w:val="auto"/>
          <w:sz w:val="20"/>
          <w:szCs w:val="20"/>
        </w:rPr>
        <w:t xml:space="preserve">All reference force-field parameters used in this study were independently verified against their authoritative primary distributions rather than propagated from secondary tabulations. AMBER ff14SB backbone bond and angle parameters were verified directly against </w:t>
      </w:r>
      <w:r>
        <w:rPr>
          <w:i/>
          <w:iCs/>
          <w:color w:val="auto"/>
          <w:sz w:val="20"/>
          <w:szCs w:val="20"/>
        </w:rPr>
        <w:t>protein.ff14SB.xml</w:t>
      </w:r>
      <w:r>
        <w:rPr>
          <w:color w:val="auto"/>
          <w:sz w:val="20"/>
          <w:szCs w:val="20"/>
          <w:vertAlign w:val="superscript"/>
        </w:rPr>
        <w:t>9</w:t>
      </w:r>
      <w:r>
        <w:rPr>
          <w:color w:val="auto"/>
          <w:sz w:val="20"/>
          <w:szCs w:val="20"/>
        </w:rPr>
        <w:t xml:space="preserve"> (OpenMM AmberTools-derived distribution), OPLS-AA/M parameters against the official CHARMM-format distribution</w:t>
      </w:r>
      <w:r>
        <w:rPr>
          <w:color w:val="auto"/>
          <w:sz w:val="20"/>
          <w:szCs w:val="20"/>
          <w:vertAlign w:val="superscript"/>
        </w:rPr>
        <w:t>10,11</w:t>
      </w:r>
      <w:r>
        <w:rPr>
          <w:color w:val="auto"/>
          <w:sz w:val="20"/>
          <w:szCs w:val="20"/>
        </w:rPr>
        <w:t xml:space="preserve"> (Jorgensen group, Yale University), CHARMM36 CMAP grids against </w:t>
      </w:r>
      <w:r>
        <w:rPr>
          <w:i/>
          <w:iCs/>
          <w:color w:val="auto"/>
          <w:sz w:val="20"/>
          <w:szCs w:val="20"/>
        </w:rPr>
        <w:t>par_all36m_prot.prm</w:t>
      </w:r>
      <w:r>
        <w:rPr>
          <w:color w:val="auto"/>
          <w:sz w:val="20"/>
          <w:szCs w:val="20"/>
          <w:vertAlign w:val="superscript"/>
        </w:rPr>
        <w:t>12,13</w:t>
      </w:r>
      <w:r>
        <w:rPr>
          <w:color w:val="auto"/>
          <w:sz w:val="20"/>
          <w:szCs w:val="20"/>
        </w:rPr>
        <w:t>, and AMBER DNA backbone parameters (parm10.dat, incorporating the parmbsc0</w:t>
      </w:r>
      <w:r>
        <w:rPr>
          <w:color w:val="auto"/>
          <w:sz w:val="20"/>
          <w:szCs w:val="20"/>
          <w:vertAlign w:val="superscript"/>
        </w:rPr>
        <w:t>14</w:t>
      </w:r>
      <w:r>
        <w:rPr>
          <w:color w:val="auto"/>
          <w:sz w:val="20"/>
          <w:szCs w:val="20"/>
        </w:rPr>
        <w:t xml:space="preserve"> and parmbsc1</w:t>
      </w:r>
      <w:r>
        <w:rPr>
          <w:color w:val="auto"/>
          <w:sz w:val="20"/>
          <w:szCs w:val="20"/>
          <w:vertAlign w:val="superscript"/>
        </w:rPr>
        <w:t>15</w:t>
      </w:r>
      <w:r>
        <w:rPr>
          <w:color w:val="auto"/>
          <w:sz w:val="20"/>
          <w:szCs w:val="20"/>
        </w:rPr>
        <w:t xml:space="preserve"> refinements) against the standard AmberTools distribution. All reported analyses use the verified reference parameters. Because identical force constants are applied to both the reference and MechLib strain calculations for each geometric term, force-constant values cancel exactly in the strain-reduction percentage; we confirmed this both algebraically and empirically. Equilibrium geometry values do not exhibit this cancellation and were therefore verified directly from the primary sources prior to all analyses.</w:t>
      </w:r>
    </w:p>
    <w:p>
      <w:pPr>
        <w:pStyle w:val="Normal"/>
        <w:spacing w:before="0" w:after="160"/>
        <w:jc w:val="both"/>
        <w:rPr>
          <w:color w:val="auto"/>
          <w:sz w:val="20"/>
          <w:szCs w:val="20"/>
        </w:rPr>
      </w:pPr>
      <w:r>
        <w:rPr>
          <w:color w:val="auto"/>
          <w:sz w:val="20"/>
          <w:szCs w:val="20"/>
        </w:rPr>
        <w:t>All eleven AMBER ff14SB backbone parameters were additionally re-verified directly against the primary AmberTools distribution (parm10.dat) before the held-out minimization analysis (Section 2.7). In particular, the N–Cα–Cβ force constant is k = 80.0 kcal·mol⁻¹·rad⁻² (parm10.dat, entry CT-CX-N); this value is used in all reported analyses.</w:t>
      </w:r>
    </w:p>
    <w:p>
      <w:pPr>
        <w:pStyle w:val="Heading2"/>
        <w:jc w:val="both"/>
        <w:rPr/>
      </w:pPr>
      <w:r>
        <w:rPr/>
        <w:t>2.3 Data quality control</w:t>
      </w:r>
    </w:p>
    <w:p>
      <w:pPr>
        <w:pStyle w:val="Normal"/>
        <w:spacing w:before="0" w:after="160"/>
        <w:jc w:val="both"/>
        <w:rPr/>
      </w:pPr>
      <w:r>
        <w:rPr/>
        <w:t>During protein feature extraction and the associated steric analysis, we checked three sources of systematic artifact. Disulfide-bonded cysteine pairs were detected independently of sequence position, via Cys Sγ–Sγ distance evaluated across the entire structure (≤2.5 Å, consistent with the ~2.05 Å covalent S–S bond length), and excluded from non-bonded steric calculations rather than being miscounted as clashes. Alternate-location and partial-occupancy atoms were handled by computing cross-residue non-bonded interactions only between atom pairs with occupancy ≥0.999 on both sides, rather than by attempting to match altLoc labels across residues — altLoc codes are assigned independently per residue and carry no guaranteed correspondence between residues, so occupancy-based filtering avoids pairing alternate conformers that are never simultaneously present in the physical structure. Solvent and heteroatom leakage into intrinsic backbone calculations was excluded by construction: only atoms belonging to one of the 20 standard amino acids were included in the non-bonded neighbor search, so waters, ligands, and other heteroatoms never contribute to backbone-intrinsic torque or strain calculations. After these corrections, direct atomic-distance inspection confirmed 91 residues across 43 structures (0.52% of the 8,292 structures; Table S1) as genuine local crystallographic modeling defects — predominantly involving Lys and Asn side chains (23 and 22 of 91 residues, respectively) — which were excluded and are documented by PDB ID and residue index.</w:t>
      </w:r>
    </w:p>
    <w:p>
      <w:pPr>
        <w:pStyle w:val="Heading2"/>
        <w:jc w:val="both"/>
        <w:rPr/>
      </w:pPr>
      <w:r>
        <w:rPr/>
        <w:t>2.4 MechLib construction</w:t>
      </w:r>
    </w:p>
    <w:p>
      <w:pPr>
        <w:pStyle w:val="Normal"/>
        <w:jc w:val="both"/>
        <w:rPr/>
      </w:pPr>
      <w:r>
        <w:rPr/>
        <w:t>For each backbone bond length and bond angle, a conformation-dependent correction library was constructed by jointly binning residues according to residue type and 10° × 10° (φ,ψ) bins. The local mean observed geometry within each populated bin was taken as the equilibrium value. When a residue-specific bin contained fewer than 10 observations, the equilibrium was replaced by the pooled (φ,ψ)-only mean to maintain statistical stability.</w:t>
      </w:r>
    </w:p>
    <w:p>
      <w:pPr>
        <w:pStyle w:val="Normal"/>
        <w:jc w:val="both"/>
        <w:rPr/>
      </w:pPr>
      <w:r>
        <w:rPr/>
        <w:t>For each residue, phantom strain was then calculated for all 11 backbone bond and angle terms using both the reference force-field equilibrium geometry (E_ref) and the corresponding MechLib equilibrium (E_MechLib), while keeping the observed geometry and force constants fixed. Individual term energies were summed to obtain the total strain per residue. Protein strain reduction was reported as</w:t>
      </w:r>
    </w:p>
    <w:p>
      <w:pPr>
        <w:pStyle w:val="Normal"/>
        <w:jc w:val="center"/>
        <w:rPr/>
      </w:pPr>
      <w:r>
        <w:rPr/>
      </w:r>
      <m:oMathPara xmlns:m="http://schemas.openxmlformats.org/officeDocument/2006/math">
        <m:oMathParaPr>
          <m:jc m:val="center"/>
        </m:oMathParaPr>
        <m:oMath>
          <m:r>
            <m:t xml:space="preserve">100</m:t>
          </m:r>
          <m:r>
            <m:t xml:space="preserve">×</m:t>
          </m:r>
          <m:f>
            <m:num>
              <m:bar>
                <m:barPr>
                  <m:pos m:val="top"/>
                </m:barPr>
                <m:e>
                  <m:sSub>
                    <m:e>
                      <m:r>
                        <m:t xml:space="preserve">E</m:t>
                      </m:r>
                    </m:e>
                    <m:sub>
                      <m:r>
                        <m:t xml:space="preserve">ref</m:t>
                      </m:r>
                    </m:sub>
                  </m:sSub>
                </m:e>
              </m:bar>
              <m:r>
                <m:rPr>
                  <m:lit/>
                  <m:nor/>
                </m:rPr>
                <m:t xml:space="preserve">-</m:t>
              </m:r>
              <m:bar>
                <m:barPr>
                  <m:pos m:val="top"/>
                </m:barPr>
                <m:e>
                  <m:sSub>
                    <m:e>
                      <m:r>
                        <m:t xml:space="preserve">E</m:t>
                      </m:r>
                    </m:e>
                    <m:sub>
                      <m:r>
                        <m:t xml:space="preserve">MechLib</m:t>
                      </m:r>
                    </m:sub>
                  </m:sSub>
                </m:e>
              </m:bar>
            </m:num>
            <m:den>
              <m:bar>
                <m:barPr>
                  <m:pos m:val="top"/>
                </m:barPr>
                <m:e>
                  <m:sSub>
                    <m:e>
                      <m:r>
                        <m:t xml:space="preserve">E</m:t>
                      </m:r>
                    </m:e>
                    <m:sub>
                      <m:r>
                        <m:t xml:space="preserve">ref</m:t>
                      </m:r>
                    </m:sub>
                  </m:sSub>
                </m:e>
              </m:bar>
            </m:den>
          </m:f>
          <m:r>
            <m:t xml:space="preserve">,</m:t>
          </m:r>
        </m:oMath>
      </m:oMathPara>
    </w:p>
    <w:p>
      <w:pPr>
        <w:pStyle w:val="Normal"/>
        <w:jc w:val="both"/>
        <w:rPr/>
      </w:pPr>
      <w:r>
        <w:rPr/>
        <w:t>whereas DNA analyses used the corresponding median-based statistic because of the broader energy distribution. Confidence intervals were obtained from 2,000 structure-level bootstrap resamples.</w:t>
      </w:r>
    </w:p>
    <w:p>
      <w:pPr>
        <w:pStyle w:val="Normal"/>
        <w:jc w:val="both"/>
        <w:rPr/>
      </w:pPr>
      <w:r>
        <w:rPr>
          <w:b/>
          <w:bCs/>
        </w:rPr>
        <w:t>Note on Scope:</w:t>
      </w:r>
      <w:r>
        <w:rPr/>
        <w:t xml:space="preserve"> </w:t>
      </w:r>
      <w:r>
        <w:rPr>
          <w:i/>
          <w:iCs/>
        </w:rPr>
        <w:t>This bonded strain calculation isolatedly evaluates local geometric strain and does not represent the full potential energy surface, which incorporates torsional and non-bonded interactions driving secondary-structure formation. MechLib addresses exclusively the equilibrium-geometry component of the bonded energy terms.</w:t>
      </w:r>
    </w:p>
    <w:p>
      <w:pPr>
        <w:pStyle w:val="Heading2"/>
        <w:jc w:val="both"/>
        <w:rPr/>
      </w:pPr>
      <w:r>
        <w:rPr/>
        <w:t>2.5 Statistical validation</w:t>
      </w:r>
    </w:p>
    <w:p>
      <w:pPr>
        <w:pStyle w:val="Normal"/>
        <w:spacing w:before="0" w:after="160"/>
        <w:jc w:val="both"/>
        <w:rPr/>
      </w:pPr>
      <w:r>
        <w:rPr/>
        <w:t>Bootstrap confidence intervals were computed by resampling entire structures (not individual residues) with replacement, 2,000 iterations, since residues within the same PDB entry are not independent observations. A temporally blind train/test validation was performed using PDB initial release dates obtained via the RCSB GraphQL API for all 8,292 structures: the MechLib correction library was rebuilt using only the 6,170 structures released before January 1, 2020, and strain reduction was evaluated on the 2,122 structures released 2020–2026 — entirely unseen during library construction.</w:t>
      </w:r>
    </w:p>
    <w:p>
      <w:pPr>
        <w:pStyle w:val="Heading2"/>
        <w:rPr/>
      </w:pPr>
      <w:r>
        <w:rPr/>
        <w:t>2.6 Refinement-software stratification</w:t>
      </w:r>
    </w:p>
    <w:p>
      <w:pPr>
        <w:pStyle w:val="Normal"/>
        <w:jc w:val="both"/>
        <w:rPr/>
      </w:pPr>
      <w:r>
        <w:rPr/>
        <w:t>Because the Berkholz conformation-dependent library (CDL)</w:t>
      </w:r>
      <w:r>
        <w:rPr>
          <w:vertAlign w:val="superscript"/>
        </w:rPr>
        <w:t>1</w:t>
      </w:r>
      <w:r>
        <w:rPr/>
        <w:t xml:space="preserve"> has been implemented as the default backbone restraint set in PHENIX</w:t>
      </w:r>
      <w:r>
        <w:rPr>
          <w:vertAlign w:val="superscript"/>
        </w:rPr>
        <w:t>4,5</w:t>
      </w:r>
      <w:r>
        <w:rPr/>
        <w:t>, structures refined with CDL-based restraints may already carry (φ,ψ)-dependent backbone geometry prior to any MechLib correction, independent of the physical regularity MechLib is intended to capture. Structures were categorized by refinement program (REFMAC, PHENIX, CNS/X-PLOR, BUSTER, TNT, or OTHER/UNKNOWN) by parsing the REMARK 3 PROGRAM field of each PDB header, excluding categories with fewer than 20 structures. Strain-reduction estimates were recomputed within each software stratum and across high-resolution (</w:t>
      </w:r>
      <w:r>
        <w:rPr/>
      </w:r>
      <m:oMath xmlns:m="http://schemas.openxmlformats.org/officeDocument/2006/math">
        <m:r>
          <m:t xml:space="preserve">≤</m:t>
        </m:r>
        <m:r>
          <m:t xml:space="preserve">1.5</m:t>
        </m:r>
      </m:oMath>
      <w:r>
        <w:rPr/>
        <w:t xml:space="preserve"> Å) versus standard-resolution (1.5–2.0 Å) bins using the bootstrap procedure described above (2,000 resamples, resampled by structure). As a confound-minimized sensitivity control, the analysis was restricted to REFMAC-labeled structures and further partitioned by secondary-structure class and residue type to evaluate robustness across diverse conformational contexts.</w:t>
      </w:r>
    </w:p>
    <w:p>
      <w:pPr>
        <w:pStyle w:val="Normal"/>
        <w:rPr/>
      </w:pPr>
      <w:r>
        <w:rPr/>
        <w:t>In a post hoc comparator analysis, we scored the cctbx conformation-dependent library</w:t>
      </w:r>
      <w:r>
        <w:rPr>
          <w:vertAlign w:val="superscript"/>
        </w:rPr>
        <w:t>16</w:t>
      </w:r>
      <w:r>
        <w:rPr/>
        <w:t xml:space="preserve"> (CDL; cctbx-base 2026.7), a pre-2020 global mean, a pre-2020 residue-type mean, and a pre-2020-trained MechLib table on identical post-2020 coordinate rows. We retained the ten geometry terms shared by all arms and excluded C–N(next) from every arm because the CDL entry indexes that bond at the following residue. CDL targets were taken from the nearest 10° φ/ψ grid and the cctbx residue/pre-Pro class; the AMBER force constants and observed coordinates were identical across arms. REFMAC and PHENIX groups were assigned from PDB REMARK 3 PROGRAM headers; these labels do not establish which restraint targets were active. The comparison, software splits, and structure-level bootstrap were exploratory (Supporting Information, Tables S5–S6).</w:t>
      </w:r>
    </w:p>
    <w:p>
      <w:pPr>
        <w:pStyle w:val="Heading2"/>
        <w:jc w:val="both"/>
        <w:rPr/>
      </w:pPr>
      <w:r>
        <w:rPr/>
        <w:t>2.7 Held-Out Static Energy Minimization</w:t>
      </w:r>
    </w:p>
    <w:p>
      <w:pPr>
        <w:pStyle w:val="Normal"/>
        <w:jc w:val="both"/>
        <w:rPr/>
      </w:pPr>
      <w:r>
        <w:rPr/>
        <w:t>The strain-reduction statistics reported above (Methods 2.4–2.6) quantify how well MechLib's conformation-dependent equilibrium geometry fits the crystallographic data from which it was constructed; because bin-averaged equilibrium values are guaranteed to fit their own training data at least as well as a single fixed value, this metric alone cannot demonstrate that the correction carries independent physical or predictive value. We therefore designed a complementary test whose outcome is not determined by construction: whether minimizing a perturbed structure toward MechLib's equilibrium geometry recovers the true, deposited structure more closely than minimizing toward a fixed-force-field equilibrium.</w:t>
      </w:r>
    </w:p>
    <w:p>
      <w:pPr>
        <w:pStyle w:val="Normal"/>
        <w:jc w:val="both"/>
        <w:rPr/>
      </w:pPr>
      <w:r>
        <w:rPr/>
        <w:t>We used 300 structures drawn from the temporally-blind holdout population introduced in Methods 2.5, with one additional control: MechLib's correction tables for this analysis were rebuilt using exclusively the 6,170 pre-2020 structures, so that no holdout structure's own geometry could have contributed to the equilibrium bin average against which it was subsequently tested.</w:t>
      </w:r>
    </w:p>
    <w:p>
      <w:pPr>
        <w:pStyle w:val="Normal"/>
        <w:jc w:val="both"/>
        <w:rPr/>
      </w:pPr>
      <w:r>
        <w:rPr/>
        <w:t>For each structure, we displaced all eleven backbone bond-length and bond-angle terms (Methods 2.4) from their deposited values by independent Gaussian noise (σ = 0.02 Å for bonds, 2.5° for angles), realized via a short energy minimization against noise-offset harmonic restraints, with all other atoms weakly positionally restrained, so that the resulting perturbed structure remains a valid, chain-connected conformation. The perturbed structure was then independently minimized toward three equilibrium targets using OpenMM</w:t>
      </w:r>
      <w:r>
        <w:rPr>
          <w:vertAlign w:val="superscript"/>
        </w:rPr>
        <w:t>17</w:t>
      </w:r>
      <w:r>
        <w:rPr/>
        <w:t>'s HarmonicBondForce and HarmonicAngleForce, with identical, independently verified AMBER ff14SB force constants (Methods 2.2) held fixed across all arms, so that any difference in outcome is attributable solely to the choice of equilibrium value: (1) the standard, fixed AMBER ff14SB reference geometry; (2) MechLib's conformation-dependent equilibria from the rebuilt, temporally-blind library; and (3) a shuffled-MechLib negative control, in which the same equilibrium value distribution was randomly permuted across bins, eliminating any correspondence to local conformation while preserving overall magnitude.</w:t>
      </w:r>
    </w:p>
    <w:p>
      <w:pPr>
        <w:pStyle w:val="Normal"/>
        <w:jc w:val="both"/>
        <w:rPr/>
      </w:pPr>
      <w:r>
        <w:rPr/>
        <w:t>We additionally tested a fourth arm in which the two Cβ-adjacent bond angles (N-Cα-Cβ, C-Cα-Cβ) were further refined by sidechain χ1 rotamer state (classified by nearest-neighbor assignment to the standard g−/t/g+ rotamer wells at −60°/180°/+60°), using a χ1-stratified library rebuilt from the same pre-2020 population.</w:t>
      </w:r>
    </w:p>
    <w:p>
      <w:pPr>
        <w:pStyle w:val="Normal"/>
        <w:jc w:val="both"/>
        <w:rPr/>
      </w:pPr>
      <w:r>
        <w:rPr/>
        <w:t>Backbone-atom RMSD was computed between each minimized structure and the true deposited structure. Uncertainty was estimated via structure-level bootstrap resampling (2,000 resamples), consistent with Methods 2.5.</w:t>
      </w:r>
    </w:p>
    <w:p>
      <w:pPr>
        <w:pStyle w:val="Heading2"/>
        <w:rPr/>
      </w:pPr>
      <w:r>
        <w:rPr/>
        <w:t>2.8 Prespecified Independent Constrained-QM Benchmark</w:t>
      </w:r>
    </w:p>
    <w:p>
      <w:pPr>
        <w:pStyle w:val="Normal"/>
        <w:rPr/>
      </w:pPr>
      <w:r>
        <w:rPr/>
        <w:t>We evaluated MechLib against a quantum-mechanical geometry target that was independent of the crystallographic observations used to construct the library. Before confirmatory outcome access, we registered 80 capped peptides (ACE–X–NME; 20 standard residues at α, β, polyproline-II, and left-handed φ/ψ coordinates), fixed the central φ/ψ values, and froze model predictions, force constants, exclusions, quality-control rules, and the success criterion. Each peptide underwent GFN2-xTB</w:t>
      </w:r>
      <w:r>
        <w:rPr>
          <w:vertAlign w:val="superscript"/>
        </w:rPr>
        <w:t>18</w:t>
      </w:r>
      <w:r>
        <w:rPr/>
        <w:t xml:space="preserve"> preoptimization for construction only, followed by constrained ωB97X-D</w:t>
      </w:r>
      <w:r>
        <w:rPr>
          <w:vertAlign w:val="superscript"/>
        </w:rPr>
        <w:t>19</w:t>
      </w:r>
      <w:r>
        <w:rPr/>
        <w:t>/def2-SVP</w:t>
      </w:r>
      <w:r>
        <w:rPr>
          <w:vertAlign w:val="superscript"/>
        </w:rPr>
        <w:t>20</w:t>
      </w:r>
      <w:r>
        <w:rPr/>
        <w:t xml:space="preserve"> optimization in Psi4</w:t>
      </w:r>
      <w:r>
        <w:rPr>
          <w:vertAlign w:val="superscript"/>
        </w:rPr>
        <w:t>21</w:t>
      </w:r>
      <w:r>
        <w:rPr/>
        <w:t>; the converged geometry, not xTB, was the reference endpoint.</w:t>
      </w:r>
    </w:p>
    <w:p>
      <w:pPr>
        <w:pStyle w:val="Normal"/>
        <w:rPr/>
      </w:pPr>
      <w:r>
        <w:rPr/>
        <w:t>For registered term t in case i, angular differences were converted to radians and the model error was e(model,i,t) = √kₜ |q(model,i,t) − q(QM,i,t)|. The paired case effect Δᵢ was the mean over available registered terms of e(AMBER,i,t) − e(MechLib,i,t), so positive values favor MechLib. The primary estimand was the mean Δᵢ across cases. Its two-sided 95% interval used 10,000 deterministic bootstrap resamples with residue identity as the cluster (seed 20260915); an ordinary case bootstrap was prespecified as sensitivity. Success required: a clustered lower confidence limit above zero, at least 12 of 20 positive residue means, no Holm-significant</w:t>
      </w:r>
      <w:r>
        <w:rPr>
          <w:vertAlign w:val="superscript"/>
        </w:rPr>
        <w:t>22</w:t>
      </w:r>
      <w:r>
        <w:rPr/>
        <w:t xml:space="preserve"> materially worse registered term, and at least 68 of 80 quality-controlled cases. The four conditions formed a conjunction; secondary analyses could not rescue a failed primary endpoint.</w:t>
      </w:r>
    </w:p>
    <w:p>
      <w:pPr>
        <w:pStyle w:val="Heading2"/>
        <w:jc w:val="both"/>
        <w:rPr/>
      </w:pPr>
      <w:r>
        <w:rPr/>
        <w:t>2.9 Exploratory MD/NMR Scalar-Coupling Comparison</w:t>
      </w:r>
    </w:p>
    <w:p>
      <w:pPr>
        <w:pStyle w:val="Normal"/>
        <w:spacing w:before="0" w:after="160"/>
        <w:jc w:val="both"/>
        <w:rPr/>
      </w:pPr>
      <w:r>
        <w:rPr/>
        <w:t>GB3 (56 residues) and ubiquitin (76 residues) were prepared with PDBFixer and OpenMM</w:t>
      </w:r>
      <w:r>
        <w:rPr>
          <w:vertAlign w:val="superscript"/>
        </w:rPr>
        <w:t>17</w:t>
      </w:r>
      <w:r>
        <w:rPr/>
        <w:t xml:space="preserve"> using AMBER ff14SB</w:t>
      </w:r>
      <w:r>
        <w:rPr>
          <w:vertAlign w:val="superscript"/>
        </w:rPr>
        <w:t>9</w:t>
      </w:r>
      <w:r>
        <w:rPr/>
        <w:t xml:space="preserve"> and TIP3P</w:t>
      </w:r>
      <w:r>
        <w:rPr>
          <w:vertAlign w:val="superscript"/>
        </w:rPr>
        <w:t>23</w:t>
      </w:r>
      <w:r>
        <w:rPr/>
        <w:t xml:space="preserve"> water. Each protein was placed in a periodic solvent box with 1.0 nm padding, neutralized with Na⁺/Cl⁻, and supplemented to 0.15 M NaCl. Particle-mesh Ewald electrostatics used a 1.0 nm real-space cutoff; bonds to hydrogen were constrained. Each arm was minimized and equilibrated for 20 ps in NVT at 298 K with identical initial velocities within each of three paired repeats; no separate NPT equilibration interval preceded scored production. Simulations then continued from their own final states for 1 ns at 298 K and 1 bar (2 fs Langevin-middle integration, friction 1 ps⁻¹; Monte Carlo barostat attempted every 25 steps); 100 frames were saved per trajectory.</w:t>
      </w:r>
    </w:p>
    <w:p>
      <w:pPr>
        <w:pStyle w:val="Normal"/>
        <w:rPr/>
      </w:pPr>
      <w:r>
        <w:rPr/>
        <w:t>For each supported backbone bond or angle, the MechLib arm added the difference between two harmonic energies with the same AMBER force constant: one centered on a conformation-dependent target and one on the fixed AMBER target. The target was interpolated periodically from the 10° × 10° φ/ψ library grid by an OpenMM Continuous2DFunction inside a CustomCompoundBondForce. Thus the target varies with the instantaneous torsions; OpenMM differentiates the full position-dependent energy, including the target’s φ/ψ derivatives, when computing forces. For each unpopulated grid node, the target used the pooled all-residue value in the same φ/ψ bin, or the fixed AMBER equilibrium if that value was absent. Gly lacked Cβ-dependent terms; Pro used its own residue surface; terminal residues without both peptide neighbors retained the fixed AMBER terms. The χ1 extension was excluded. The source builder, surface tables, and serialized systems are retained in the MD run records.</w:t>
      </w:r>
    </w:p>
    <w:p>
      <w:pPr>
        <w:pStyle w:val="Normal"/>
        <w:rPr/>
      </w:pPr>
      <w:r>
        <w:rPr/>
        <w:t>For each saved frame, φ was converted to ³J(HN,Hα) using J = 6.7 cos²(φ − 60°) − 1.3 cos(φ − 60°) + 1.5 Hz</w:t>
      </w:r>
      <w:r>
        <w:rPr>
          <w:vertAlign w:val="superscript"/>
        </w:rPr>
        <w:t>24</w:t>
      </w:r>
      <w:r>
        <w:rPr/>
        <w:t>. Predictions were averaged over frames and compared by residue-level mean squared error with 50 GB3</w:t>
      </w:r>
      <w:r>
        <w:rPr>
          <w:vertAlign w:val="superscript"/>
        </w:rPr>
        <w:t>25</w:t>
      </w:r>
      <w:r>
        <w:rPr/>
        <w:t xml:space="preserve"> and 63 ubiquitin</w:t>
      </w:r>
      <w:r>
        <w:rPr>
          <w:vertAlign w:val="superscript"/>
        </w:rPr>
        <w:t>26</w:t>
      </w:r>
      <w:r>
        <w:rPr/>
        <w:t xml:space="preserve"> non-glycine observations. The descriptive contrast was MSE(fixed AMBER) − MSE(MechLib), averaged across paired repeats within each protein and then equally across proteins; no significance threshold was prespecified for this pilot.</w:t>
      </w:r>
    </w:p>
    <w:p>
      <w:pPr>
        <w:pStyle w:val="Heading2"/>
        <w:jc w:val="both"/>
        <w:rPr/>
      </w:pPr>
      <w:r>
        <w:rPr/>
        <w:t>2.10 DNA backbone extension</w:t>
      </w:r>
    </w:p>
    <w:p>
      <w:pPr>
        <w:pStyle w:val="Normal"/>
        <w:jc w:val="both"/>
        <w:rPr/>
      </w:pPr>
      <w:r>
        <w:rPr/>
        <w:t xml:space="preserve">A non-redundant DNA structure set was curated in parallel to the protein pipeline (RCSB Search API; X-ray structures, resolution </w:t>
      </w:r>
      <w:r>
        <w:rPr/>
      </w:r>
      <m:oMath xmlns:m="http://schemas.openxmlformats.org/officeDocument/2006/math">
        <m:r>
          <m:t xml:space="preserve">≤</m:t>
        </m:r>
        <m:r>
          <m:t xml:space="preserve">3.0</m:t>
        </m:r>
      </m:oMath>
      <w:r>
        <w:rPr/>
        <w:t xml:space="preserve"> Å, pure-DNA polymer entities). A total of 7,196 structures were deduplicated by exact canonical sequence (</w:t>
      </w:r>
      <w:r>
        <w:rPr/>
      </w:r>
      <m:oMath xmlns:m="http://schemas.openxmlformats.org/officeDocument/2006/math">
        <m:r>
          <m:t xml:space="preserve">1.86</m:t>
        </m:r>
        <m:r>
          <m:t xml:space="preserve">×</m:t>
        </m:r>
      </m:oMath>
      <w:r>
        <w:rPr/>
        <w:t xml:space="preserve"> redundancy) to yield 3,873 representative structures. For each nucleotide, the six backbone torsions, glycosidic torsion (</w:t>
      </w:r>
      <w:r>
        <w:rPr/>
      </w:r>
      <m:oMath xmlns:m="http://schemas.openxmlformats.org/officeDocument/2006/math">
        <m:r>
          <m:t xml:space="preserve">χ</m:t>
        </m:r>
      </m:oMath>
      <w:r>
        <w:rPr/>
        <w:t>), sugar pucker (Altona–Sundaralingam</w:t>
      </w:r>
      <w:r>
        <w:rPr>
          <w:vertAlign w:val="superscript"/>
        </w:rPr>
        <w:t>27</w:t>
      </w:r>
      <w:r>
        <w:rPr/>
        <w:t xml:space="preserve"> phase, amplitude, and </w:t>
      </w:r>
      <w:r>
        <w:rPr/>
      </w:r>
      <m:oMath xmlns:m="http://schemas.openxmlformats.org/officeDocument/2006/math">
        <m:r>
          <m:t xml:space="preserve">δ</m:t>
        </m:r>
      </m:oMath>
      <w:r>
        <w:rPr/>
        <w:t>), BI/BII backbone state, eleven backbone bond lengths, and fifteen backbone bond angles were computed directly from atomic coordinates.</w:t>
      </w:r>
    </w:p>
    <w:p>
      <w:pPr>
        <w:pStyle w:val="Normal"/>
        <w:jc w:val="both"/>
        <w:rPr/>
      </w:pPr>
      <w:r>
        <w:rPr/>
        <w:t>An initial analysis revealed an apparent increase in BII-state strain following MechLib-DNA correction. Systematic inspection of all 26 geometric observables identified the phosphodiester linkage bond (</w:t>
      </w:r>
      <w:r>
        <w:rPr/>
      </w:r>
      <m:oMath xmlns:m="http://schemas.openxmlformats.org/officeDocument/2006/math">
        <m:sSup>
          <m:e>
            <m:r>
              <m:rPr>
                <m:lit/>
                <m:nor/>
              </m:rPr>
              <m:t xml:space="preserve">O3</m:t>
            </m:r>
          </m:e>
          <m:sup>
            <m:r>
              <m:t xml:space="preserve">'</m:t>
            </m:r>
          </m:sup>
        </m:sSup>
        <m:d>
          <m:dPr>
            <m:begChr m:val="("/>
            <m:endChr m:val=")"/>
          </m:dPr>
          <m:e>
            <m:r>
              <m:t xml:space="preserve">i</m:t>
            </m:r>
          </m:e>
        </m:d>
        <m:r>
          <m:rPr>
            <m:lit/>
            <m:nor/>
          </m:rPr>
          <m:t xml:space="preserve">--P</m:t>
        </m:r>
        <m:d>
          <m:dPr>
            <m:begChr m:val="("/>
            <m:endChr m:val=")"/>
          </m:dPr>
          <m:e>
            <m:r>
              <m:t xml:space="preserve">i</m:t>
            </m:r>
            <m:r>
              <m:rPr>
                <m:lit/>
                <m:nor/>
              </m:rPr>
              <m:t xml:space="preserve">+</m:t>
            </m:r>
            <m:r>
              <m:t xml:space="preserve">1</m:t>
            </m:r>
          </m:e>
        </m:d>
      </m:oMath>
      <w:r>
        <w:rPr/>
        <w:t xml:space="preserve">) as an outlier, with a standard deviation </w:t>
      </w:r>
      <w:r>
        <w:rPr/>
      </w:r>
      <m:oMath xmlns:m="http://schemas.openxmlformats.org/officeDocument/2006/math">
        <m:r>
          <m:t xml:space="preserve">30</m:t>
        </m:r>
        <m:r>
          <m:rPr>
            <m:lit/>
            <m:nor/>
          </m:rPr>
          <m:t xml:space="preserve">--</m:t>
        </m:r>
        <m:r>
          <m:t xml:space="preserve">80</m:t>
        </m:r>
        <m:r>
          <m:t xml:space="preserve">×</m:t>
        </m:r>
      </m:oMath>
      <w:r>
        <w:rPr/>
        <w:t xml:space="preserve"> larger than any other backbone bond and </w:t>
      </w:r>
      <w:r>
        <w:rPr/>
      </w:r>
      <m:oMath xmlns:m="http://schemas.openxmlformats.org/officeDocument/2006/math">
        <m:r>
          <m:t xml:space="preserve">2.4</m:t>
        </m:r>
        <m:r>
          <m:t xml:space="preserve">×</m:t>
        </m:r>
      </m:oMath>
      <w:r>
        <w:rPr/>
        <w:t xml:space="preserve"> larger in BII than BI. This anomaly resulted from a chain-connectivity artifact: in multi-stranded PDB depositions, residue-index adjacency does not always correspond to a true phosphodiester bond, causing the parser to compute bond geometries between physically disconnected atoms. To correct this, a geometric chain-break detector was introduced, flagging any residue-index-adjacent </w:t>
      </w:r>
      <w:r>
        <w:rPr/>
      </w:r>
      <m:oMath xmlns:m="http://schemas.openxmlformats.org/officeDocument/2006/math">
        <m:sSup>
          <m:e>
            <m:r>
              <m:rPr>
                <m:lit/>
                <m:nor/>
              </m:rPr>
              <m:t xml:space="preserve">O3</m:t>
            </m:r>
          </m:e>
          <m:sup>
            <m:r>
              <m:t xml:space="preserve">'</m:t>
            </m:r>
          </m:sup>
        </m:sSup>
        <m:r>
          <m:rPr>
            <m:lit/>
            <m:nor/>
          </m:rPr>
          <m:t xml:space="preserve">--P</m:t>
        </m:r>
      </m:oMath>
      <w:r>
        <w:rPr/>
        <w:t xml:space="preserve"> distance exceeding </w:t>
      </w:r>
      <w:r>
        <w:rPr/>
      </w:r>
      <m:oMath xmlns:m="http://schemas.openxmlformats.org/officeDocument/2006/math">
        <m:r>
          <m:t xml:space="preserve">2.0</m:t>
        </m:r>
      </m:oMath>
      <w:r>
        <w:rPr/>
        <w:t xml:space="preserve"> Å as a genuine chain break. One structure (PDB 8PW0) retained severe residual defects after this correction and was excluded in its entirety, together with ten additional isolated outlier residues, yielding a final validated dataset of </w:t>
      </w:r>
      <w:r>
        <w:rPr>
          <w:b/>
          <w:bCs/>
        </w:rPr>
        <w:t>157,562</w:t>
      </w:r>
      <w:r>
        <w:rPr/>
        <w:t xml:space="preserve"> nucleotides. MechLib-DNA equilibria were taken as the mean observed geometry within bins defined by base identity, BI/BII backbone state, and sugar-pucker class (74 populated bins).</w:t>
      </w:r>
    </w:p>
    <w:p>
      <w:pPr>
        <w:pStyle w:val="Normal"/>
        <w:jc w:val="both"/>
        <w:rPr/>
      </w:pPr>
      <w:r>
        <w:rPr/>
        <w:t xml:space="preserve">Following these corrections, joint δ–χ dependence in DNA backbone geometry was quantified with a two-way ANOVA-style separability analysis. For each observable, the δ–χ decomposition partitioned its binned mean into the grand mean, separate δ and χ effects, and a δ×χ interaction. Observables were evaluated on a </w:t>
      </w:r>
      <w:r>
        <w:rPr/>
      </w:r>
      <m:oMath xmlns:m="http://schemas.openxmlformats.org/officeDocument/2006/math">
        <m:sSup>
          <m:e>
            <m:r>
              <m:t xml:space="preserve">10</m:t>
            </m:r>
          </m:e>
          <m:sup>
            <m:r>
              <m:t xml:space="preserve">∘</m:t>
            </m:r>
          </m:sup>
        </m:sSup>
        <m:r>
          <m:t xml:space="preserve">×</m:t>
        </m:r>
        <m:sSup>
          <m:e>
            <m:r>
              <m:t xml:space="preserve">10</m:t>
            </m:r>
          </m:e>
          <m:sup>
            <m:r>
              <m:t xml:space="preserve">∘</m:t>
            </m:r>
          </m:sup>
        </m:sSup>
      </m:oMath>
      <w:r>
        <w:rPr/>
        <w:t xml:space="preserve"> </w:t>
      </w:r>
      <w:r>
        <w:rPr/>
      </w:r>
      <m:oMath xmlns:m="http://schemas.openxmlformats.org/officeDocument/2006/math">
        <m:d>
          <m:dPr>
            <m:begChr m:val="("/>
            <m:endChr m:val=")"/>
          </m:dPr>
          <m:e>
            <m:r>
              <m:t xml:space="preserve">δ</m:t>
            </m:r>
            <m:r>
              <m:t xml:space="preserve">,</m:t>
            </m:r>
            <m:r>
              <m:t xml:space="preserve">χ</m:t>
            </m:r>
          </m:e>
        </m:d>
      </m:oMath>
      <w:r>
        <w:rPr/>
        <w:t xml:space="preserve"> grid according to:</w:t>
      </w:r>
    </w:p>
    <w:p>
      <w:pPr>
        <w:pStyle w:val="Normal"/>
        <w:jc w:val="center"/>
        <w:rPr/>
      </w:pPr>
      <w:r>
        <w:rPr/>
      </w:r>
      <m:oMathPara xmlns:m="http://schemas.openxmlformats.org/officeDocument/2006/math">
        <m:oMathParaPr>
          <m:jc m:val="center"/>
        </m:oMathParaPr>
        <m:oMath>
          <m:r>
            <m:t xml:space="preserve">f</m:t>
          </m:r>
          <m:d>
            <m:dPr>
              <m:begChr m:val="("/>
              <m:endChr m:val=")"/>
            </m:dPr>
            <m:e>
              <m:r>
                <m:t xml:space="preserve">δ</m:t>
              </m:r>
              <m:r>
                <m:t xml:space="preserve">,</m:t>
              </m:r>
              <m:r>
                <m:t xml:space="preserve">χ</m:t>
              </m:r>
            </m:e>
          </m:d>
          <m:r>
            <m:rPr>
              <m:lit/>
              <m:nor/>
            </m:rPr>
            <m:t xml:space="preserve">=</m:t>
          </m:r>
          <m:sSub>
            <m:e>
              <m:r>
                <m:t xml:space="preserve">f</m:t>
              </m:r>
            </m:e>
            <m:sub>
              <m:r>
                <m:t xml:space="preserve">0</m:t>
              </m:r>
            </m:sub>
          </m:sSub>
          <m:r>
            <m:rPr>
              <m:lit/>
              <m:nor/>
            </m:rPr>
            <m:t xml:space="preserve">+</m:t>
          </m:r>
          <m:r>
            <m:t xml:space="preserve">Δ</m:t>
          </m:r>
          <m:sSub>
            <m:e>
              <m:r>
                <m:t xml:space="preserve">f</m:t>
              </m:r>
            </m:e>
            <m:sub>
              <m:r>
                <m:t xml:space="preserve">δ</m:t>
              </m:r>
            </m:sub>
          </m:sSub>
          <m:d>
            <m:dPr>
              <m:begChr m:val="("/>
              <m:endChr m:val=")"/>
            </m:dPr>
            <m:e>
              <m:r>
                <m:t xml:space="preserve">δ</m:t>
              </m:r>
            </m:e>
          </m:d>
          <m:r>
            <m:rPr>
              <m:lit/>
              <m:nor/>
            </m:rPr>
            <m:t xml:space="preserve">+</m:t>
          </m:r>
          <m:r>
            <m:t xml:space="preserve">Δ</m:t>
          </m:r>
          <m:sSub>
            <m:e>
              <m:r>
                <m:t xml:space="preserve">f</m:t>
              </m:r>
            </m:e>
            <m:sub>
              <m:r>
                <m:t xml:space="preserve">χ</m:t>
              </m:r>
            </m:sub>
          </m:sSub>
          <m:d>
            <m:dPr>
              <m:begChr m:val="("/>
              <m:endChr m:val=")"/>
            </m:dPr>
            <m:e>
              <m:r>
                <m:t xml:space="preserve">χ</m:t>
              </m:r>
            </m:e>
          </m:d>
          <m:r>
            <m:rPr>
              <m:lit/>
              <m:nor/>
            </m:rPr>
            <m:t xml:space="preserve">+</m:t>
          </m:r>
          <m:r>
            <m:t xml:space="preserve">Δ</m:t>
          </m:r>
          <m:sSub>
            <m:e>
              <m:r>
                <m:t xml:space="preserve">f</m:t>
              </m:r>
            </m:e>
            <m:sub>
              <m:r>
                <m:rPr>
                  <m:lit/>
                  <m:nor/>
                </m:rPr>
                <m:t xml:space="preserve">coupling</m:t>
              </m:r>
            </m:sub>
          </m:sSub>
          <m:d>
            <m:dPr>
              <m:begChr m:val="("/>
              <m:endChr m:val=")"/>
            </m:dPr>
            <m:e>
              <m:r>
                <m:t xml:space="preserve">δ</m:t>
              </m:r>
              <m:r>
                <m:t xml:space="preserve">,</m:t>
              </m:r>
              <m:r>
                <m:t xml:space="preserve">χ</m:t>
              </m:r>
            </m:e>
          </m:d>
          <m:r>
            <m:rPr>
              <m:lit/>
              <m:nor/>
            </m:rPr>
            <m:t xml:space="preserve">+</m:t>
          </m:r>
          <m:r>
            <m:t xml:space="preserve">ϵ</m:t>
          </m:r>
        </m:oMath>
      </m:oMathPara>
    </w:p>
    <w:p>
      <w:pPr>
        <w:pStyle w:val="Normal"/>
        <w:jc w:val="both"/>
        <w:rPr/>
      </w:pPr>
      <w:r>
        <w:rPr/>
        <w:t xml:space="preserve">where </w:t>
      </w:r>
      <w:r>
        <w:rPr/>
      </w:r>
      <m:oMath xmlns:m="http://schemas.openxmlformats.org/officeDocument/2006/math">
        <m:sSub>
          <m:e>
            <m:r>
              <m:t xml:space="preserve">f</m:t>
            </m:r>
          </m:e>
          <m:sub>
            <m:r>
              <m:t xml:space="preserve">0</m:t>
            </m:r>
          </m:sub>
        </m:sSub>
      </m:oMath>
      <w:r>
        <w:rPr/>
        <w:t xml:space="preserve"> represents the grand mean and </w:t>
      </w:r>
      <w:r>
        <w:rPr/>
      </w:r>
      <m:oMath xmlns:m="http://schemas.openxmlformats.org/officeDocument/2006/math">
        <m:r>
          <m:t xml:space="preserve">ϵ</m:t>
        </m:r>
      </m:oMath>
      <w:r>
        <w:rPr/>
        <w:t xml:space="preserve"> is the residual error. The analysis was applied to five representative backbone observables, including the candidate ring-closure angle (</w:t>
      </w:r>
      <w:r>
        <w:rPr/>
      </w:r>
      <m:oMath xmlns:m="http://schemas.openxmlformats.org/officeDocument/2006/math">
        <m:sSup>
          <m:e>
            <m:r>
              <m:rPr>
                <m:lit/>
                <m:nor/>
              </m:rPr>
              <m:t xml:space="preserve">C1</m:t>
            </m:r>
          </m:e>
          <m:sup>
            <m:r>
              <m:t xml:space="preserve">'</m:t>
            </m:r>
          </m:sup>
        </m:sSup>
        <m:r>
          <m:rPr>
            <m:lit/>
            <m:nor/>
          </m:rPr>
          <m:t xml:space="preserve">--</m:t>
        </m:r>
        <m:sSup>
          <m:e>
            <m:r>
              <m:rPr>
                <m:lit/>
                <m:nor/>
              </m:rPr>
              <m:t xml:space="preserve">O4</m:t>
            </m:r>
          </m:e>
          <m:sup>
            <m:r>
              <m:t xml:space="preserve">'</m:t>
            </m:r>
          </m:sup>
        </m:sSup>
        <m:r>
          <m:rPr>
            <m:lit/>
            <m:nor/>
          </m:rPr>
          <m:t xml:space="preserve">--</m:t>
        </m:r>
        <m:sSup>
          <m:e>
            <m:r>
              <m:rPr>
                <m:lit/>
                <m:nor/>
              </m:rPr>
              <m:t xml:space="preserve">C4</m:t>
            </m:r>
          </m:e>
          <m:sup>
            <m:r>
              <m:t xml:space="preserve">'</m:t>
            </m:r>
          </m:sup>
        </m:sSup>
      </m:oMath>
      <w:r>
        <w:rPr/>
        <w:t>), the glycosidic bond length (</w:t>
      </w:r>
      <w:r>
        <w:rPr/>
      </w:r>
      <m:oMath xmlns:m="http://schemas.openxmlformats.org/officeDocument/2006/math">
        <m:sSup>
          <m:e>
            <m:r>
              <m:rPr>
                <m:lit/>
                <m:nor/>
              </m:rPr>
              <m:t xml:space="preserve">C1</m:t>
            </m:r>
          </m:e>
          <m:sup>
            <m:r>
              <m:t xml:space="preserve">'</m:t>
            </m:r>
          </m:sup>
        </m:sSup>
        <m:r>
          <m:rPr>
            <m:lit/>
            <m:nor/>
          </m:rPr>
          <m:t xml:space="preserve">--N</m:t>
        </m:r>
      </m:oMath>
      <w:r>
        <w:rPr/>
        <w:t>), the anomeric angle (</w:t>
      </w:r>
      <w:r>
        <w:rPr/>
      </w:r>
      <m:oMath xmlns:m="http://schemas.openxmlformats.org/officeDocument/2006/math">
        <m:sSup>
          <m:e>
            <m:r>
              <m:rPr>
                <m:lit/>
                <m:nor/>
              </m:rPr>
              <m:t xml:space="preserve">O4</m:t>
            </m:r>
          </m:e>
          <m:sup>
            <m:r>
              <m:t xml:space="preserve">'</m:t>
            </m:r>
          </m:sup>
        </m:sSup>
        <m:r>
          <m:rPr>
            <m:lit/>
            <m:nor/>
          </m:rPr>
          <m:t xml:space="preserve">--</m:t>
        </m:r>
        <m:sSup>
          <m:e>
            <m:r>
              <m:rPr>
                <m:lit/>
                <m:nor/>
              </m:rPr>
              <m:t xml:space="preserve">C1</m:t>
            </m:r>
          </m:e>
          <m:sup>
            <m:r>
              <m:t xml:space="preserve">'</m:t>
            </m:r>
          </m:sup>
        </m:sSup>
        <m:r>
          <m:rPr>
            <m:lit/>
            <m:nor/>
          </m:rPr>
          <m:t xml:space="preserve">--N</m:t>
        </m:r>
      </m:oMath>
      <w:r>
        <w:rPr/>
        <w:t xml:space="preserve">), the </w:t>
      </w:r>
      <w:r>
        <w:rPr/>
      </w:r>
      <m:oMath xmlns:m="http://schemas.openxmlformats.org/officeDocument/2006/math">
        <m:sSup>
          <m:e>
            <m:r>
              <m:rPr>
                <m:lit/>
                <m:nor/>
              </m:rPr>
              <m:t xml:space="preserve">C2</m:t>
            </m:r>
          </m:e>
          <m:sup>
            <m:r>
              <m:t xml:space="preserve">'</m:t>
            </m:r>
          </m:sup>
        </m:sSup>
        <m:r>
          <m:rPr>
            <m:lit/>
            <m:nor/>
          </m:rPr>
          <m:t xml:space="preserve">--</m:t>
        </m:r>
        <m:sSup>
          <m:e>
            <m:r>
              <m:rPr>
                <m:lit/>
                <m:nor/>
              </m:rPr>
              <m:t xml:space="preserve">C1</m:t>
            </m:r>
          </m:e>
          <m:sup>
            <m:r>
              <m:t xml:space="preserve">'</m:t>
            </m:r>
          </m:sup>
        </m:sSup>
        <m:r>
          <m:rPr>
            <m:lit/>
            <m:nor/>
          </m:rPr>
          <m:t xml:space="preserve">--N</m:t>
        </m:r>
      </m:oMath>
      <w:r>
        <w:rPr/>
        <w:t xml:space="preserve"> angle, and an uncoupled control angle (</w:t>
      </w:r>
      <w:r>
        <w:rPr/>
      </w:r>
      <m:oMath xmlns:m="http://schemas.openxmlformats.org/officeDocument/2006/math">
        <m:sSup>
          <m:e>
            <m:r>
              <m:rPr>
                <m:lit/>
                <m:nor/>
              </m:rPr>
              <m:t xml:space="preserve">C5</m:t>
            </m:r>
          </m:e>
          <m:sup>
            <m:r>
              <m:t xml:space="preserve">'</m:t>
            </m:r>
          </m:sup>
        </m:sSup>
        <m:r>
          <m:rPr>
            <m:lit/>
            <m:nor/>
          </m:rPr>
          <m:t xml:space="preserve">--</m:t>
        </m:r>
        <m:sSup>
          <m:e>
            <m:r>
              <m:rPr>
                <m:lit/>
                <m:nor/>
              </m:rPr>
              <m:t xml:space="preserve">C4</m:t>
            </m:r>
          </m:e>
          <m:sup>
            <m:r>
              <m:t xml:space="preserve">'</m:t>
            </m:r>
          </m:sup>
        </m:sSup>
        <m:r>
          <m:rPr>
            <m:lit/>
            <m:nor/>
          </m:rPr>
          <m:t xml:space="preserve">--</m:t>
        </m:r>
        <m:sSup>
          <m:e>
            <m:r>
              <m:rPr>
                <m:lit/>
                <m:nor/>
              </m:rPr>
              <m:t xml:space="preserve">C3</m:t>
            </m:r>
          </m:e>
          <m:sup>
            <m:r>
              <m:t xml:space="preserve">'</m:t>
            </m:r>
          </m:sup>
        </m:sSup>
      </m:oMath>
      <w:r>
        <w:rPr/>
        <w:t>). The contribution of each component was quantified as:</w:t>
      </w:r>
    </w:p>
    <w:p>
      <w:pPr>
        <w:pStyle w:val="Normal"/>
        <w:jc w:val="center"/>
        <w:rPr/>
      </w:pPr>
      <w:r>
        <w:rPr/>
      </w:r>
      <m:oMathPara xmlns:m="http://schemas.openxmlformats.org/officeDocument/2006/math">
        <m:oMathParaPr>
          <m:jc m:val="center"/>
        </m:oMathParaPr>
        <m:oMath>
          <m:sSup>
            <m:e>
              <m:r>
                <m:t xml:space="preserve">η</m:t>
              </m:r>
            </m:e>
            <m:sup>
              <m:r>
                <m:t xml:space="preserve">2</m:t>
              </m:r>
            </m:sup>
          </m:sSup>
          <m:r>
            <m:rPr>
              <m:lit/>
              <m:nor/>
            </m:rPr>
            <m:t xml:space="preserve">=</m:t>
          </m:r>
          <m:f>
            <m:num>
              <m:r>
                <m:rPr>
                  <m:lit/>
                  <m:nor/>
                </m:rPr>
                <m:t xml:space="preserve">Var</m:t>
              </m:r>
              <m:d>
                <m:dPr>
                  <m:begChr m:val="("/>
                  <m:endChr m:val=")"/>
                </m:dPr>
                <m:e>
                  <m:r>
                    <m:rPr>
                      <m:lit/>
                      <m:nor/>
                    </m:rPr>
                    <m:t xml:space="preserve">component</m:t>
                  </m:r>
                </m:e>
              </m:d>
            </m:num>
            <m:den>
              <m:r>
                <m:rPr>
                  <m:lit/>
                  <m:nor/>
                </m:rPr>
                <m:t xml:space="preserve">Var</m:t>
              </m:r>
              <m:d>
                <m:dPr>
                  <m:begChr m:val="("/>
                  <m:endChr m:val=")"/>
                </m:dPr>
                <m:e>
                  <m:r>
                    <m:t xml:space="preserve">f</m:t>
                  </m:r>
                  <m:r>
                    <m:rPr>
                      <m:lit/>
                      <m:nor/>
                    </m:rPr>
                    <m:t xml:space="preserve">-</m:t>
                  </m:r>
                  <m:sSub>
                    <m:e>
                      <m:r>
                        <m:t xml:space="preserve">f</m:t>
                      </m:r>
                    </m:e>
                    <m:sub>
                      <m:r>
                        <m:t xml:space="preserve">0</m:t>
                      </m:r>
                    </m:sub>
                  </m:sSub>
                </m:e>
              </m:d>
            </m:den>
          </m:f>
        </m:oMath>
      </m:oMathPara>
    </w:p>
    <w:p>
      <w:pPr>
        <w:pStyle w:val="Normal"/>
        <w:jc w:val="both"/>
        <w:rPr/>
      </w:pPr>
      <w:r>
        <w:rPr/>
        <w:t xml:space="preserve">where </w:t>
      </w:r>
      <w:r>
        <w:rPr/>
      </w:r>
      <m:oMath xmlns:m="http://schemas.openxmlformats.org/officeDocument/2006/math">
        <m:sSup>
          <m:e>
            <m:r>
              <m:t xml:space="preserve">η</m:t>
            </m:r>
          </m:e>
          <m:sup>
            <m:r>
              <m:t xml:space="preserve">2</m:t>
            </m:r>
          </m:sup>
        </m:sSup>
      </m:oMath>
      <w:r>
        <w:rPr/>
        <w:t xml:space="preserve"> represents the fraction of systematic variance attributable to the corresponding main effect or interaction term.</w:t>
      </w:r>
    </w:p>
    <w:p>
      <w:pPr>
        <w:pStyle w:val="Heading1"/>
        <w:jc w:val="both"/>
        <w:rPr/>
      </w:pPr>
      <w:r>
        <w:rPr/>
        <w:t>3. Results</w:t>
      </w:r>
    </w:p>
    <w:p>
      <w:pPr>
        <w:pStyle w:val="Heading2"/>
        <w:jc w:val="both"/>
        <w:rPr/>
      </w:pPr>
      <w:r>
        <w:rPr/>
        <w:t>3.1 Descriptive Fit to Crystallographic Geometry</w:t>
      </w:r>
    </w:p>
    <w:p>
      <w:pPr>
        <w:pStyle w:val="Normal"/>
        <w:spacing w:before="0" w:after="160"/>
        <w:jc w:val="both"/>
        <w:rPr/>
      </w:pPr>
      <w:r>
        <w:rPr/>
        <w:t>We first characterize how MechLib's bin-averaged equilibria fit crystallographic backbone geometry. Because a bin-averaged equilibrium fits its own training data at least as well as a single fixed value by construction, the strain-reduction statistic in this section is descriptive: it quantifies the size and location of the conformation-dependent departure from fixed equilibria, rather than physical validity. Independent tests are reported in Sections 3.2–3.4. Relative to independently verified AMBER ff14SB equilibria (Methods 2.2), MechLib reduced mean phantom strain by 39.6% (structure-bootstrap 95% CI 39.0–40.1%; Fig. 1; Table S2). The reduction was present in every secondary-structure class (31–55%; Fig. 1A) and every bonded observable (Fig. 1B), was concentrated in τ(N–Cα–C), ∠N–Cα–Cβ, and the N–Cα bond, and was largest for Pro, Gly, Val, and Ile (Fig. 1C). Residual dispersion narrowed rather than merely re-centering: the standard deviation of observed-minus-equilibrium residuals fell by 9–40% for four representative terms (Fig. 1D). These figures describe static crystallographic geometry only and do not by themselves imply any change to simulated dynamics, thermodynamics, or kinetics.</w:t>
      </w:r>
    </w:p>
    <w:p>
      <w:pPr>
        <w:pStyle w:val="Normal"/>
        <w:spacing w:before="0" w:after="160"/>
        <w:jc w:val="both"/>
        <w:rPr/>
      </w:pPr>
      <w:r>
        <w:rPr/>
        <w:t>The descriptive reduction persisted in a temporal holdout and across resolution strata. A library rebuilt from only the 6,170 structures released before January 1, 2020 reduced strain by 40.6% on the 2,122 structures released 2020–2026, compared with 38.7% on its own training structures; this supports transfer across deposition time within the same curated X-ray population. Per-structure reduction was essentially independent of resolution (r = 0.066, n = 8,289; Fig. 1E), with the nominal significance (P = 1.62 × 10⁻⁹) attributable to sample size, and median reduction was stable across the 1.0–2.0 Å range. Because the Berkholz conformation-dependent library (CDL)</w:t>
      </w:r>
      <w:r>
        <w:rPr>
          <w:vertAlign w:val="superscript"/>
        </w:rPr>
        <w:t>1</w:t>
      </w:r>
      <w:r>
        <w:rPr/>
        <w:t xml:space="preserve"> is the default backbone restraint set in PHENIX</w:t>
      </w:r>
      <w:r>
        <w:rPr>
          <w:vertAlign w:val="superscript"/>
        </w:rPr>
        <w:t>4,5</w:t>
      </w:r>
      <w:r>
        <w:rPr/>
        <w:t>, some deposited geometry may already carry (φ,ψ)-dependence from refinement. Stratifying by refinement program (Fig. 1F), PHENIX-refined structures showed the largest reduction (54.6%; 95% CI 53.9–55.2%), whereas REFMAC-labeled structures gave 34.4% (95% CI 33.8–35.0%), remaining positive in every secondary-structure class and residue type (Fig. S3). The smaller REFMAC estimate and variation across programs warrant caution about refinement provenance; program identity alone does not identify the restraints applied to each entry.</w:t>
      </w:r>
    </w:p>
    <w:p>
      <w:pPr>
        <w:pStyle w:val="Normal"/>
        <w:rPr/>
      </w:pPr>
      <w:r>
        <w:rPr/>
        <w:t>On ten matched geometry terms in the post-2020 holdout, pre-2020 global-mean and residue-type-mean targets reduced crystal-coordinate strain relative to fixed AMBER by 16.1% and 29.7%, respectively, compared with 43.3% for MechLib and 44.9% for cctbx CDL (Table S5). In the REFMAC-labeled subset, MechLib reduced strain slightly more than CDL (29.1% versus 27.2%), whereas CDL performed better in the PHENIX-labeled subset (62.4% versus 57.1%). The PHENIX fraction also rose from 30.3% of pre-2020 structures to 67.9% of post-2020 structures, which may contribute to the higher holdout than training reduction (40.6% versus 38.7%). These retrospective differences identify refinement provenance as an important sensitivity; they do not identify its causal mechanism or validate either target against an independent physical observable.</w:t>
      </w:r>
    </w:p>
    <w:p>
      <w:pPr>
        <w:pStyle w:val="Normal"/>
        <w:spacing w:before="0" w:after="160"/>
        <w:jc w:val="both"/>
        <w:rPr/>
      </w:pPr>
      <w:r>
        <w:rPr/>
        <w:t>Cross-force-field comparisons provide context rather than independent evidence. Ten of the eleven backbone bond and angle parameters are numerically identical in AMBER ff14SB and OPLS-AA/M, reflecting OPLS-AA/M's inheritance of AMBER bonded parameters; baseline strain is therefore nearly identical (0.0342 versus 0.0333 kcal/mol/residue), and MechLib behaves alike against both references (Fig. S1). MechLib's geometric strain landscape correlated weakly and negatively with the CHARMM36 CMAP energy surface (r = −0.261, P = 5.43 × 10⁻¹³, n = 740 bins; Fig. S2), an association between a geometric and an energetic correction that does not validate either. The temporal holdout removes direct self-fitting, but every analysis in this section still scores agreement with crystallographic geometry. The following sections test MechLib against targets that were not used to build it.</w:t>
      </w:r>
    </w:p>
    <w:p>
      <w:pPr>
        <w:pStyle w:val="Normal"/>
        <w:spacing w:before="200" w:after="80"/>
        <w:jc w:val="both"/>
        <w:rPr/>
      </w:pPr>
      <w:r>
        <w:rPr/>
        <w:drawing>
          <wp:inline distT="0" distB="0" distL="0" distR="0">
            <wp:extent cx="5760720" cy="585851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5760720" cy="5858510"/>
                    </a:xfrm>
                    <a:prstGeom prst="rect">
                      <a:avLst/>
                    </a:prstGeom>
                    <a:noFill/>
                  </pic:spPr>
                </pic:pic>
              </a:graphicData>
            </a:graphic>
          </wp:inline>
        </w:drawing>
      </w:r>
    </w:p>
    <w:p>
      <w:pPr>
        <w:pStyle w:val="Normal"/>
        <w:spacing w:before="0" w:after="280"/>
        <w:jc w:val="both"/>
        <w:rPr/>
      </w:pPr>
      <w:r>
        <w:rPr/>
        <w:t>Figure 1. Descriptive fit of MechLib to crystallographic backbone geometry (see Section 3.1 for why these statistics are descriptive). (A) Mean phantom strain per residue, AMBER ff14SB (verified parameters) vs. MechLib, by secondary-structure class; labels give percent reduction. (B) Mean strain by bonded observable. (C) Percent strain reduction by residue type; dashed line, overall reduction of 39.6% (structure-bootstrap 95% CI 39.0–40.1%). (D) Observed-minus-equilibrium residual distributions for four representative terms; panel titles give the reduction in residual standard deviation. Violin densities display values within the pooled 99.5th percentile of absolute sampled residuals for each term; percentage reductions use all sampled observations. (E) Per-structure strain reduction versus resolution (n = 8,289; r = 0.066); red line, median per resolution bin. (F) Strain reduction by refinement program parsed from REMARK 3; error bars, 95% structure-bootstrap CIs. The REFMAC-labeled subset provides a software-stratified sensitivity estimate (34.4%); the applied refinement restraints are not identified by the program label.</w:t>
      </w:r>
    </w:p>
    <w:p>
      <w:pPr>
        <w:pStyle w:val="Heading2"/>
        <w:jc w:val="both"/>
        <w:rPr/>
      </w:pPr>
      <w:r>
        <w:rPr/>
        <w:t>3.2 Recovery of Held-Out Structures by Static Energy Minimization</w:t>
      </w:r>
    </w:p>
    <w:p>
      <w:pPr>
        <w:pStyle w:val="Normal"/>
        <w:jc w:val="both"/>
        <w:rPr/>
      </w:pPr>
      <w:r>
        <w:rPr/>
        <w:t>Across the 300 temporally-blind holdout structures, minimizing toward MechLib's equilibria recovered the true structure substantially better than minimizing toward the fixed AMBER reference (33.1% lower RMSD-to-truth; 95% CI [32.0%, 34.1%]) and dramatically better than the shuffled negative control (86.9% lower RMSD-to-truth; 95% CI [86.6%, 87.2%]) (Fig. 2A,B). This improvement was consistent across the holdout set: not a single one of the 300 structures was recovered more closely by the fixed AMBER reference than by MechLib. The shuffled-table arm performed worse than fixed AMBER, supporting the importance of the assignment of targets to conformational bins within this static recovery test.</w:t>
      </w:r>
    </w:p>
    <w:p>
      <w:pPr>
        <w:pStyle w:val="Normal"/>
        <w:rPr/>
      </w:pPr>
      <w:r>
        <w:rPr/>
        <w:t>In a post hoc split of the same frozen 300-structure result, the reduction in the ratio of mean backbone RMSDs was 25.4% (95% structure-bootstrap CI 24.2–26.7%) in 87 REFMAC-labeled structures and 37.4% (36.3–38.4%) in 201 PHENIX-labeled structures (Table S6). MechLib had lower RMSD than fixed AMBER in every structure in both groups. This test still measures recovery of refined crystal coordinates, and the software label cannot determine which geometry restraints were used.</w:t>
      </w:r>
    </w:p>
    <w:p>
      <w:pPr>
        <w:pStyle w:val="Normal"/>
        <w:jc w:val="both"/>
        <w:rPr/>
      </w:pPr>
      <w:r>
        <w:rPr/>
        <w:t>We additionally tested whether conditioning the two Cβ-adjacent bond angles on sidechain χ1 rotamer state, in addition to backbone (φ,ψ), further improves recovery. Using the same leakage-controlled design, we observed a small but statistically robust additional improvement of 1.2% (95% CI [1.0%, 1.4%]) beyond plain (φ,ψ)-only MechLib, with 90.0% of eligible terms drawing from a populated χ1-conditioned cell (Fig. 2C). This aggregate estimate is precise, but per-structure outcomes were more variable than the confidence interval alone conveys: individual structures ranged from approximately −4% to +9%, and a minority of structures showed a small negative effect from χ1-conditioning despite the significantly positive population-level mean. We report this as a modest, well-supported secondary finding — that sidechain rotamer state carries some independent information about backbone geometry beyond backbone torsion angles alone, on average — rather than as a reliable per-structure improvement or a central result of this validation.</w:t>
      </w:r>
    </w:p>
    <w:p>
      <w:pPr>
        <w:pStyle w:val="Normal"/>
        <w:jc w:val="both"/>
        <w:rPr/>
      </w:pPr>
      <w:r>
        <w:rPr/>
        <w:t>This test is non-circular in the train/test sense, since no holdout structure contributed to the library against which it was minimized, and together with the temporal holdout (Section 3.1) it argues against training-set overfitting. It still scores agreement with crystallographic geometry, however, so it shows that MechLib predicts unseen crystal structures, not that its equilibria are physically correct. The constrained-QM and NMR comparisons below address the latter question with targets of a different kind.</w:t>
      </w:r>
    </w:p>
    <w:p>
      <w:pPr>
        <w:pStyle w:val="Normal"/>
        <w:spacing w:before="200" w:after="80"/>
        <w:jc w:val="both"/>
        <w:rPr/>
      </w:pPr>
      <w:r>
        <w:rPr/>
        <w:drawing>
          <wp:inline distT="0" distB="0" distL="0" distR="0">
            <wp:extent cx="5905500" cy="1706245"/>
            <wp:effectExtent l="0" t="0" r="0" b="0"/>
            <wp:docPr id="3" name="Picture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Validation"/>
                    <pic:cNvPicPr>
                      <a:picLocks noChangeAspect="1" noChangeArrowheads="1"/>
                    </pic:cNvPicPr>
                  </pic:nvPicPr>
                  <pic:blipFill>
                    <a:blip r:embed="rId4"/>
                    <a:stretch>
                      <a:fillRect/>
                    </a:stretch>
                  </pic:blipFill>
                  <pic:spPr bwMode="auto">
                    <a:xfrm>
                      <a:off x="0" y="0"/>
                      <a:ext cx="5905500" cy="1706245"/>
                    </a:xfrm>
                    <a:prstGeom prst="rect">
                      <a:avLst/>
                    </a:prstGeom>
                    <a:noFill/>
                  </pic:spPr>
                </pic:pic>
              </a:graphicData>
            </a:graphic>
          </wp:inline>
        </w:drawing>
      </w:r>
    </w:p>
    <w:p>
      <w:pPr>
        <w:pStyle w:val="Normal"/>
        <w:jc w:val="both"/>
        <w:rPr/>
      </w:pPr>
      <w:r>
        <w:rPr>
          <w:i/>
          <w:iCs/>
        </w:rPr>
        <w:t>Figure 2. Static-minimization validation on 300 temporally-blind holdout structures. (A) Per-structure backbone RMSD-to-truth, AMBER-fixed arm vs. MechLib arm; points below the diagonal indicate MechLib recovered the true structure more closely, as was true for every structure in the holdout set. (B) Distribution of per-structure percent RMSD-to-truth reduction, MechLib vs. AMBER-fixed and MechLib vs. shuffled-table negative control. (C) Additional percent RMSD-to-truth reduction from χ1-rotamer-conditioned refinement of two Cβ-adjacent bond angles, beyond plain (φ,ψ)-only MechLib.</w:t>
      </w:r>
    </w:p>
    <w:p>
      <w:pPr>
        <w:pStyle w:val="Heading2"/>
        <w:rPr/>
      </w:pPr>
      <w:r>
        <w:rPr/>
        <w:t>3.3 Independent Constrained-QM Benchmark Gives a Mixed Confirmatory Result</w:t>
      </w:r>
    </w:p>
    <w:p>
      <w:pPr>
        <w:pStyle w:val="Normal"/>
        <w:rPr/>
      </w:pPr>
      <w:r>
        <w:rPr/>
        <w:t>All 80 registered confirmatory optimizations passed the frozen convergence, constraint, connectivity, and finite-value checks. The mean paired weighted effect was positive (Δ = 0.00933099), with a residue-clustered 95% bootstrap interval of 0.00263134–0.01665963; the ordinary case-bootstrap sensitivity interval was 0.00201651–0.01678934. Fourteen of 20 residue-level means were positive. Thus the aggregate effect, residue-count rule, and completion rule each favored MechLib (Fig. 3A,B,D).</w:t>
      </w:r>
    </w:p>
    <w:p>
      <w:pPr>
        <w:pStyle w:val="Normal"/>
        <w:rPr/>
      </w:pPr>
      <w:r>
        <w:rPr/>
        <w:t>The strict registered endpoint nevertheless failed. Three bond terms were significantly worse for MechLib after Holm correction: N–Cα (mean absolute error 0.01224 Å versus 0.00561 Å for fixed AMBER), C–O (0.01632 versus 0.01206 Å), and C–N(next) (0.02512 versus 0.02081 Å). Other terms, especially N–Cα–C, N–Cα–Cβ, Cα–Cβ, and Cα–C, favored MechLib (Fig. 3C; Table S3). Because success required all four criteria, the confirmatory decision is FAIL despite the positive overall average (Table S4). This outcome supports a narrower conclusion: conformation-dependent equilibria improve the registered term-average geometry, but the present library does not uniformly improve all bonded terms.</w:t>
      </w:r>
    </w:p>
    <w:p>
      <w:pPr>
        <w:pStyle w:val="Normal"/>
        <w:jc w:val="center"/>
        <w:rPr/>
      </w:pPr>
      <w:r>
        <w:rPr/>
        <w:drawing>
          <wp:inline distT="0" distB="0" distL="0" distR="0">
            <wp:extent cx="5943600" cy="427228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5"/>
                    <a:stretch>
                      <a:fillRect/>
                    </a:stretch>
                  </pic:blipFill>
                  <pic:spPr bwMode="auto">
                    <a:xfrm>
                      <a:off x="0" y="0"/>
                      <a:ext cx="5943600" cy="4272280"/>
                    </a:xfrm>
                    <a:prstGeom prst="rect">
                      <a:avLst/>
                    </a:prstGeom>
                    <a:noFill/>
                  </pic:spPr>
                </pic:pic>
              </a:graphicData>
            </a:graphic>
          </wp:inline>
        </w:drawing>
      </w:r>
    </w:p>
    <w:p>
      <w:pPr>
        <w:pStyle w:val="Normal"/>
        <w:jc w:val="start"/>
        <w:rPr/>
      </w:pPr>
      <w:r>
        <w:rPr/>
        <w:t>Figure 3. Prespecified independent constrained-QM benchmark. (A) Paired weighted case errors for fixed AMBER and MechLib; points below the diagonal favor MechLib. (B) Mean paired effect by residue. (C) Mean weighted effect by registered term; orange bars identify terms favoring fixed AMBER. (D) Mean paired effect by registered Ramachandran region with ordinary case-bootstrap 95% intervals. All 80 cases passed quality control, but the strict registered endpoint failed because N–Cα, C–O, and C–N(next) were Holm-significantly worse.</w:t>
      </w:r>
    </w:p>
    <w:p>
      <w:pPr>
        <w:pStyle w:val="Heading2"/>
        <w:rPr/>
      </w:pPr>
      <w:r>
        <w:rPr/>
        <w:t>3.4 Exploratory Paired MD Comparison with NMR Scalar Couplings</w:t>
      </w:r>
    </w:p>
    <w:p>
      <w:pPr>
        <w:pStyle w:val="Normal"/>
        <w:rPr/>
      </w:pPr>
      <w:r>
        <w:rPr/>
        <w:t>We compared 1 ns trajectories from GB3 and ubiquitin with 50 and 63 experimental non-glycine scalar couplings, respectively. Three paired repeats per protein yielded 100 saved frames per trajectory. Scoring and residue mapping were frozen before the experimental values were accessed; trajectory-integrity checks and input provenance are documented in the Supporting Information.</w:t>
      </w:r>
    </w:p>
    <w:p>
      <w:pPr>
        <w:pStyle w:val="Normal"/>
        <w:rPr/>
      </w:pPr>
      <w:r>
        <w:rPr/>
        <w:t>The equal-protein mean difference, MSE(fixed AMBER) − MSE(MechLib), was +0.12597 Hz²; the mean differences were +0.22344 Hz² in GB3 and +0.02849 Hz² in ubiquitin. Five of six paired seeds favored MechLib; ubiquitin seed 2026092203 favored fixed AMBER (−0.09962 Hz²). GB3 seed 2026092203 gave the largest positive contrast (+0.57910 Hz²), so the aggregate is sensitive to a single pair. These are descriptive pilot results, without a significance test or a predefined success criterion.</w:t>
      </w:r>
    </w:p>
    <w:p>
      <w:pPr>
        <w:pStyle w:val="Normal"/>
        <w:rPr/>
      </w:pPr>
      <w:r>
        <w:rPr/>
        <w:t>As an exploratory equilibration sensitivity, discarding the first 200 ps left a positive equal-protein mean contrast (+0.0924 Hz²), but the protein means diverged (GB3 +0.2065 Hz²; ubiquitin −0.0217 Hz²). The 20 ps NVT preparation was followed directly by NPT production, without a separate NPT equilibration segment; the prespecified full-trajectory score was not changed. The later-frame analysis therefore limits the pilot interpretation and is not a second registered endpoint (Table S7).</w:t>
      </w:r>
    </w:p>
    <w:p>
      <w:pPr>
        <w:pStyle w:val="Normal"/>
        <w:rPr/>
      </w:pPr>
      <w:r>
        <w:rPr/>
        <w:t>The short trajectories and protein discordance after discarding early frames preclude a general claim about solution-phase dynamics. The scalar-coupling pilot is separate from the registered constrained-QM endpoint, which remains FAIL because three bond terms worsened.</w:t>
      </w:r>
    </w:p>
    <w:p>
      <w:pPr>
        <w:pStyle w:val="Heading2"/>
        <w:jc w:val="both"/>
        <w:rPr/>
      </w:pPr>
      <w:r>
        <w:rPr/>
        <w:t>3.5 Extension to the DNA Sugar–Phosphate Backbone</w:t>
      </w:r>
    </w:p>
    <w:p>
      <w:pPr>
        <w:pStyle w:val="Normal"/>
        <w:spacing w:before="0" w:after="160"/>
        <w:jc w:val="both"/>
        <w:rPr/>
      </w:pPr>
      <w:r>
        <w:rPr/>
        <w:t>We extended the framework to the DNA sugar–phosphate backbone using the same descriptive strain statistic, so the caveat of Section 3.1 applies; no minimization, QM, or solution-phase test has yet been performed for DNA. An initial analysis showed an apparent increase in BII-state strain after correction. Per-observable variance comparison traced this to the O3′(i)–P(i+1) term, whose distribution contained a non-physical tail of mis-linked strand boundaries in multi-stranded depositions (SD = 0.846 Å; Fig. 4D). After geometric chain-break detection (Methods 2.10), the distribution collapsed to SD = 0.014 Å, centered on the AMBER equilibrium (1.610 Å), with nearly identical BI and BII profiles (Fig. 4E), consistent with the connectivity artifact as the source of the earlier BII discrepancy. On the cleaned dataset (157,562 nucleotides), MechLib-DNA reduced median strain by 85.4% (bootstrap 95% CI 84.9–85.9%) relative to AMBER parm10 equilibria, consistently across bases (83.8–86.6%; Fig. 4A) and BI/BII states (85.4% and 85.8%; Fig. 4B). Per-nucleotide reductions were skewed toward near-complete elimination for every base (Fig. 4F), so the median reflects a broad distributional shift rather than a localized one. Because this is a median-based statistic, its magnitude is not directly comparable with the mean-based protein figure.</w:t>
      </w:r>
    </w:p>
    <w:p>
      <w:pPr>
        <w:pStyle w:val="Normal"/>
        <w:spacing w:before="0" w:after="160"/>
        <w:jc w:val="both"/>
        <w:rPr/>
      </w:pPr>
      <w:r>
        <w:rPr/>
        <w:t>A two-way separability analysis on the (δ,χ) grid (Methods 2.10) showed that the ring-closure angle C1′–O4′–C4′ carries a non-separable δ×χ component (η²(coupling) = 0.073, compared with 0.026 for the control angle C5′–C4′–C3′; Fig. 4C) that was stable after removal of residual outlier contamination. Because δ sets the furanose conformation while χ positions the base over it, the ring-closure geometry must accommodate both torsions simultaneously. The non-separable component shows that both torsions jointly contribute to the mean ring-closure geometry in this DNA dataset.</w:t>
      </w:r>
    </w:p>
    <w:p>
      <w:pPr>
        <w:pStyle w:val="Normal"/>
        <w:spacing w:before="200" w:after="80"/>
        <w:jc w:val="both"/>
        <w:rPr/>
      </w:pPr>
      <w:r>
        <w:rPr/>
        <w:drawing>
          <wp:inline distT="0" distB="0" distL="0" distR="0">
            <wp:extent cx="5943600" cy="316674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5943600" cy="3166745"/>
                    </a:xfrm>
                    <a:prstGeom prst="rect">
                      <a:avLst/>
                    </a:prstGeom>
                    <a:noFill/>
                  </pic:spPr>
                </pic:pic>
              </a:graphicData>
            </a:graphic>
          </wp:inline>
        </w:drawing>
      </w:r>
    </w:p>
    <w:p>
      <w:pPr>
        <w:pStyle w:val="Normal"/>
        <w:spacing w:before="0" w:after="280"/>
        <w:jc w:val="both"/>
        <w:rPr/>
      </w:pPr>
      <w:r>
        <w:rPr/>
        <w:t>Figure 4. DNA backbone extension (descriptive; same caveat as Fig. 1). (A) Median phantom strain per nucleotide, AMBER parm10 vs. MechLib-DNA, by base (overall −85%). (B) By BI/BII backbone state. (C) Ring-closure angle C1′–O4′–C4′ over the (δ, χ) grid; η²(coupling) = 0.073, η²(δ) = 0.128, η²(χ) = 0.025. (D) O3′(i)–P(i+1) distance before and after geometric chain-break filtering (log density); the distant tail reflects erroneous cross-strand links. (E) After the fix, by BI/BII state; dashed line, AMBER equilibrium (1.610 Å). (F) Per-nucleotide strain reduction by base.</w:t>
      </w:r>
    </w:p>
    <w:p>
      <w:pPr>
        <w:pStyle w:val="Heading1"/>
        <w:jc w:val="both"/>
        <w:rPr/>
      </w:pPr>
      <w:r>
        <w:rPr/>
        <w:t>4. Discussion</w:t>
      </w:r>
    </w:p>
    <w:p>
      <w:pPr>
        <w:pStyle w:val="Normal"/>
        <w:spacing w:before="0" w:after="160"/>
        <w:jc w:val="both"/>
        <w:rPr>
          <w:color w:val="auto"/>
          <w:sz w:val="20"/>
          <w:szCs w:val="20"/>
        </w:rPr>
      </w:pPr>
      <w:r>
        <w:rPr>
          <w:color w:val="auto"/>
          <w:sz w:val="20"/>
          <w:szCs w:val="20"/>
        </w:rPr>
        <w:t>Existing molecular mechanics force fields address conformation dependence primarily through energetic terms while treating equilibrium bond lengths and bond angles as fixed parameters. AMBER and OPLS therefore represent backbone mechanics using fixed bonded geometries coupled to torsional and nonbonded interactions, whereas CHARMM36 CMAP introduces an empirical two-dimensional correction to the φ–ψ energy surface while retaining fixed equilibrium geometries. MechLib occupies a complementary position: rather than modifying force constants or torsional potentials, it replaces fixed equilibrium bond lengths and bond angles with conformation-dependent equilibrium values derived directly from experimental structures.</w:t>
      </w:r>
    </w:p>
    <w:p>
      <w:pPr>
        <w:pStyle w:val="Normal"/>
        <w:jc w:val="both"/>
        <w:rPr/>
      </w:pPr>
      <w:r>
        <w:rPr/>
        <w:t>The near-identical agreement between AMBER and OPLS-AA/M reflects their shared bonded parameterization rather than independent confirmation of force-field generality. The weak negative correlation with CHARMM36 CMAP compares geometric and energetic surfaces; it does not establish shared correction regions or independent validation. These comparisons provide context for conformation-dependent equilibrium geometry within molecular mechanics.</w:t>
      </w:r>
    </w:p>
    <w:p>
      <w:pPr>
        <w:pStyle w:val="Normal"/>
        <w:jc w:val="both"/>
        <w:rPr/>
      </w:pPr>
      <w:r>
        <w:rPr/>
        <w:t>All cross-force-field comparisons were performed using independently verified primary parameter distributions, so the observed differences do not arise from transcription or implementation differences among reference parameter sets. The temporally blind holdout and the static-minimization recovery test (Section 3.2) address overfitting: a library built from structures deposited before 2020 fits later structures as well as its own training data, and recovers held-out structures better than both a fixed reference and a conformation-scrambled control. Both, however, are scored against crystallographic geometry. The constrained-QM benchmark (Section 3.3) is the most independent test in this work, and its mixed outcome, rather than the crystallographic statistics, sets the boundary of what can currently be claimed.</w:t>
      </w:r>
    </w:p>
    <w:p>
      <w:pPr>
        <w:pStyle w:val="Normal"/>
        <w:jc w:val="both"/>
        <w:rPr/>
      </w:pPr>
      <w:r>
        <w:rPr/>
        <w:t>Independent verification of all reference force-field parameters against their primary distributions proved essential because the conformation-dependent geometric shifts quantified here are themselves small. This highlights the importance of rigorous parameter provenance when evaluating subtle structural effects in molecular mechanics.</w:t>
      </w:r>
    </w:p>
    <w:p>
      <w:pPr>
        <w:pStyle w:val="Normal"/>
        <w:jc w:val="both"/>
        <w:rPr/>
      </w:pPr>
      <w:r>
        <w:rPr/>
        <w:t>The DNA extension illustrates both the value and the risk of large-scale automated geometry pipelines. Systematic per-observable diagnosis traced an initially puzzling BII-specific limitation to a specific, fixable connectivity artifact; we recommend the same per-observable variance-comparison diagnostic (Methods 2.10) as a general-purpose tool for this class of artifact in other large-scale structural bioinformatics pipelines. The δ–χ result identifies a joint torsional component of DNA ring-closure geometry in a structurally distinct polymer; we verified this finding survived removal of the same category of outlier contamination that had initially inflated a different observable's apparent coupling signal (bond_C1_N, η² dropping from 0.116 to 0.024 after cleanup, while the ring-closure angle's 0.073 was unaffected).</w:t>
      </w:r>
    </w:p>
    <w:p>
      <w:pPr>
        <w:pStyle w:val="Normal"/>
        <w:jc w:val="both"/>
        <w:rPr/>
      </w:pPr>
      <w:r>
        <w:rPr/>
        <w:t>The refinement-software stratification illustrates a general caution for structure-derived geometric regularities: because some modern refinement pipelines now apply conformation-dependent restraints by default, observed conformation-dependence must be checked against refinement-software identity before being attributed to an independent physical property of the underlying molecule.</w:t>
      </w:r>
    </w:p>
    <w:p>
      <w:pPr>
        <w:pStyle w:val="Normal"/>
        <w:rPr/>
      </w:pPr>
      <w:r>
        <w:rPr/>
        <w:t>The constrained-QM result is deliberately interpreted as a mixed confirmatory outcome. It is more independent than the crystallographic fit and holdout analyses because the target geometries were generated electronically after model predictions were frozen. At the same time, its bond-level failures show why an average improvement cannot be treated as uniform force-field validation. The result points to a concrete revision path—retain the terms with reproducible conformation dependence, revisit the three worsening bond equilibria, and require new held-out evaluation before promotion—rather than supporting wholesale replacement of fixed bonded geometry. The disagreement is particularly informative for N–Cα and C–O: improvements in crystal-based residual fit coexist with significantly worse constrained-QM errors for these bonds. One testable explanation is that conformation-dependent crystallographic refinement restraints imprint some bond targets on the training structures; another is that the gas-phase, capped-peptide QM target differs systematically from a protein in a hydrated crystal. Neither mechanism has been isolated here. The exploratory CDL comparator and refinement-program splits sharpen this question but do not distinguish restraint imprinting from physical environment or other dataset differences. Independent solution-phase and higher-level electronic-structure tests would be needed before term-specific promotion.</w:t>
      </w:r>
    </w:p>
    <w:p>
      <w:pPr>
        <w:pStyle w:val="Normal"/>
        <w:jc w:val="both"/>
        <w:rPr/>
      </w:pPr>
      <w:r>
        <w:rPr/>
        <w:t>We note explicitly what this paper does not address. The constrained-QM benchmark tests local equilibrium geometry at fixed central φ/ψ; it does not test molecular-dynamics trajectories, conformational populations, folding thermodynamics, NMR/RDC agreement or any dynamic property by itself. The static-minimization validation in Section 3.2 likewise concerns static crystallographic recovery, not dynamics. The exploratory MD/NMR pilot in Section 3.4 addresses only short-time scalar-coupling agreement; broader dynamics validation remains necessary.</w:t>
      </w:r>
    </w:p>
    <w:p>
      <w:pPr>
        <w:pStyle w:val="Heading1"/>
        <w:jc w:val="both"/>
        <w:rPr/>
      </w:pPr>
      <w:r>
        <w:rPr/>
        <w:t>5. Limitations</w:t>
      </w:r>
    </w:p>
    <w:p>
      <w:pPr>
        <w:pStyle w:val="Normal"/>
        <w:spacing w:before="0" w:after="160"/>
        <w:jc w:val="both"/>
        <w:rPr>
          <w:color w:val="auto"/>
          <w:sz w:val="20"/>
          <w:szCs w:val="20"/>
        </w:rPr>
      </w:pPr>
      <w:r>
        <w:rPr/>
        <w:t>The OPLS-AA/M comparison is almost entirely non-independent of the AMBER comparison (10 of 11 terms identical). The CMAP comparison used only the general (non-Gly, non-Pro) backbone grid. The DNA bond/angle reference parameters are shared identically across parmbsc0</w:t>
      </w:r>
      <w:r>
        <w:rPr>
          <w:vertAlign w:val="superscript"/>
        </w:rPr>
        <w:t>14</w:t>
      </w:r>
      <w:r>
        <w:rPr/>
        <w:t>, parmbsc1</w:t>
      </w:r>
      <w:r>
        <w:rPr>
          <w:vertAlign w:val="superscript"/>
        </w:rPr>
        <w:t>15</w:t>
      </w:r>
      <w:r>
        <w:rPr/>
        <w:t>, and OL15</w:t>
      </w:r>
      <w:r>
        <w:rPr>
          <w:vertAlign w:val="superscript"/>
        </w:rPr>
        <w:t>28</w:t>
      </w:r>
      <w:r>
        <w:rPr/>
        <w:t xml:space="preserve"> so this comparison does not discriminate among current DNA force-field variants. The blind validation tests generalization across deposition time within the same PISCES-curated, X-ray population; it does not test generalization to cryo-EM or NMR ensembles. We have not run the same exhaustive defect scan on the DNA dataset that we applied to the protein dataset; the demonstrated stability of the DNA median statistics across two independent rounds of cleanup is reassuring but not equivalent to that fuller audit. The present analysis evaluates equilibrium geometry only. It does not address whether replacing fixed equilibrium values with conformation-dependent values preserves other force-field properties, such as vibrational spectra or free-energy landscapes, which require full molecular-dynamics validation. The overall strain-reduction estimate (39.6%) reflects a mixed population of refinement software, some of which can apply conformation-dependent restraints during refinement; the REFMAC-labeled subset also shows a positive but smaller descriptive estimate (34.4%), without proving the absence of conformation-dependent restraints.  The independent QM benchmark also has a deliberately narrow model scope (gas-phase ACE–X–NME with fixed central φ/ψ) and its registered conjunction failed because three bond terms worsened; it therefore cannot support a uniform physical-improvement claim.</w:t>
      </w:r>
    </w:p>
    <w:p>
      <w:pPr>
        <w:pStyle w:val="Heading1"/>
        <w:jc w:val="both"/>
        <w:rPr/>
      </w:pPr>
      <w:r>
        <w:rPr/>
        <w:t>6. Conclusion</w:t>
      </w:r>
    </w:p>
    <w:p>
      <w:pPr>
        <w:pStyle w:val="Normal"/>
        <w:jc w:val="both"/>
        <w:rPr/>
      </w:pPr>
      <w:r>
        <w:rPr/>
        <w:t>MechLib complements rather than replaces existing molecular mechanics force fields. Temporal holdout and static recovery support prediction of held-out refined coordinates, while a ten-term comparison finds CDL competitive and identifies strong refinement-program dependence. The prespecified constrained-QM benchmark provides a sharper boundary: the registered average favored MechLib, but three bond terms worsened and the strict endpoint failed. MechLib should therefore be treated as a modular, term-specific geometry framework whose successful components can be incorporated into bonded-energy formulations while its unsuccessful components are revised and retested. The exploratory two-protein MD/NMR result is sensitive to early-frame exclusion; longer, equilibrated simulations and independent experimental tests remain necessary before broader dynamics claims.</w:t>
      </w:r>
    </w:p>
    <w:p>
      <w:pPr>
        <w:pStyle w:val="Heading1"/>
        <w:jc w:val="both"/>
        <w:rPr/>
      </w:pPr>
      <w:r>
        <w:rPr/>
        <w:t>7. Data and Software Availability</w:t>
      </w:r>
    </w:p>
    <w:p>
      <w:pPr>
        <w:pStyle w:val="Normal"/>
        <w:spacing w:before="0" w:after="160"/>
        <w:jc w:val="both"/>
        <w:rPr/>
      </w:pPr>
      <w:r>
        <w:rPr/>
        <w:t>The final MechLib correction tables — MechLib_protein_library.csv (5,303 residue×φ×ψ entries) and MechLib_DNA_library.csv (74 base×BI/BII×pucker entries) — are provided as supplementary data, together with a reference Python implementation (mechlib.py) providing conformation-dependent lookup with automatic fallback to pooled and fixed-equilibrium values. Code, processed datasets, and these library files are available at https://github.com/wei09128/protein-backbone-mechanics. The 91 excluded protein residues and DNA connectivity-artifact exclusions are documented by PDB ID and residue index in the same repository.</w:t>
      </w:r>
    </w:p>
    <w:p>
      <w:pPr>
        <w:pStyle w:val="Heading1"/>
        <w:spacing w:before="0" w:after="160"/>
        <w:jc w:val="both"/>
        <w:rPr/>
      </w:pPr>
      <w:r>
        <w:rPr/>
        <w:t>Supporting Information</w:t>
      </w:r>
    </w:p>
    <w:p>
      <w:pPr>
        <w:pStyle w:val="Normal"/>
        <w:jc w:val="both"/>
        <w:rPr/>
      </w:pPr>
      <w:r>
        <w:rPr/>
        <w:t>MechLib_protein_library.csv, MechLib_protein_chi1_library.csv, and MechLib_DNA_library.csv, the correction lookup tables underlying this work; constants_library.json and constants_chi1.json, the corresponding machine-readable formats; backbone_geometry_library.py and apply_library_corrections.py, reference implementations for applying the corrections; and supplementary methods, robustness analyses, and full numerical tables underlying Tables S1–S7 and Figures S1–S3.</w:t>
      </w:r>
    </w:p>
    <w:p>
      <w:pPr>
        <w:pStyle w:val="Heading1"/>
        <w:spacing w:before="0" w:after="160"/>
        <w:jc w:val="both"/>
        <w:rPr/>
      </w:pPr>
      <w:r>
        <w:rPr/>
        <w:t>Conflict of Interest</w:t>
      </w:r>
    </w:p>
    <w:p>
      <w:pPr>
        <w:pStyle w:val="Normal"/>
        <w:jc w:val="both"/>
        <w:rPr/>
      </w:pPr>
      <w:r>
        <w:rPr/>
        <w:t>The authors declare no competing financial interest.</w:t>
      </w:r>
    </w:p>
    <w:p>
      <w:pPr>
        <w:pStyle w:val="Heading1"/>
        <w:spacing w:before="0" w:after="160"/>
        <w:jc w:val="both"/>
        <w:rPr/>
      </w:pPr>
      <w:r>
        <w:rPr/>
        <w:t>Acknowledgments</w:t>
      </w:r>
    </w:p>
    <w:p>
      <w:pPr>
        <w:pStyle w:val="Normal"/>
        <w:jc w:val="both"/>
        <w:rPr>
          <w:rFonts w:ascii="Times New Roman" w:hAnsi="Times New Roman" w:cs="Times New Roman"/>
          <w:sz w:val="22"/>
          <w:szCs w:val="22"/>
        </w:rPr>
      </w:pPr>
      <w:r>
        <w:rPr>
          <w:rFonts w:cs="Times New Roman"/>
          <w:b w:val="false"/>
          <w:bCs w:val="false"/>
          <w:sz w:val="22"/>
          <w:szCs w:val="22"/>
        </w:rPr>
        <w:t>This research received no specific grant from funding agencies in the public, commercial, or not-for-profit sectors. The authors thank the Louisiana State University Health Sciences Center Shreveport (LSUHS) for logistical support.</w:t>
      </w:r>
    </w:p>
    <w:p>
      <w:pPr>
        <w:pStyle w:val="Heading1"/>
        <w:spacing w:before="0" w:after="160"/>
        <w:jc w:val="both"/>
        <w:rPr/>
      </w:pPr>
      <w:r>
        <w:rPr/>
        <w:t>References</w:t>
      </w:r>
    </w:p>
    <w:p>
      <w:pPr>
        <w:pStyle w:val="Normal"/>
        <w:spacing w:before="0" w:after="120"/>
        <w:ind w:hanging="360" w:start="360"/>
        <w:jc w:val="both"/>
        <w:rPr/>
      </w:pPr>
      <w:r>
        <w:rPr/>
        <w:t>(1) Berkholz, D. S.; Shapovalov, M. V.; Dunbrack, R. L., Jr.; Karplus, P. A. Conformation Dependence of Backbone Geometry in Proteins. Structure 2009, 17 (10), 1316–1325.</w:t>
      </w:r>
    </w:p>
    <w:p>
      <w:pPr>
        <w:pStyle w:val="Normal"/>
        <w:rPr/>
      </w:pPr>
      <w:r>
        <w:rPr/>
        <w:t>(2) Karplus, P. A. Experimentally Observed Conformation-Dependent Geometry and Hidden Strain in Proteins. Protein Sci. 1996, 5 (7), 1406–1420. https://doi.org/10.1002/pro.5560050719.</w:t>
      </w:r>
    </w:p>
    <w:p>
      <w:pPr>
        <w:pStyle w:val="Normal"/>
        <w:rPr/>
      </w:pPr>
      <w:r>
        <w:rPr/>
        <w:t>(3) Jiang, X.; Yu, C.; Cao, M.; Newton, S. Q.; Paulus, E. F.; Schäfer, L. φ/ψ-Torsional Dependence of Peptide Backbone Bond-Lengths and Bond-Angles: Comparison of Crystallographic and Calculated Parameters. J. Mol. Struct. 1997, 403 (1–2), 83–93. https://doi.org/10.1016/S0022-2860(96)09390-8.</w:t>
      </w:r>
    </w:p>
    <w:p>
      <w:pPr>
        <w:pStyle w:val="Normal"/>
        <w:spacing w:before="0" w:after="120"/>
        <w:ind w:hanging="360" w:start="360"/>
        <w:jc w:val="both"/>
        <w:rPr/>
      </w:pPr>
      <w:r>
        <w:rPr/>
        <w:t>(4) Tronrud, D. E.; Berkholz, D. S.; Karplus, P. A. Using a Conformation-Dependent Stereochemical Library Improves Crystallographic Refinement of Proteins. Acta Crystallogr. D 2010, 66, 834–842.</w:t>
      </w:r>
    </w:p>
    <w:p>
      <w:pPr>
        <w:pStyle w:val="Normal"/>
        <w:spacing w:before="0" w:after="120"/>
        <w:ind w:hanging="360" w:start="360"/>
        <w:jc w:val="both"/>
        <w:rPr/>
      </w:pPr>
      <w:r>
        <w:rPr/>
        <w:t>(5) Moriarty, N. W.; Tronrud, D. E.; Adams, P. D.; Karplus, P. A. Conformation-Dependent Backbone Geometry Restraints Set a New Standard for Protein Crystallographic Refinement. FEBS J. 2014, 281, 4061–4071.</w:t>
      </w:r>
    </w:p>
    <w:p>
      <w:pPr>
        <w:pStyle w:val="Normal"/>
        <w:spacing w:before="0" w:after="120"/>
        <w:ind w:hanging="360" w:start="360"/>
        <w:jc w:val="both"/>
        <w:rPr/>
      </w:pPr>
      <w:r>
        <w:rPr/>
        <w:t>(6) Wang, G.; Dunbrack, R. L., Jr. PISCES: A Protein Sequence Culling Server. Bioinformatics 2003, 19 (12), 1589–1591.</w:t>
      </w:r>
    </w:p>
    <w:p>
      <w:pPr>
        <w:pStyle w:val="Normal"/>
        <w:spacing w:before="0" w:after="120"/>
        <w:ind w:hanging="360" w:start="360"/>
        <w:jc w:val="both"/>
        <w:rPr/>
      </w:pPr>
      <w:r>
        <w:rPr/>
        <w:t>(7) Berman, H. M.; Westbrook, J.; Feng, Z.; Gilliland, G.; Bhat, T. N.; Weissig, H.; Shindyalov, I. N.; Bourne, P. E. The Protein Data Bank. Nucleic Acids Res. 2000, 28 (1), 235–242.</w:t>
      </w:r>
    </w:p>
    <w:p>
      <w:pPr>
        <w:pStyle w:val="Normal"/>
        <w:spacing w:before="0" w:after="120"/>
        <w:ind w:hanging="360" w:start="360"/>
        <w:jc w:val="both"/>
        <w:rPr/>
      </w:pPr>
      <w:r>
        <w:rPr/>
        <w:t>(8) Kabsch, W.; Sander, C. Dictionary of Protein Secondary Structure: Pattern Recognition of Hydrogen-Bonded and Geometrical Features. Biopolymers 1983, 22, 2577–2637.</w:t>
      </w:r>
    </w:p>
    <w:p>
      <w:pPr>
        <w:pStyle w:val="Normal"/>
        <w:spacing w:before="0" w:after="120"/>
        <w:ind w:hanging="360" w:start="360"/>
        <w:jc w:val="both"/>
        <w:rPr/>
      </w:pPr>
      <w:r>
        <w:rPr/>
        <w:t>(9) Maier, J. A.; Martinez, C.; Kasavajhala, K.; Wickstrom, L.; Hauser, K. E.; Simmerling, C. ff14SB: Improving the Accuracy of Protein Side Chain and Backbone Parameters from ff99SB. J. Chem. Theory Comput. 2015, 11 (8), 3696–3713.</w:t>
      </w:r>
    </w:p>
    <w:p>
      <w:pPr>
        <w:pStyle w:val="Normal"/>
        <w:spacing w:before="0" w:after="120"/>
        <w:ind w:hanging="360" w:start="360"/>
        <w:jc w:val="both"/>
        <w:rPr/>
      </w:pPr>
      <w:r>
        <w:rPr/>
        <w:t>(10) Jorgensen, W. L.; Maxwell, D. S.; Tirado-Rives, J. Development and Testing of the OPLS All-Atom Force Field on Conformational Energetics and Properties of Organic Liquids. J. Am. Chem. Soc. 1996, 118 (45), 11225–11236.</w:t>
      </w:r>
    </w:p>
    <w:p>
      <w:pPr>
        <w:pStyle w:val="Normal"/>
        <w:spacing w:before="0" w:after="120"/>
        <w:ind w:hanging="360" w:start="360"/>
        <w:jc w:val="both"/>
        <w:rPr/>
      </w:pPr>
      <w:r>
        <w:rPr/>
        <w:t>(11) Robertson, M. J.; Tirado-Rives, J.; Jorgensen, W. L. Improved Peptide and Protein Torsional Energetics with the OPLS-AA Force Field. J. Chem. Theory Comput. 2015, 11 (7), 3499–3509.</w:t>
      </w:r>
    </w:p>
    <w:p>
      <w:pPr>
        <w:pStyle w:val="Normal"/>
        <w:spacing w:before="0" w:after="120"/>
        <w:ind w:hanging="360" w:start="360"/>
        <w:jc w:val="both"/>
        <w:rPr/>
      </w:pPr>
      <w:r>
        <w:rPr/>
        <w:t>(12) Huang, J.; Rauscher, S.; Nawrocki, G.; Ran, T.; Feig, M.; de Groot, B. L.; Grubmüller, H.; MacKerell, A. D., Jr. CHARMM36m: An Improved Force Field for Folded and Intrinsically Disordered Proteins. Nat. Methods 2017, 14 (1), 71–73.</w:t>
      </w:r>
    </w:p>
    <w:p>
      <w:pPr>
        <w:pStyle w:val="Normal"/>
        <w:spacing w:before="0" w:after="120"/>
        <w:ind w:hanging="360" w:start="360"/>
        <w:jc w:val="both"/>
        <w:rPr/>
      </w:pPr>
      <w:r>
        <w:rPr/>
        <w:t>(13) MacKerell, A. D., Jr.; Feig, M.; Brooks, C. L., III. Improved Treatment of the Protein Backbone in Empirical Force Fields. J. Am. Chem. Soc. 2004, 126, 698–699.</w:t>
      </w:r>
    </w:p>
    <w:p>
      <w:pPr>
        <w:pStyle w:val="Normal"/>
        <w:spacing w:before="0" w:after="120"/>
        <w:ind w:hanging="360" w:start="360"/>
        <w:jc w:val="both"/>
        <w:rPr/>
      </w:pPr>
      <w:r>
        <w:rPr/>
        <w:t>(14) Pérez, A.; Marchán, I.; Svozil, D.; Šponer, J.; Cheatham, T. E., III; Laughton, C. A.; Orozco, M. Refinement of the AMBER Force Field for Nucleic Acids: Improving the Description of α/γ Conformers. Biophys. J. 2007, 92, 3817–3829.</w:t>
      </w:r>
    </w:p>
    <w:p>
      <w:pPr>
        <w:pStyle w:val="Normal"/>
        <w:spacing w:before="0" w:after="120"/>
        <w:ind w:hanging="360" w:start="360"/>
        <w:jc w:val="both"/>
        <w:rPr/>
      </w:pPr>
      <w:r>
        <w:rPr/>
        <w:t>(15) Ivani, I.; Dans, P. D.; Noy, A.; Pérez, A.; Faustino, I.; Hospital, A.; Walther, J.; Andrio, P.; Goñi, R.; Balaceanu, A.; Portella, G.; Battistini, F.; Gelpí, J. L.; González, C.; Vendruscolo, M.; Laughton, C. A.; Harris, S. A.; Case, D. A.; Orozco, M. Parmbsc1: A Refined Force Field for DNA Simulations. Nat. Methods 2016, 13 (1), 55–58.</w:t>
      </w:r>
    </w:p>
    <w:p>
      <w:pPr>
        <w:pStyle w:val="Normal"/>
        <w:spacing w:before="0" w:after="120"/>
        <w:ind w:hanging="360" w:start="360"/>
        <w:jc w:val="both"/>
        <w:rPr/>
      </w:pPr>
      <w:r>
        <w:rPr/>
        <w:t>(16) Grosse-Kunstleve, R. W.; Sauter, N. K.; Moriarty, N. W.; Adams, P. D. The Computational Crystallography Toolbox: Crystallographic Algorithms in a Reusable Software Framework. J. Appl. Crystallogr. 2002, 35, 126–136.</w:t>
      </w:r>
    </w:p>
    <w:p>
      <w:pPr>
        <w:pStyle w:val="Normal"/>
        <w:spacing w:before="0" w:after="120"/>
        <w:ind w:hanging="360" w:start="360"/>
        <w:jc w:val="both"/>
        <w:rPr/>
      </w:pPr>
      <w:r>
        <w:rPr/>
        <w:t>(17) Eastman, P.; Galvelis, R.; Peláez, R. P.; Abreu, C. R. A.; Farr, S. E.; Gallicchio, E.; Gorenko, A.; Henry, M. M.; Hu, F.; Huang, J.; Krämer, A.; Michel, J.; Mitchell, J. A.; Pande, V. S.; Rodrigues, J. P. G. L. M.; Rodriguez-Guerra, J.; Simmonett, A. C.; Singh, S.; Swails, J.; Turner, P.; Wang, Y.; Zhang, I.; Chodera, J. D.; De Fabritiis, G.; Markland, T. E. OpenMM 8: Molecular Dynamics Simulation with Machine Learning Potentials. J. Phys. Chem. B 2024, 128, 109–116.</w:t>
      </w:r>
    </w:p>
    <w:p>
      <w:pPr>
        <w:pStyle w:val="Normal"/>
        <w:spacing w:before="0" w:after="120"/>
        <w:ind w:hanging="360" w:start="360"/>
        <w:jc w:val="both"/>
        <w:rPr/>
      </w:pPr>
      <w:r>
        <w:rPr/>
        <w:t>(18) Bannwarth, C.; Ehlert, S.; Grimme, S. GFN2-xTB—An Accurate and Broadly Parametrized Self-Consistent Tight-Binding Quantum Chemical Method with Multipole Electrostatics and Density-Dependent Dispersion Contributions. J. Chem. Theory Comput. 2019, 15, 1652–1671.</w:t>
      </w:r>
    </w:p>
    <w:p>
      <w:pPr>
        <w:pStyle w:val="Normal"/>
        <w:spacing w:before="0" w:after="120"/>
        <w:ind w:hanging="360" w:start="360"/>
        <w:jc w:val="both"/>
        <w:rPr/>
      </w:pPr>
      <w:r>
        <w:rPr/>
        <w:t>(19) Chai, J.-D.; Head-Gordon, M. Long-Range Corrected Hybrid Density Functionals with Damped Atom–Atom Dispersion Corrections. Phys. Chem. Chem. Phys. 2008, 10, 6615–6620.</w:t>
      </w:r>
    </w:p>
    <w:p>
      <w:pPr>
        <w:pStyle w:val="Normal"/>
        <w:spacing w:before="0" w:after="120"/>
        <w:ind w:hanging="360" w:start="360"/>
        <w:jc w:val="both"/>
        <w:rPr/>
      </w:pPr>
      <w:r>
        <w:rPr/>
        <w:t>(20) Weigend, F.; Ahlrichs, R. Balanced Basis Sets of Split Valence, Triple Zeta Valence and Quadruple Zeta Valence Quality for H to Rn: Design and Assessment of Accuracy. Phys. Chem. Chem. Phys. 2005, 7, 3297–3305.</w:t>
      </w:r>
    </w:p>
    <w:p>
      <w:pPr>
        <w:pStyle w:val="Normal"/>
        <w:spacing w:before="0" w:after="120"/>
        <w:ind w:hanging="360" w:start="360"/>
        <w:jc w:val="both"/>
        <w:rPr/>
      </w:pPr>
      <w:r>
        <w:rPr/>
        <w:t>(21) Smith, D. G. A.; Burns, L. A.; Simmonett, A. C.; Parrish, R. M.; Schieber, M. C.; Galvelis, R.; Kraus, P.; Kruse, H.; Di Remigio, R.; Alenaizan, A.; James, A. M.; Lehtola, S.; Misiewicz, J. P.; Scheurer, M.; Shaw, R. A.; Schriber, J. B.; Xie, Y.; Glick, Z. L.; Sirianni, D. A.; O’Brien, J. S.; Waldrop, J. M.; Kumar, A.; Hohenstein, E. G.; Pritchard, B. P.; Brooks, B. R.; Schaefer, H. F., III; Sokolov, A. Yu.; Patkowski, K.; DePrince, A. E., III; Bozkaya, U.; King, R. A.; Evangelista, F. A.; Turney, J. M.; Crawford, T. D.; Sherrill, C. D. Psi4 1.4: Open-Source Software for High-Throughput Quantum Chemistry. J. Chem. Phys. 2020, 152, 184108.</w:t>
      </w:r>
    </w:p>
    <w:p>
      <w:pPr>
        <w:pStyle w:val="Normal"/>
        <w:spacing w:before="0" w:after="120"/>
        <w:ind w:hanging="360" w:start="360"/>
        <w:jc w:val="both"/>
        <w:rPr/>
      </w:pPr>
      <w:r>
        <w:rPr/>
        <w:t>(22) Holm, S. A Simple Sequentially Rejective Multiple Test Procedure. Scand. J. Stat. 1979, 6, 65–70.</w:t>
      </w:r>
    </w:p>
    <w:p>
      <w:pPr>
        <w:pStyle w:val="Normal"/>
        <w:spacing w:before="0" w:after="120"/>
        <w:ind w:hanging="360" w:start="360"/>
        <w:jc w:val="both"/>
        <w:rPr/>
      </w:pPr>
      <w:r>
        <w:rPr/>
        <w:t>(23) Jorgensen, W. L.; Chandrasekhar, J.; Madura, J. D.; Impey, R. W.; Klein, M. L. Comparison of Simple Potential Functions for Simulating Liquid Water. J. Chem. Phys. 1983, 79, 926–935.</w:t>
      </w:r>
    </w:p>
    <w:p>
      <w:pPr>
        <w:pStyle w:val="Normal"/>
        <w:spacing w:before="0" w:after="120"/>
        <w:ind w:hanging="360" w:start="360"/>
        <w:jc w:val="both"/>
        <w:rPr/>
      </w:pPr>
      <w:r>
        <w:rPr/>
        <w:t>(24) Ludvigsen, S.; Andersen, K. V.; Poulsen, F. M. Accurate Measurements of Coupling Constants from Two-Dimensional Nuclear Magnetic Resonance Spectra of Proteins and Determination of φ-Angles. J. Mol. Biol. 1991, 217 (4), 731–736. https://doi.org/10.1016/0022-2836(91)90529-F.</w:t>
      </w:r>
    </w:p>
    <w:p>
      <w:pPr>
        <w:pStyle w:val="Normal"/>
        <w:spacing w:before="0" w:after="120"/>
        <w:ind w:hanging="360" w:start="360"/>
        <w:jc w:val="both"/>
        <w:rPr/>
      </w:pPr>
      <w:r>
        <w:rPr/>
        <w:t>(25) Roche, J.; Ying, J.; Bax, A. Accurate Measurement of ³J(HN,Hα) Couplings in Small or Disordered Proteins from WATERGATE-Optimized TROSY Spectra. J. Biomol. NMR 2016, 64, 1–7. https://doi.org/10.1007/s10858-015-0004-y.</w:t>
      </w:r>
    </w:p>
    <w:p>
      <w:pPr>
        <w:pStyle w:val="Normal"/>
        <w:spacing w:before="0" w:after="120"/>
        <w:ind w:hanging="360" w:start="360"/>
        <w:jc w:val="both"/>
        <w:rPr/>
      </w:pPr>
      <w:r>
        <w:rPr/>
        <w:t>(26) Wang, A. C.; Bax, A. Determination of the Backbone Dihedral Angles φ in Human Ubiquitin from Reparametrized Empirical Karplus Equations. J. Am. Chem. Soc. 1996, 118 (10), 2483–2494. https://doi.org/10.1021/ja9535524.</w:t>
      </w:r>
    </w:p>
    <w:p>
      <w:pPr>
        <w:pStyle w:val="Normal"/>
        <w:spacing w:before="0" w:after="120"/>
        <w:ind w:hanging="360" w:start="360"/>
        <w:jc w:val="both"/>
        <w:rPr/>
      </w:pPr>
      <w:r>
        <w:rPr/>
        <w:t>(27) Altona, C.; Sundaralingam, M. Conformational Analysis of the Sugar Ring in Nucleosides and Nucleotides. A New Description Using the Concept of Pseudorotation. J. Am. Chem. Soc. 1972, 94, 8205–8212.</w:t>
      </w:r>
    </w:p>
    <w:p>
      <w:pPr>
        <w:pStyle w:val="Normal"/>
        <w:spacing w:before="0" w:after="120"/>
        <w:ind w:hanging="360" w:start="360"/>
        <w:jc w:val="both"/>
        <w:rPr/>
      </w:pPr>
      <w:r>
        <w:rPr/>
        <w:t>(28) Zgarbová, M.; Šponer, J.; Otyepka, M.; Cheatham, T. E., III; Galindo-Murillo, R.; Jurečka, P. Refinement of the Sugar–Phosphate Backbone Torsion Beta for AMBER Force Fields Improves the Description of Z- and B-DNA. J. Chem. Theory Comput. 2015, 11 (12), 5723–5736.</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570a"/>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link w:val="Heading1Char"/>
    <w:uiPriority w:val="9"/>
    <w:qFormat/>
    <w:pPr>
      <w:widowControl/>
      <w:suppressAutoHyphens w:val="true"/>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link w:val="Heading2Char"/>
    <w:uiPriority w:val="9"/>
    <w:unhideWhenUsed/>
    <w:qFormat/>
    <w:pPr>
      <w:widowControl/>
      <w:suppressAutoHyphens w:val="true"/>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2Char" w:customStyle="1">
    <w:name w:val="Heading 2 Char"/>
    <w:basedOn w:val="DefaultParagraphFont"/>
    <w:link w:val="Heading2"/>
    <w:uiPriority w:val="9"/>
    <w:qFormat/>
    <w:rsid w:val="00ba7487"/>
    <w:rPr>
      <w:color w:val="2E74B5"/>
      <w:sz w:val="26"/>
      <w:szCs w:val="26"/>
    </w:rPr>
  </w:style>
  <w:style w:type="character" w:styleId="Heading1Char" w:customStyle="1">
    <w:name w:val="Heading 1 Char"/>
    <w:basedOn w:val="DefaultParagraphFont"/>
    <w:link w:val="Heading1"/>
    <w:uiPriority w:val="9"/>
    <w:qFormat/>
    <w:rsid w:val="00004a9a"/>
    <w:rPr>
      <w:color w:val="2E74B5"/>
      <w:sz w:val="32"/>
      <w:szCs w:val="32"/>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TotalTime>
  <Application>LibreOffice/26.2.6.3$Windows_X86_64 LibreOffice_project/8221e31b3ac356a1623c672912a3d2b492f7e3d1</Application>
  <AppVersion>15.0000</AppVersion>
  <Pages>14</Pages>
  <Words>7614</Words>
  <Characters>47266</Characters>
  <CharactersWithSpaces>54628</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2026-07-21T20:19:00Z</dcterms:created>
  <dc:creator>Un-named</dc:creator>
  <dc:description/>
  <dc:language>en-US</dc:language>
  <cp:lastModifiedBy/>
  <dcterms:modified xsi:type="dcterms:W3CDTF">2026-09-25T17:03:46Z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