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320" w:after="160"/>
        <w:jc w:val="both"/>
        <w:rPr/>
      </w:pPr>
      <w:r>
        <w:rPr/>
        <w:t>Supplementary Information</w:t>
      </w:r>
    </w:p>
    <w:p>
      <w:pPr>
        <w:pStyle w:val="Heading2"/>
        <w:rPr/>
      </w:pPr>
      <w:r>
        <w:rPr/>
        <w:t>Table S1, Protein residues excluded as genuine crystallographic modeling defects.</w:t>
      </w:r>
    </w:p>
    <w:p>
      <w:pPr>
        <w:pStyle w:val="Normal"/>
        <w:jc w:val="both"/>
        <w:rPr/>
      </w:pPr>
      <w:r>
        <w:rPr/>
        <w:t>Excluded residues identified by close-contact scanning (</w:t>
      </w:r>
      <m:oMath xmlns:m="http://schemas.openxmlformats.org/officeDocument/2006/math">
        <m:r>
          <m:rPr>
            <m:lit/>
            <m:nor/>
          </m:rPr>
          <m:t xml:space="preserve">&lt;</m:t>
        </m:r>
        <m:r>
          <m:t xml:space="preserve">1.5</m:t>
        </m:r>
      </m:oMath>
      <w:r>
        <w:rPr/>
        <w:t xml:space="preserve"> Å) and torque magnitude (</w:t>
      </w:r>
      <m:oMath xmlns:m="http://schemas.openxmlformats.org/officeDocument/2006/math">
        <m:r>
          <m:rPr>
            <m:lit/>
            <m:nor/>
          </m:rPr>
          <m:t xml:space="preserve">|</m:t>
        </m:r>
        <m:r>
          <m:t xml:space="preserve">τ</m:t>
        </m:r>
        <m:r>
          <m:rPr>
            <m:lit/>
            <m:nor/>
          </m:rPr>
          <m:t xml:space="preserve">|</m:t>
        </m:r>
        <m:r>
          <m:rPr>
            <m:lit/>
            <m:nor/>
          </m:rPr>
          <m:t xml:space="preserve">&gt;</m:t>
        </m:r>
        <m:r>
          <m:t xml:space="preserve">10,000</m:t>
        </m:r>
      </m:oMath>
      <w:r>
        <w:rPr/>
        <w:t xml:space="preserve"> kcal·mol⁻¹·rad⁻¹), excluding handled artifacts. Listed by PDB ID, index, and name.</w:t>
      </w:r>
    </w:p>
    <w:tbl>
      <w:tblPr>
        <w:tblW w:w="5000" w:type="pct"/>
        <w:jc w:val="start"/>
        <w:tblInd w:w="-5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000" w:firstRow="0" w:noVBand="0" w:lastRow="0" w:firstColumn="0" w:lastColumn="0" w:noHBand="0"/>
      </w:tblPr>
      <w:tblGrid>
        <w:gridCol w:w="2770"/>
        <w:gridCol w:w="2865"/>
        <w:gridCol w:w="3725"/>
      </w:tblGrid>
      <w:tr>
        <w:trPr>
          <w:cantSplit/>
          <w:tblHeader/>
        </w:trPr>
        <w:tc>
          <w:tcPr>
            <w:tcW w:w="2770" w:type="dxa"/>
            <w:tcBorders>
              <w:top w:val="single" w:sz="4" w:space="0" w:color="999999"/>
              <w:start w:val="single" w:sz="4" w:space="0" w:color="999999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TableContents"/>
              <w:jc w:val="center"/>
              <w:rPr/>
            </w:pPr>
            <w:r>
              <w:rPr>
                <w:b/>
                <w:bCs/>
              </w:rPr>
              <w:t>pdb_id</w:t>
            </w:r>
          </w:p>
        </w:tc>
        <w:tc>
          <w:tcPr>
            <w:tcW w:w="2865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TableContents"/>
              <w:jc w:val="center"/>
              <w:rPr/>
            </w:pPr>
            <w:r>
              <w:rPr>
                <w:b/>
                <w:bCs/>
              </w:rPr>
              <w:t>res_idx</w:t>
            </w:r>
          </w:p>
        </w:tc>
        <w:tc>
          <w:tcPr>
            <w:tcW w:w="3725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TableContents"/>
              <w:jc w:val="center"/>
              <w:rPr/>
            </w:pPr>
            <w:r>
              <w:rPr>
                <w:b/>
                <w:bCs/>
              </w:rPr>
              <w:t>res_name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1R0M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316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1T1U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194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1U53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190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1YN3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THR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1YN3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2IU4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281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2Q8O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ASP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2WOY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176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2WOY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308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2Y69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238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HIS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2Y69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242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3HR6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134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3HR6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256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3HR6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298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3HR6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417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3M6N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3M6N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231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GLU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3M6N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235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3NJN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3PF2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3PF2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3PF2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185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3PF2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313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3QHB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PHE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3QHB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125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VAL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3S8G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224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HIS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3S8G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228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3TG7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871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3UXF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3UXF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277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3UXF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321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3UXF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445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ASP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4NI6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THR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4NI6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130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4QRE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337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LEU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4U5Q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GLU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4U5Q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4UZG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4UZG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136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4UZG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4UZG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268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4YAR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4YAR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4Z0Y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4Z0Y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115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HIS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5A0L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5A0L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195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5A0N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5A0N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205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5ECK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5ECK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183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ASP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5HGJ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SER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5HGJ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151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GLU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5J81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408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5U5O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THR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5U5O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159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GLN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5U5O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174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5U5O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282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5YXG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5YXG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5YXG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171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5YXG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283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6B2V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241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6BBW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6BBW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6BBW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6BBW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276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6F8A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120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ARG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6JCH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6JCH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6JCH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179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6JCH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321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6TO1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6TO1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419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7COH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238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HIS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7COH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242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7LGR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7LGR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119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7OXD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47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7QBP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VAL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7QBP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161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8EEN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291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8EEN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384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THR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9IFR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100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9N3U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180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9N3U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240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9NDR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228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CYS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9NDR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272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TYR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9UVM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145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9UVM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266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ASN</w:t>
            </w:r>
          </w:p>
        </w:tc>
      </w:tr>
      <w:tr>
        <w:trPr>
          <w:cantSplit/>
        </w:trPr>
        <w:tc>
          <w:tcPr>
            <w:tcW w:w="2770" w:type="dxa"/>
            <w:tcBorders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9UVM</w:t>
            </w:r>
          </w:p>
        </w:tc>
        <w:tc>
          <w:tcPr>
            <w:tcW w:w="286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302</w:t>
            </w:r>
          </w:p>
        </w:tc>
        <w:tc>
          <w:tcPr>
            <w:tcW w:w="3725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Contents"/>
              <w:jc w:val="center"/>
              <w:rPr/>
            </w:pPr>
            <w:r>
              <w:rPr/>
              <w:t>LYS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Heading2"/>
        <w:rPr/>
      </w:pPr>
      <w:r>
        <w:rPr/>
        <w:t>Table S2, Overview of MechLib performance benchmarks</w:t>
      </w:r>
    </w:p>
    <w:tbl>
      <w:tblPr>
        <w:tblW w:w="949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000" w:firstRow="0" w:noVBand="0" w:lastRow="0" w:firstColumn="0" w:lastColumn="0" w:noHBand="0"/>
      </w:tblPr>
      <w:tblGrid>
        <w:gridCol w:w="3597"/>
        <w:gridCol w:w="2200"/>
        <w:gridCol w:w="2122"/>
        <w:gridCol w:w="1576"/>
      </w:tblGrid>
      <w:tr>
        <w:trPr>
          <w:cantSplit/>
          <w:tblHeader/>
        </w:trPr>
        <w:tc>
          <w:tcPr>
            <w:tcW w:w="3597" w:type="dxa"/>
            <w:tcBorders>
              <w:top w:val="single" w:sz="4" w:space="0" w:color="999999"/>
              <w:start w:val="single" w:sz="4" w:space="0" w:color="999999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Result</w:t>
            </w:r>
          </w:p>
        </w:tc>
        <w:tc>
          <w:tcPr>
            <w:tcW w:w="2200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Value</w:t>
            </w:r>
          </w:p>
        </w:tc>
        <w:tc>
          <w:tcPr>
            <w:tcW w:w="2122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95% CI / detail</w:t>
            </w:r>
          </w:p>
        </w:tc>
        <w:tc>
          <w:tcPr>
            <w:tcW w:w="1576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4" w:space="0" w:color="999999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n</w:t>
            </w:r>
          </w:p>
        </w:tc>
      </w:tr>
      <w:tr>
        <w:trPr>
          <w:cantSplit/>
        </w:trPr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Protein vs. AMBER ff14SB 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39.6%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[39.0%, 40.1%]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1,698,562 res</w:t>
            </w:r>
          </w:p>
        </w:tc>
      </w:tr>
      <w:tr>
        <w:trPr>
          <w:cantSplit/>
        </w:trPr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Protein, blind test (2020–2026 structures)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r>
              <w:t>40.6%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r>
              <w:t>38.7% on pre-2020 training set; no CI reported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428,750 res</w:t>
            </w:r>
          </w:p>
        </w:tc>
      </w:tr>
      <w:tr>
        <w:trPr>
          <w:cantSplit/>
        </w:trPr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Protein vs. OPLS-AA/M (mean)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≈ same as AMBER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10/11 terms identical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1,698,562 res</w:t>
            </w:r>
          </w:p>
        </w:tc>
      </w:tr>
      <w:tr>
        <w:trPr>
          <w:cantSplit/>
        </w:trPr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Protein vs. CHARMM36 CMAP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r = −0.261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 = 5.43 × 10⁻¹³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740 bins</w:t>
            </w:r>
          </w:p>
        </w:tc>
      </w:tr>
      <w:tr>
        <w:trPr>
          <w:cantSplit/>
        </w:trPr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DNA vs. parm10 (median)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85.4%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[84.9%, 85.9%]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r>
              <w:t>118,233 BI / 20,508 BII strain-scored nt</w:t>
            </w:r>
          </w:p>
        </w:tc>
      </w:tr>
      <w:tr>
        <w:trPr>
          <w:cantSplit/>
        </w:trPr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DNA — BI / BII state (median)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85.4% / 85.8%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—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118,233 / 20,508 nt</w:t>
            </w:r>
          </w:p>
        </w:tc>
      </w:tr>
      <w:tr>
        <w:trPr>
          <w:cantSplit/>
        </w:trPr>
        <w:tc>
          <w:tcPr>
            <w:tcW w:w="3597" w:type="dxa"/>
            <w:tcBorders>
              <w:top w:val="single" w:sz="2" w:space="0" w:color="CCCCCC"/>
              <w:start w:val="single" w:sz="4" w:space="0" w:color="999999"/>
              <w:bottom w:val="single" w:sz="4" w:space="0" w:color="999999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DNA δ–χ coupling, C1'-O4'-C4' angle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4" w:space="0" w:color="999999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η² = 0.073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4" w:space="0" w:color="999999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cf. control 0.026</w:t>
            </w:r>
          </w:p>
        </w:tc>
        <w:tc>
          <w:tcPr>
            <w:tcW w:w="1576" w:type="dxa"/>
            <w:tcBorders>
              <w:top w:val="single" w:sz="2" w:space="0" w:color="CCCCCC"/>
              <w:start w:val="single" w:sz="2" w:space="0" w:color="CCCCCC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150,022 nt</w:t>
            </w:r>
          </w:p>
        </w:tc>
      </w:tr>
    </w:tbl>
    <w:p>
      <w:pPr/>
      <w:r>
        <w:t>DNA denominators differ by plotted observable: the strain panels include 118,233 BI nucleotides, whereas the filtered O3′–P density plot includes 118,227 BI bond measurements.</w:t>
      </w:r>
    </w:p>
    <w:p>
      <w:pPr>
        <w:pStyle w:val="Heading2"/>
        <w:rPr/>
      </w:pPr>
      <w:r>
        <w:rPr/>
        <w:t xml:space="preserve">Figure S1, Cross-force-field comparison of backbone strain.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109379"/>
            <wp:effectExtent l="0" t="0" r="0" b="0"/>
            <wp:docPr id="20" name="Picture Fig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0" name="Picture FigS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93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t xml:space="preserve">Mean phantom strain per residue by bonded observable for OPLS-AA/M, AMBER ff14SB, and MechLib. Ten of eleven backbone bond and angle parameters are numerically identical in AMBER ff14SB and OPLS-AA/M, so the two baselines overlap except for Cα–Cβ; this comparison is therefore not independent of the AMBER comparison (main text, Section 3.1).</w:t>
      </w:r>
    </w:p>
    <w:p>
      <w:pPr>
        <w:pStyle w:val="Heading2"/>
        <w:rPr/>
      </w:pPr>
      <w:r>
        <w:rPr/>
        <w:t xml:space="preserve">Figure S2, MechLib geometric strain versus CHARMM36 CMAP energy.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1841066"/>
            <wp:effectExtent l="0" t="0" r="0" b="0"/>
            <wp:docPr id="21" name="Picture Fig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1" name="Picture FigS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1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t xml:space="preserve">(A) CHARMM36 CMAP energy (general backbone grid). (B) MechLib geometric strain on the same (φ,ψ) grid. (C) Bin-wise correlation across 740 sampled bins (Pearson r = −0.261, P = 5.43 × 10⁻¹³). This is a contextual association between a geometric and an energetic correction, not independent validation of either.</w:t>
      </w:r>
    </w:p>
    <w:p>
      <w:pPr>
        <w:pStyle w:val="Heading2"/>
        <w:rPr/>
      </w:pPr>
      <w:r>
        <w:rPr/>
        <w:t>Figure S3, Strain reduction stratified by refinement software and secondary structure.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399030"/>
            <wp:effectExtent l="0" t="0" r="0" b="0"/>
            <wp:docPr id="1" name="Picture Fig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Picture FigS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t>(A) Strain reduction by refinement software, classified from REMARK 3 (REFMAC 34.4% (95% CI 33.8–35.0%), PHENIX 54.6% (95% CI 53.9–55.2%), CNS/X-PLOR 38.8%, OTHER 27.0%, BUSTER 36.2%, TNT 16.9%). (B) REFMAC-only reduction by secondary-structure class (αR 35.9%, β 27.4%, PPII 34.4%, αL 48.2%, coil 38.6%). Error bars: 95% confidence intervals from 2,000 bootstrap resamples by structure. Software identity is a proxy for refinement restraints; it does not prove which restraint set was active for each structure.</w:t>
      </w:r>
    </w:p>
    <w:p>
      <w:pPr>
        <w:pStyle w:val="Heading2"/>
      </w:pPr>
      <w:r>
        <w:t>Independent constrained-QM benchmark</w:t>
      </w:r>
    </w:p>
    <w:p>
      <w:r>
        <w:t>The confirmatory benchmark comprised all 20 standard amino acids in ACE–X–NME at four registered central-residue φ/ψ coordinates (80 cases). Model predictions and the analysis contract were frozen before confirmatory outcome access. All cases passed convergence, constraint, connectivity, and finite-value checks. The primary weighted mean favored MechLib, but the strict four-condition endpoint failed because three bond terms were Holm-significantly worse (main-text Fig. 3; Tables S3 and S4).</w:t>
      </w:r>
    </w:p>
    <w:p>
      <w:pPr>
        <w:pStyle w:val="Heading2"/>
      </w:pPr>
      <w:r>
        <w:t>Table S3. Registered term-level constrained-QM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  <w:cantSplit/>
        </w:trPr>
        <w:tc>
          <w:tcPr>
            <w:tcW w:type="dxa" w:w="1337"/>
          </w:tcPr>
          <w:p>
            <w:r/>
            <w:r>
              <w:rPr>
                <w:b/>
                <w:sz w:val="14"/>
              </w:rPr>
              <w:t>Term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Unit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n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AMBER MAE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MechLib MAE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Mean weighted Δ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4"/>
              </w:rPr>
              <w:t>Holm p (worse)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∠CA-C-O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0.68841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0.54132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0.02296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∠C-N-CA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1.46217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1.31464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0.01821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∠C-CA-CB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1.17898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1.10477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0.01028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∠CA-C-N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1.64244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1.47844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0.02395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∠N-CA-CB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2.28024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1.67332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0.09475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CA-C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0.01442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0.01202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0.04288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CA-CB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0.01015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0.00519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0.08824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C-N(next)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0.02081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0.02512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-0.09541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6.31e-37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C-O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0.01206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0.01632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-0.10163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1.2e-32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N-CA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Å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0.00561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0.01224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-0.12179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3.96e-15</w:t>
            </w:r>
          </w:p>
        </w:tc>
      </w:tr>
      <w:tr>
        <w:trPr>
          <w:cantSplit/>
        </w:trPr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∠N-CA-C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degrees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1.82167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0.87583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0.13103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</w:tbl>
    <w:p>
      <w:r>
        <w:t>Angles are reported in degrees and bonds in Å. Weighted Δ uses radians for angles and Å for bonds. Positive values favor MechLib. The one-sided term tests ask whether MechLib is worse; p values are Holm-adjusted across 11 registered terms.</w:t>
      </w:r>
    </w:p>
    <w:p>
      <w:pPr>
        <w:pStyle w:val="Heading2"/>
      </w:pPr>
      <w:r>
        <w:t>Table S4. Registered primary-decision criteria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</w:tcPr>
          <w:p>
            <w:r/>
            <w:r>
              <w:rPr>
                <w:b/>
                <w:sz w:val="14"/>
              </w:rPr>
              <w:t>Criterion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4"/>
              </w:rPr>
              <w:t>Decision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4"/>
              </w:rPr>
              <w:t>Observed</w:t>
            </w:r>
          </w:p>
        </w:tc>
      </w:tr>
      <w:tr>
        <w:trPr>
          <w:cantSplit/>
        </w:trP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Residue-clustered 95% CI lower bound &gt; 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0.00263134</w:t>
            </w:r>
          </w:p>
        </w:tc>
      </w:tr>
      <w:tr>
        <w:trPr>
          <w:cantSplit/>
        </w:trP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At least 12/20 residue means positive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14/20</w:t>
            </w:r>
          </w:p>
        </w:tc>
      </w:tr>
      <w:tr>
        <w:trPr>
          <w:cantSplit/>
        </w:trP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No Holm-significant worse registered term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3 worse terms</w:t>
            </w:r>
          </w:p>
        </w:tc>
      </w:tr>
      <w:tr>
        <w:trPr>
          <w:cantSplit/>
        </w:trP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At least 68/80 cases pass QC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80/80</w:t>
            </w:r>
          </w:p>
        </w:tc>
      </w:tr>
      <w:tr>
        <w:trPr>
          <w:cantSplit/>
        </w:trPr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All four conditions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4"/>
              </w:rPr>
              <w:t>Registered endpoint FAIL</w:t>
            </w:r>
          </w:p>
        </w:tc>
      </w:tr>
    </w:tbl>
    <w:p>
      <w:pPr>
        <w:pStyle w:val="Heading2"/>
      </w:pPr>
      <w:r>
        <w:t>Reproducibility and evidentiary boundary</w:t>
      </w:r>
    </w:p>
    <w:p>
      <w:r>
        <w:t>The deterministic constrained-QM analysis used 10,000 bootstrap replicates and seed 20260915. Primary outputs include the endpoint JSON, case-, residue-, region-, and term-level TSV files, the complete term-detail table, the analysis script, and SHA-256 manifest. The QM benchmark tests constrained local equilibrium geometry only. It does not evaluate dynamics, populations, thermodynamics, folding, or NMR/RDC observables.</w:t>
      </w:r>
    </w:p>
    <w:p>
      <w:pPr>
        <w:pStyle w:val="Heading2"/>
      </w:pPr>
      <w:r>
        <w:t>Exploratory MD scalar-coupling pilot</w:t>
      </w:r>
    </w:p>
    <w:p>
      <w:r>
        <w:t>The scoring contract and input hashes were frozen before scores were computed. The six GB3 lineages were regenerated after DCD corruption was discovered; the six intact ubiquitin lineages were byte-identical copies of completed trajectories. The verified input comprised 120 readable trajectory chunks (1,200 frames), 120 state reports, 12 run audits, two prepared structures, two primary-source PDFs, two experimental table transcriptions and the integrity report. All 259 manifest entries passed hash preflight. All 113 primary non-glycine experimental rows mapped without exclusions after scoring. The pilot inherited serialized OpenMM molecular systems, prepared protein structures and exact final states from the separately verified upstream preparation archive (SHA-256 7e22f95e45735144296ebe1d65341aee8048ef5f636014e2d29f0c2ee4a8f592); its protocol was NPT at 298 K and 1 bar with 2 fs Langevin middle integration (friction 1 ps⁻¹) and a Monte Carlo barostat every 25 steps.</w:t>
      </w:r>
    </w:p>
    <w:p>
      <w:r>
        <w:t>For each residue and trajectory frame, the backbone dihedral φ=C(i−1)–N(i)–Cα(i)–C(i) was transformed into a predicted ³J(HN,Hα) using J=6.7 cos²(φ−60°)−1.3 cos(φ−60°)+1.5 Hz. Predictions were averaged over all 100 frames, then compared with experimental observations by residue-level MSE for each protein, arm and seed. The coefficients were derived independently of either test protein. The primary contrast is fixed-AMBER MSE minus MechLib MSE, averaged over three paired seeds per protein and then equally over the two proteins.</w:t>
      </w:r>
    </w:p>
    <w:p>
      <w:r>
        <w:t>GB3 paired contrasts for seeds 2026092201/02/03 were +0.008934811, +0.082287288, and +0.579101565 Hz²; ubiquitin contrasts were +0.115545832, +0.069545592, and −0.099618097 Hz². Protein means were +0.223441221 and +0.028491109 Hz², respectively; the equal-protein mean was +0.125966165 Hz². The per-seed and time-block tables, frozen scoring lock, source transcriptions and SHA-256 inventory are in the frozen endpoint archive. This is a descriptive 1 ns pilot without significance inference; the registered constrained-QM FAIL remains in force.</w:t>
      </w:r>
    </w:p>
    <w:p>
      <w:pPr/>
      <w:r>
        <w:t>In a post hoc sensitivity analysis that excluded the first 200 ps from each 1 ns trajectory, the equal-protein mean MSE contrast was +0.092391 Hz². Protein means were +0.206507 Hz² (GB3) and −0.021724 Hz² (ubiquitin). The original full-trajectory score and the registered QM result were not recalculated or changed. The preparation used 20 ps NVT followed by scored NPT production, with no separate NPT density-equilibration interval. This sensitivity does not establish convergence.</w:t>
      </w:r>
    </w:p>
    <w:p>
      <w:pPr>
        <w:pStyle w:val="Heading2"/>
      </w:pPr>
      <w:r>
        <w:t>Table S5. Post hoc ten-term crystal-coordinate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Test group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Rows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AMBER strain/row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MechLib reduction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CDL reduction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All post-2020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428,750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0.303156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43.3%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44.9%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REFMAC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135,257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0.446089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29.1%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27.2%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PHENIX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278,172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0.229585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57.1%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62.4%</w:t>
            </w:r>
          </w:p>
        </w:tc>
      </w:tr>
    </w:tbl>
    <w:p>
      <w:pPr/>
      <w:r>
        <w:t>Fixed AMBER, pre-2020 global-mean and residue-type-mean targets, pre-2020-trained MechLib, and cctbx CDL (2026.7) were compared on identical post-2020 rows. Across all 428,750 matched rows, the two mean baselines reduced strain versus AMBER by 16.1% and 29.7%, respectively (MechLib, 43.3%; CDL, 44.9%). C–N(next) is excluded from every arm because its CDL target is keyed to the following residue. Reductions use the same ten-term AMBER reference. REFMAC and PHENIX are REMARK 3 software labels, not confirmed restraint usage.</w:t>
      </w:r>
    </w:p>
    <w:p>
      <w:pPr>
        <w:pStyle w:val="Heading2"/>
      </w:pPr>
      <w:r>
        <w:t>Table S6. Static minimization by refinement program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Test group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Structures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t>RMSD reduction (95% CI)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Fixed-AMBER wins</w:t>
            </w:r>
          </w:p>
        </w:tc>
      </w:tr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All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300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33.1% (32.0–34.1%)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</w:t>
            </w:r>
          </w:p>
        </w:tc>
      </w:tr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REFMAC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87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25.4% (24.2–26.7%)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</w:t>
            </w:r>
          </w:p>
        </w:tc>
      </w:tr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PHENIX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201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37.4% (36.3–38.4%)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</w:t>
            </w:r>
          </w:p>
        </w:tc>
      </w:tr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Other known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12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25.552%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</w:t>
            </w:r>
          </w:p>
        </w:tc>
      </w:tr>
    </w:tbl>
    <w:p>
      <w:pPr/>
      <w:r>
        <w:t>Post hoc split of the same frozen 300-structure minimization cohort. Reduction is 100 × [1 − (sum MechLib RMSD / sum fixed-AMBER RMSD)] within each subgroup. No structure in these groups favored fixed AMBER. CIs use 10,000 deterministic resamples of whole structures (seed 20260925).</w:t>
      </w:r>
    </w:p>
    <w:p>
      <w:pPr>
        <w:pStyle w:val="Heading2"/>
      </w:pPr>
      <w:r>
        <w:t>Table S7. Exploratory NMR equilibration sensitivity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Trajectory window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GB3 Δ MSE (Hz²)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Ubiquitin Δ MSE (Hz²)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Equal-protein Δ MSE (Hz²)</w:t>
            </w:r>
          </w:p>
        </w:tc>
      </w:tr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Full 1 ns, frozen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+0.223441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+0.028491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+0.125966</w:t>
            </w:r>
          </w:p>
        </w:tc>
      </w:tr>
      <w:tr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Last 800 ps, post hoc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+0.206507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−0.021724</w:t>
            </w:r>
          </w:p>
        </w:tc>
        <w:tc>
          <w:tcPr>
            <w:tcW w:type="dxa" w:w="23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+0.092391</w:t>
            </w:r>
          </w:p>
        </w:tc>
      </w:tr>
    </w:tbl>
    <w:p>
      <w:pPr/>
      <w:r>
        <w:t>The later-frame analysis excluded the first 200 ps. Positive MSE difference favors MechLib. The full-trajectory result remains the original frozen score.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570a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link w:val="Heading1Char"/>
    <w:uiPriority w:val="9"/>
    <w:qFormat/>
    <w:pPr>
      <w:widowControl/>
      <w:suppressAutoHyphens w:val="true"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link w:val="Heading2Char"/>
    <w:uiPriority w:val="9"/>
    <w:unhideWhenUsed/>
    <w:qFormat/>
    <w:pPr>
      <w:widowControl/>
      <w:suppressAutoHyphens w:val="true"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a7487"/>
    <w:rPr>
      <w:color w:val="2E74B5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004a9a"/>
    <w:rPr>
      <w:color w:val="2E74B5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20" Type="http://schemas.openxmlformats.org/officeDocument/2006/relationships/image" Target="media/image3.png"/><Relationship Id="rId2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LibreOffice/26.2.5.2$Windows_X86_64 LibreOffice_project/cd7284b4cbbfeb507e630c1aac019f4157393acb</Application>
  <AppVersion>15.0000</AppVersion>
  <Pages>3</Pages>
  <Words>459</Words>
  <Characters>1907</Characters>
  <CharactersWithSpaces>2048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2026-07-21T20:19:00Z</dcterms:created>
  <dc:creator>Un-named</dc:creator>
  <dc:description/>
  <dc:language>en-US</dc:language>
  <cp:lastModifiedBy/>
  <dcterms:modified xsi:type="dcterms:W3CDTF">2026-08-19T12:14:45Z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