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color w:val="auto"/>
        </w:rPr>
      </w:pPr>
      <w:r>
        <w:t>An isolated peptide model fails to reproduce protein backbone angle coupling under matched conformational sampling</w:t>
      </w:r>
    </w:p>
    <w:p>
      <w:pPr>
        <w:pStyle w:val="Heading1"/>
        <w:rPr>
          <w:color w:val="auto"/>
        </w:rPr>
      </w:pPr>
      <w:r>
        <w:t>Abstract</w:t>
      </w:r>
    </w:p>
    <w:p>
      <w:pPr>
        <w:pStyle w:val="Normal"/>
        <w:rPr>
          <w:color w:val="auto"/>
        </w:rPr>
      </w:pPr>
      <w:r>
        <w:t>The N–Cα–C angle τ depends on backbone torsions φ and ψ, a dependence established by structural surveys and encoded in conformation-dependent refinement libraries. We asked how much of the protein pattern an isolated peptide potential reproduces when conformational sampling is matched. A unified atlas of 1,636,322 residues from 7,938 PDB entries provided an empirical reference. A joint Fourier model improved prediction relative to separate φ and ψ terms on held-out PDB entries. An isolated ACE–ALA–NME model using ff14SB in vacuum exhibited nonzero mixed finite contrasts, and selective reduction of heavy-atom repulsion altered these contrasts differently across conformational regions. However, evaluating the peptide model at the conformations actually sampled by protein alanine residues revealed discrepancies: in α, the protein contrast was −0.070° versus +0.079° for the model; in polyproline-II, it was −0.191° versus −0.010°. The corresponding residual contrasts excluded zero across resolution, refinement-software, and window-width sensitivities, whereas the β difference remained unresolved. Thus, the tested local potential produces coupling but fails to reproduce the α and polyproline-II protein contrasts. These results establish a quantitative benchmark for distinguishing limitations of a local potential from contributions of the protein environment.</w:t>
      </w:r>
    </w:p>
    <w:p>
      <w:pPr>
        <w:pStyle w:val="Heading1"/>
        <w:rPr>
          <w:color w:val="auto"/>
        </w:rPr>
      </w:pPr>
      <w:r>
        <w:t>Introduction</w:t>
      </w:r>
    </w:p>
    <w:p>
      <w:pPr>
        <w:pStyle w:val="Normal"/>
        <w:rPr>
          <w:color w:val="auto"/>
        </w:rPr>
      </w:pPr>
      <w:r>
        <w:t>Backbone conformation is commonly described by the torsions φ and ψ and their allowed combinations on the Ramachandran plane (Ramachandran et al., 1963). The covalent geometry underlying that description is also variable. The N–Cα–C valence angle τ changes with conformation, rather than taking one universal ideal value. Understanding these changes matters both for interpreting protein structures and for assessing the physical models used to describe them.</w:t>
      </w:r>
    </w:p>
    <w:p>
      <w:pPr>
        <w:pStyle w:val="Normal"/>
        <w:rPr>
          <w:color w:val="auto"/>
        </w:rPr>
      </w:pPr>
      <w:r>
        <w:t>Conformation-dependent backbone geometry is well established. Karplus (1996) documented systematic geometric variation in experimentally determined protein structures, and Berkholz et al. (2009) formalized backbone geometry as a function of φ and ψ. This work led to conformation-dependent stereochemical libraries for refinement (Tronrud et al., 2010), including adoption of a conformation-dependent backbone library as the Phenix default reported by Moriarty et al. (2016). Statistical and quantum-mechanical analyses of small peptides have also examined the determinants of bond-angle variability (Improta et al., 2015) and peptide-bond planarity (Improta et al., 2011), concluding that backbone valence geometry is governed mainly by local interactions (Improta et al., 2015). The question addressed here is therefore the explanatory reach of a local peptide model, rather than the existence of conformation-dependent τ.</w:t>
      </w:r>
    </w:p>
    <w:p>
      <w:pPr>
        <w:pStyle w:val="Normal"/>
        <w:rPr>
          <w:color w:val="auto"/>
        </w:rPr>
      </w:pPr>
      <w:r>
        <w:t>Joint torsional dependence is also represented in empirical force fields. The CMAP correction introduced a two-dimensional backbone energy correction to improve peptide and protein conformational energetics (MacKerell et al., 2004). Residue-specific CMAP terms trained against solution-phase quantum-mechanical energy surfaces are used in ff19SB (Tian et al., 2020), whereas the ff14SB potential tested here uses one-dimensional torsion terms without CMAP (Maier et al., 2015). An energy surface, an empirical geometry library, and a minimized bond-angle response are distinct objects: agreement with one does not ensure agreement with the others. A direct comparison requires a common geometric observable and control of the conformations at which it is evaluated.</w:t>
      </w:r>
    </w:p>
    <w:p>
      <w:pPr>
        <w:pStyle w:val="Normal"/>
        <w:rPr>
          <w:color w:val="auto"/>
        </w:rPr>
      </w:pPr>
      <w:r>
        <w:t>We use a mixed finite contrast of τ to compare a protein atlas with an isolated capped alanine model. We first quantify the established joint dependence using PDB-level prediction, then test whether the isolated potential produces coupling and whether selected repulsive interactions shape it. The central comparison evaluates the model at the φ/ψ values actually sampled by protein residues. This separates a sampling effect from a discrepancy in the predicted geometric response.</w:t>
      </w:r>
    </w:p>
    <w:p>
      <w:pPr>
        <w:pStyle w:val="Heading1"/>
        <w:rPr>
          <w:color w:val="auto"/>
        </w:rPr>
      </w:pPr>
      <w:r>
        <w:t>Results</w:t>
      </w:r>
    </w:p>
    <w:p>
      <w:pPr>
        <w:pStyle w:val="Heading2"/>
        <w:rPr>
          <w:color w:val="auto"/>
        </w:rPr>
      </w:pPr>
      <w:r>
        <w:t>A held-out atlas quantifies established conformation-dependent geometry</w:t>
      </w:r>
    </w:p>
    <w:p>
      <w:pPr>
        <w:pStyle w:val="Normal"/>
        <w:rPr>
          <w:color w:val="auto"/>
        </w:rPr>
      </w:pPr>
      <w:r>
        <w:t>To quantify how the N–Cα–C angle τ depends jointly on the backbone dihedral angles φ and ψ, we evaluated additive predictors with separate φ and ψ terms against joint periodic Fourier predictors across 1,636,322 residues from 7,938 PDB entries. The empirical τ map shows structured variation over the Ramachandran plane (Fig. 1A–C), consistent with established conformation-dependent geometry (Karplus, 1996; Berkholz et al., 2009).</w:t>
      </w:r>
    </w:p>
    <w:p>
      <w:pPr>
        <w:pStyle w:val="Normal"/>
        <w:rPr>
          <w:color w:val="auto"/>
        </w:rPr>
      </w:pPr>
      <w:r>
        <w:t>The joint model reduced prediction error on unseen PDB entries by 3.24%, with a conditional bootstrap interval excluding zero (Fig. 1E). A joint model with only 24 Fourier coefficients achieved lower validation error than any tested additive model, including models with up to 160 coefficients (Fig. 1F). The joint-minus-additive map identifies a reproducible predictive contribution beyond the selected separate torsional effects.</w:t>
      </w:r>
    </w:p>
    <w:p>
      <w:pPr>
        <w:pStyle w:val="Normal"/>
        <w:rPr>
          <w:color w:val="auto"/>
        </w:rPr>
      </w:pPr>
      <w:r>
        <w:t>Predictive gain varied across regions and residue groups (Fig. 1G–H). Proline showed the largest gain, about three times that of the other groups. Its pyrrolidine ring restricts φ to a narrow range near −65° (MacArthur and Thornton, 1991), and the pooled predictors do not encode residue identity. Within that narrow strip, the joint terms can therefore partly capture proline-specific τ. The proline gain may thus reflect residue composition rather than local torsional mechanics. The largest regional gains occurred in the Other remainder and Positive φ band (Fig. 1G); these gains measure predictive improvement, not the sign of the coupling map.</w:t>
      </w:r>
    </w:p>
    <w:p>
      <w:pPr>
        <w:pStyle w:val="Heading2"/>
        <w:rPr>
          <w:color w:val="auto"/>
        </w:rPr>
      </w:pPr>
      <w:r>
        <w:t>The isolated peptide generates coupling sensitive to selected repulsion</w:t>
      </w:r>
    </w:p>
    <w:p>
      <w:pPr>
        <w:pStyle w:val="Normal"/>
        <w:rPr>
          <w:color w:val="auto"/>
        </w:rPr>
      </w:pPr>
      <w:r>
        <w:t xml:space="preserve">To test whether an isolated peptide potential can generate joint geometric dependence, we minimized ACE–ALA–NME with ff14SB (Maier et al., 2015) in vacuum, restraining φ and ψ while allowing τ to relax (Fig. 2A). Three centers represented α (−60°, −40°), β (−120°, 130°) and polyproline-II (PPII; −75°, 145°). At each center, τ at the four corners offset by ±10° defines the contrast C = (τ++ − τ+− − τ−+ + τ−−)/4 (Fig. 2B). C is zero when the effects of φ and ψ on τ simply add. A positive C means that the ψ-driven change in τ is larger at high φ than at low φ; a negative C means it is smaller. C is a finite contrast in degrees, not a derivative. </w:t>
      </w:r>
    </w:p>
    <w:p>
      <w:pPr>
        <w:pStyle w:val="Normal"/>
        <w:rPr>
          <w:color w:val="auto"/>
        </w:rPr>
      </w:pPr>
      <w:r>
        <w:t>The peptide exhibited positive contrasts in all three regions, with the largest response in α (Fig. 2C). All numerical precision endpoints passed, and differences between starts were negligible relative to the contrasts (Fig. S1). The isolated potential therefore generates a nonadditive geometric response without a protein environment.</w:t>
      </w:r>
    </w:p>
    <w:p>
      <w:pPr>
        <w:pStyle w:val="Normal"/>
        <w:rPr/>
      </w:pPr>
      <w:r>
        <w:t>We tested the sensitivity of the peptide contrast to selected nonbonded repulsion by reducing the r⁻¹² term for 15 ordinary heavy-atom pairs. Their attraction, hydrogen-involving interactions, and force-field exceptions were preserved. Removing 75% of this selected repulsion approximately halved the α contrast, slightly increased the β contrast, and reversed the PPII contrast’s sign (Fig. 2D). Complete-removal contrasts were withheld because three endpoints failed numerical quality control (Fig. S1).</w:t>
      </w:r>
    </w:p>
    <w:p>
      <w:pPr>
        <w:pStyle w:val="Heading2"/>
        <w:rPr>
          <w:color w:val="auto"/>
        </w:rPr>
      </w:pPr>
      <w:r>
        <w:t>Matched sampling reveals a peptide–protein discrepancy in α and PPII</w:t>
      </w:r>
    </w:p>
    <w:p>
      <w:pPr>
        <w:pStyle w:val="Normal"/>
        <w:rPr>
          <w:color w:val="auto"/>
        </w:rPr>
      </w:pPr>
      <w:r>
        <w:t>Comparing the model at corner centers with protein averages could confound mechanics with conformational sampling. We therefore evaluated a 5 × 5 model grid within each ±5° corner window and interpolated the predicted τ at every observed alanine residue’s φ/ψ values (Fig. 3A). Observed and predicted τ were averaged within each PDB and then across PDBs with equal weight. All grid and midpoint minimizations passed numerical checks, with interpolation errors small relative to the principal discrepancies (Fig. S1).</w:t>
      </w:r>
    </w:p>
    <w:p>
      <w:pPr>
        <w:pStyle w:val="Normal"/>
        <w:rPr>
          <w:color w:val="auto"/>
        </w:rPr>
      </w:pPr>
      <w:r>
        <w:t>Matching changed the predicted contrasts but did not resolve the α and PPII discrepancies (Fig. 3B–C). In α, the protein contrast was −0.070° versus +0.079° for the matched peptide model, giving opposite signs. In PPII, both contrasts were negative, but the model response was much smaller in magnitude. The protein-minus-model residual intervals excluded zero in both regions, whereas the β difference remained unresolved.</w:t>
      </w:r>
    </w:p>
    <w:p>
      <w:pPr>
        <w:pStyle w:val="Normal"/>
        <w:rPr>
          <w:color w:val="auto"/>
        </w:rPr>
      </w:pPr>
      <w:r>
        <w:t>Sampling was consequential in its own right: matching actual residue conformations changed the PPII model contrast from positive to negative (Fig. 3F). An unmatched comparison would therefore give a different sign for the local model. Accounting for this change still left a clear discrepancy in α and PPII.</w:t>
      </w:r>
    </w:p>
    <w:p>
      <w:pPr>
        <w:pStyle w:val="Heading2"/>
        <w:rPr>
          <w:color w:val="auto"/>
        </w:rPr>
      </w:pPr>
      <w:r>
        <w:t>The principal discrepancies persist across sensitivity analyses</w:t>
      </w:r>
    </w:p>
    <w:p>
      <w:pPr>
        <w:pStyle w:val="Normal"/>
        <w:rPr>
          <w:color w:val="auto"/>
        </w:rPr>
      </w:pPr>
      <w:r>
        <w:t>The α and PPII residual intervals excluded zero within both resolution subsets, ≤1.5 Å and &gt;1.5–2.0 Å, and within the PHENIX and REFMAC metadata subsets (Fig. 3D–E). Narrower ±3° windows also retained negative residuals. The β residual remained unresolved in these checks. Full estimates and intervals are reported in Table S2.</w:t>
      </w:r>
    </w:p>
    <w:p>
      <w:pPr>
        <w:pStyle w:val="Normal"/>
        <w:rPr>
          <w:color w:val="auto"/>
        </w:rPr>
      </w:pPr>
      <w:r>
        <w:t>The global predictive gain remained positive within resolution and software subsets, under a historical sequence-cluster split, and in an alanine-only fit (Table S3). These analyses support the stability of the predictive baseline and the matched discrepancy under the tested sampling and metadata choices.</w:t>
      </w:r>
    </w:p>
    <w:p>
      <w:pPr>
        <w:pStyle w:val="Heading1"/>
        <w:rPr>
          <w:color w:val="auto"/>
        </w:rPr>
      </w:pPr>
      <w:r>
        <w:t>Discussion</w:t>
      </w:r>
    </w:p>
    <w:p>
      <w:r>
        <w:t>The isolated ff14SB peptide produces φ/ψ coupling but fails to reproduce the sampling-matched protein pattern: its α contrast has the opposite sign, and its PPII contrast is much smaller. The α discrepancy (−0.15°) exceeds the matched model contrast (+0.08°). Both resolved residuals are negative, although their shared direction does not establish a shared cause.</w:t>
      </w:r>
    </w:p>
    <w:p>
      <w:r>
        <w:t>Conformation-dependent geometry is well established (Karplus, 1996; Berkholz et al., 2009). Our contribution is a comparison under matched conformational sampling. Matching reverses the model’s PPII contrast but leaves the α and PPII discrepancies, showing why representative conformations alone are insufficient.</w:t>
      </w:r>
    </w:p>
    <w:p>
      <w:r>
        <w:t>These discrepancies could reflect the tested potential rather than an essential role for protein context. Local quantum-mechanical models reproduce protein geometry trends (Improta et al., 2015), and Jiang et al. (2018) reported a transition-region O···C distance error in FF99SB that quantum calculations avoided. Solvent, electronic interactions, ensemble averaging, and protein contacts remain additional explanations. Testing alternative models at the same sampled conformations would distinguish their contributions.</w:t>
      </w:r>
    </w:p>
    <w:p>
      <w:r>
        <w:t>The protein reference also reflects refinement restraints. The conformation-dependent library adopted as the Phenix default was derived from protein structures (Berkholz et al., 2009; Moriarty et al., 2016), and PHENIX-labelled structures showed more negative residuals than REFMAC-labelled structures. This descriptive difference cannot isolate a restraint effect; controlled re-refinement of identical diffraction data would provide a direct test.</w:t>
      </w:r>
    </w:p>
    <w:p>
      <w:r>
        <w:t>The matched contrasts provide a quantitative benchmark for alternative peptide models. Combining model comparisons with controlled refinement would clarify how much of the protein pattern local physics reproduces and what remains dependent on protein context.</w:t>
      </w:r>
    </w:p>
    <w:p>
      <w:pPr>
        <w:pStyle w:val="Heading2"/>
        <w:rPr>
          <w:color w:val="auto"/>
        </w:rPr>
      </w:pPr>
      <w:r>
        <w:t>Limitations</w:t>
      </w:r>
    </w:p>
    <w:p>
      <w:pPr>
        <w:pStyle w:val="Normal"/>
        <w:rPr>
          <w:color w:val="auto"/>
        </w:rPr>
      </w:pPr>
      <w:r>
        <w:t>The analyses were post hoc on previously inspected data. The PDB partitions hold out entries during fitting, but the resulting intervals are conditional on fixed models and analysis choices rather than prospective replication. The historical sequence-cluster sensitivity covers the atlas but does not guarantee removal of remote homology. Protein coordinates reflect experimental uncertainty and refinement priors (Engh and Huber, 1991; Moriarty et al., 2014); software labels do not identify the actual restraint library used for every entry, so the subgroup checks cannot exclude refinement effects. Finally, a failure of ff14SB in vacuum does not demonstrate that all intrinsic local mechanics fail, nor does it identify an environmental interaction. The finite contrasts characterize changes in local response, not absolute τ offsets or energetic causation.</w:t>
      </w:r>
    </w:p>
    <w:p>
      <w:pPr>
        <w:pStyle w:val="Heading1"/>
        <w:rPr>
          <w:color w:val="auto"/>
        </w:rPr>
      </w:pPr>
      <w:r>
        <w:t>Methods</w:t>
      </w:r>
    </w:p>
    <w:p>
      <w:pPr>
        <w:pStyle w:val="Heading2"/>
        <w:rPr>
          <w:color w:val="auto"/>
        </w:rPr>
      </w:pPr>
      <w:r>
        <w:t>Structural atlas and quality filtering</w:t>
      </w:r>
    </w:p>
    <w:p>
      <w:pPr>
        <w:pStyle w:val="Normal"/>
        <w:rPr>
          <w:color w:val="auto"/>
        </w:rPr>
      </w:pPr>
      <w:r>
        <w:t>The analysis used chain_audit_features_pisces_consistent.csv, with SHA-256 8171d49b54b7efdcda303365a0d32fb439076925f0278f8d865785d4e9d6f2b8. The PISCES (Wang and Dunbrack, 2003) source selection used a resolution threshold of 2.0 Å. The chain audit retained 7,836 exact selected chains and 102 sequence-identical alternative-chain selections, giving 7,938 Protein Data Bank entries (Berman et al., 2000) in the final atlas. Standard amino-acid residues with defined φ and ψ were retained.</w:t>
      </w:r>
    </w:p>
    <w:p>
      <w:pPr>
        <w:pStyle w:val="Normal"/>
        <w:rPr>
          <w:color w:val="auto"/>
        </w:rPr>
      </w:pPr>
      <w:r>
        <w:t>The coordinate loader selected the highest-occupancy alternative separately for each atom, resolving occupancy ties in favor of A, then blank, then alphabetical altloc order. Missing peptide-link atoms or C(i)–N(i+1) distances above 2.5 Å defined chain breaks; torsions requiring a broken link were undefined and excluded. Quality filtering required a mean Cα B factor ≤30 Å² over the current retained row and up to three retained rows on either side in each PDB–chain group. Windows were truncated at chain ends, missing B factors were assigned zero, and the implementation did not explicitly reset windows at gaps. At least 10 retained residues per chain were required. These statements describe the supplied extraction code, including its boundary and missing-value behavior.</w:t>
      </w:r>
    </w:p>
    <w:p>
      <w:pPr>
        <w:pStyle w:val="Heading2"/>
        <w:rPr>
          <w:color w:val="auto"/>
        </w:rPr>
      </w:pPr>
      <w:r>
        <w:t>Additive and joint prediction models</w:t>
      </w:r>
    </w:p>
    <w:p>
      <w:pPr>
        <w:pStyle w:val="Normal"/>
        <w:rPr>
          <w:color w:val="auto"/>
        </w:rPr>
      </w:pPr>
      <w:r>
        <w:t>The frozen PDB-level 60/20/20 partition contained 4,762 training entries (971,083 residues), 1,588 validation entries (334,495 residues), and 1,588 test entries (330,744 residues). Additive models contained sine and cosine terms for φ and ψ through a selected harmonic order. Joint models additionally contained products of the φ and ψ basis terms. Ridge fits (Hoerl and Kennard, 1970) used the archived 100,000-row training sample with seed 20261006; validation selected harmonic order and regularization using equal-PDB mean squared error. Tested additive orders were 2, 4, 6, 8, 12, 20, and 40, and joint orders were 2, 4, and 6, with ridge parameters 0.1, 10, and 1,000. Selected orders were 12 for the additive fit and 6 for the joint fit, both with ridge parameter 10. No training-plus-validation refit was performed before test evaluation.</w:t>
      </w:r>
    </w:p>
    <w:p>
      <w:pPr>
        <w:pStyle w:val="Normal"/>
        <w:rPr>
          <w:color w:val="auto"/>
        </w:rPr>
      </w:pPr>
      <w:r>
        <w:t>For each PDB, squared errors were averaged over its residues; these PDB means were then averaged equally. Gain was the paired additive-minus-joint mean squared error. Conditional 95% intervals used 2,000 bootstrap resamples of PDB entries, treating each entry as a cluster of residues (Efron and Tibshirani, 1993; Field and Welsh, 2007), with the fitted models fixed. Maps used 10° bins supported by at least 50 training residues from at least 20 training PDB entries; observed bin means were residue-weighted. Residue categories were Gly, Pro, Ile/Val, and other; threonine belongs to the latter category in this implementation. Global gain and its interval use the unified Figure 1 summary and paired test-PDB gain table throughout. Fourier coefficient counts exclude the separately fitted intercept; ridge regularization means these counts are nominal rather than effective degrees of freedom. The five disjoint regions are αR core, φ ∈ [−75°, −45°), ψ ∈ [−60°, −20°); αR outer, [−90°, −30°) × [−80°, 20°) excluding the core; β box, φ ∈ [−180°, −90°), ψ ∈ [90°, 180°) or [−180°, −150°); Positive φ, φ ∈ [60°, 110°) at any ψ; and Other, all remaining observations.</w:t>
      </w:r>
    </w:p>
    <w:p>
      <w:pPr>
        <w:pStyle w:val="Heading2"/>
        <w:rPr>
          <w:color w:val="auto"/>
        </w:rPr>
      </w:pPr>
      <w:r>
        <w:t>Isolated peptide and numerical checks</w:t>
      </w:r>
    </w:p>
    <w:p>
      <w:pPr>
        <w:pStyle w:val="Normal"/>
        <w:rPr>
          <w:color w:val="auto"/>
        </w:rPr>
      </w:pPr>
      <w:r>
        <w:t>ACE–ALA–NME was prepared with tleap from AmberTools (Case et al., 2023) using leaprc.protein.ff14SB (Maier et al., 2015). The archived OpenMM 8.5.2 (Eastman et al., 2024) Reference calculation used a vacuum system, NoCutoff nonbonded interactions, no bond constraints, and no center-of-mass removal. Each target torsion was restrained by k[1 − cos(θ − θtarget)] with k = 100,000 kJ/mol and angular differences in radians. τ was not directly restrained. The 22-atom model used the archived φ, ψ, and τ definitions and assigned topology throughout all comparisons.</w:t>
      </w:r>
    </w:p>
    <w:p>
      <w:pPr>
        <w:pStyle w:val="Normal"/>
        <w:rPr>
          <w:color w:val="auto"/>
        </w:rPr>
      </w:pPr>
      <w:r>
        <w:t>The numerical protocol used successive minimization tolerances of 0.05 and 0.005, with up to 100,000 iterations. Endpoint criteria required force-component RMS ≤0.01 kJ mol⁻¹ nm⁻¹ and target-torsion error ≤0.05°. Multiple starts assessed reproducibility. Repulsion perturbations modified only the r⁻¹² coefficients for the 15 listed ordinary heavy-atom pairs; their r⁻⁶ attraction, hydrogen-involving terms, and force-field exceptions were preserved. Fractions removed were 0, 0.10, 0.25, 0.50, 0.75, and 1.00. Complete-removal estimates were withheld after endpoint failures.</w:t>
      </w:r>
    </w:p>
    <w:p>
      <w:pPr>
        <w:pStyle w:val="Heading2"/>
        <w:rPr>
          <w:color w:val="auto"/>
        </w:rPr>
      </w:pPr>
      <w:r>
        <w:t>Finite contrasts and sampling matching</w:t>
      </w:r>
    </w:p>
    <w:p>
      <w:pPr>
        <w:pStyle w:val="Normal"/>
        <w:rPr>
          <w:color w:val="auto"/>
        </w:rPr>
      </w:pPr>
      <w:r>
        <w:t>For a center (φ0, ψ0), corner signs specify φ0 ±10° and ψ0 ±10°, with φ indexed first. C = (τ++ − τ+− − τ−+ + τ−−)/4. The normalization expresses the contrast in degrees and is not a division by angular step sizes. Any response separable as f(φ) + g(ψ) has zero corner contrast at exact corner values. For observed window averages, differences in within-window sampling can affect the contrast; matching the model to the same observations explicitly accounts for that sampling.</w:t>
      </w:r>
    </w:p>
    <w:p>
      <w:pPr>
        <w:pStyle w:val="Normal"/>
        <w:rPr>
          <w:color w:val="auto"/>
        </w:rPr>
      </w:pPr>
      <w:r>
        <w:t>The peptide–protein contrast comparison was restricted to alanine residues. It used half-open ±5° windows around the four corners. Each window had a 5 × 5 model grid at 2.5° spacing. Each original corner window required at least 50 alanine residues from at least 20 PDB entries. Bilinear interpolation supplied predicted τ at the observed residue coordinates. Within each corner, observed and model values were averaged per PDB, and the PDB means were averaged equally. The residual was the observed contrast minus the matched-model contrast. PDB bootstrap resampling preserved the observed–predicted pairing. Reported primary residual intervals use the archived robustness return, which also supplies the plotted resolution and software strata. Midpoint tests assessed interpolation locally and are not global interpolation-error bounds.</w:t>
      </w:r>
    </w:p>
    <w:p>
      <w:pPr>
        <w:pStyle w:val="Heading2"/>
        <w:rPr>
          <w:color w:val="auto"/>
        </w:rPr>
      </w:pPr>
      <w:r>
        <w:t>Sensitivity analyses</w:t>
      </w:r>
    </w:p>
    <w:p>
      <w:pPr>
        <w:pStyle w:val="Normal"/>
        <w:rPr>
          <w:color w:val="auto"/>
        </w:rPr>
      </w:pPr>
      <w:r>
        <w:t>The same model and matching definitions were evaluated for resolution ≤1.5 Å versus &gt;1.5–2.0 Å, PHENIX versus REFMAC metadata subsets (Liebschner et al., 2019; Murshudov et al., 2011), and ±3° versus ±5° windows. Global gain checks used the frozen full-cohort predictors within metadata subsets. Separate homology-cluster and alanine-only checks repeated their archived model-selection procedures; they were not replacements for the primary fit. The historical cluster map covered all 7,938 atlas chains and contained 7,904 groups based on the recorded MMseqs2 (Steinegger and Söding, 2017) 30% identity and 80% coverage clustering. Additional paired-environment analyses are documented separately in the Supplement and do not share the primary atlas cohort.</w:t>
      </w:r>
    </w:p>
    <w:p>
      <w:pPr>
        <w:pStyle w:val="Heading1"/>
        <w:rPr>
          <w:color w:val="auto"/>
        </w:rPr>
      </w:pPr>
      <w:r>
        <w:t>Data and code availability</w:t>
      </w:r>
    </w:p>
    <w:p>
      <w:pPr>
        <w:pStyle w:val="Normal"/>
        <w:rPr>
          <w:color w:val="auto"/>
        </w:rPr>
      </w:pPr>
      <w:r>
        <w:t>The accompanying supporting archive contains numerical return records, model and matching definitions, per-PDB means, figure-generating code, summary tables, and input hashes. The primary atlas is identified by its filename and SHA-256 checksum in Methods. Public deposition details must be supplied with the final submission.</w:t>
      </w:r>
    </w:p>
    <w:p>
      <w:pPr>
        <w:pStyle w:val="Heading1"/>
        <w:rPr>
          <w:color w:val="auto"/>
        </w:rPr>
      </w:pPr>
      <w:r>
        <w:t>References</w:t>
      </w:r>
    </w:p>
    <w:p>
      <w:pPr>
        <w:pStyle w:val="Normal"/>
        <w:rPr>
          <w:color w:val="auto"/>
        </w:rPr>
      </w:pPr>
      <w:r>
        <w:t>Ramachandran GN, Ramakrishnan C, Sasisekharan V. Stereochemistry of polypeptide chain configurations. Journal of Molecular Biology. 1963;7:95–99. doi:10.1016/S0022-2836(63)80023-6.</w:t>
      </w:r>
    </w:p>
    <w:p>
      <w:pPr>
        <w:pStyle w:val="Normal"/>
        <w:rPr>
          <w:color w:val="auto"/>
        </w:rPr>
      </w:pPr>
      <w:r>
        <w:t>Karplus PA. Experimentally observed conformation-dependent geometry and hidden strain in proteins. Protein Science. 1996;5:1406–1420. doi:10.1002/pro.5560050719.</w:t>
      </w:r>
    </w:p>
    <w:p>
      <w:pPr>
        <w:pStyle w:val="Normal"/>
        <w:rPr>
          <w:color w:val="auto"/>
        </w:rPr>
      </w:pPr>
      <w:r>
        <w:t>Berkholz DS, Shapovalov MV, Dunbrack RL Jr, Karplus PA. Conformation dependence of backbone geometry in proteins. Structure. 2009;17:1316–1325. doi:10.1016/j.str.2009.08.012.</w:t>
      </w:r>
    </w:p>
    <w:p>
      <w:pPr>
        <w:pStyle w:val="Normal"/>
        <w:rPr>
          <w:color w:val="auto"/>
        </w:rPr>
      </w:pPr>
      <w:r>
        <w:t>Tronrud DE, Berkholz DS, Karplus PA. Using a conformation-dependent stereochemical library improves crystallographic refinement of proteins. Acta Crystallographica D Biological Crystallography. 2010;66:834–842. doi:10.1107/S0907444910019207.</w:t>
      </w:r>
    </w:p>
    <w:p>
      <w:pPr>
        <w:pStyle w:val="Normal"/>
        <w:rPr>
          <w:color w:val="auto"/>
        </w:rPr>
      </w:pPr>
      <w:r>
        <w:t>Moriarty NW, Tronrud DE, Adams PD, Karplus PA. A new default restraint library for the protein backbone in Phenix: a conformation-dependent geometry goes mainstream. Acta Crystallographica D Structural Biology. 2016;72:176–179. doi:10.1107/S2059798315022408.</w:t>
      </w:r>
    </w:p>
    <w:p>
      <w:pPr>
        <w:pStyle w:val="Normal"/>
        <w:rPr>
          <w:color w:val="auto"/>
        </w:rPr>
      </w:pPr>
      <w:r>
        <w:t>Improta R, Vitagliano L, Esposito L. The determinants of bond angle variability in protein/peptide backbones: A comprehensive statistical/quantum mechanics analysis. Proteins. 2015;83:1973–1986. doi:10.1002/prot.24876.</w:t>
      </w:r>
    </w:p>
    <w:p>
      <w:pPr>
        <w:pStyle w:val="Normal"/>
        <w:rPr>
          <w:color w:val="auto"/>
        </w:rPr>
      </w:pPr>
      <w:r>
        <w:t>MacKerell AD Jr, Feig M, Brooks CL III. Improved treatment of the protein backbone in empirical force fields. Journal of the American Chemical Society. 2004;126:698–699. doi:10.1021/ja036959e.</w:t>
      </w:r>
    </w:p>
    <w:p>
      <w:pPr>
        <w:pStyle w:val="Normal"/>
        <w:rPr>
          <w:color w:val="auto"/>
        </w:rPr>
      </w:pPr>
      <w:r>
        <w:t>Maier JA, Martinez C, Kasavajhala K, Wickstrom L, Hauser KE, Simmerling C. ff14SB: Improving the Accuracy of Protein Side Chain and Backbone Parameters from ff99SB. Journal of Chemical Theory and Computation. 2015;11:3696–3713. doi:10.1021/acs.jctc.5b00255.</w:t>
      </w:r>
    </w:p>
    <w:p>
      <w:pPr>
        <w:pStyle w:val="Normal"/>
        <w:rPr>
          <w:color w:val="auto"/>
        </w:rPr>
      </w:pPr>
      <w:r>
        <w:t>Balasco N, Esposito L, Vitagliano L. Interplay between peptide bond geometry and local conformation: molecular dynamics analyses. PeerJ Preprints. 2016;4:e1628v1. doi:10.7287/peerj.preprints.1628v1. [Preprint; not peer reviewed.]</w:t>
      </w:r>
    </w:p>
    <w:p>
      <w:pPr>
        <w:pStyle w:val="Normal"/>
        <w:rPr>
          <w:color w:val="auto"/>
        </w:rPr>
      </w:pPr>
      <w:r>
        <w:t>Bartlett GJ, Choudhary A, Raines RT, Woolfson DN. n→π* interactions in proteins. Nature Chemical Biology. 2010;6:615–620. doi:10.1038/nchembio.406.</w:t>
      </w:r>
    </w:p>
    <w:p>
      <w:pPr>
        <w:pStyle w:val="Normal"/>
        <w:rPr>
          <w:color w:val="auto"/>
        </w:rPr>
      </w:pPr>
      <w:r>
        <w:t>Berman HM, Westbrook J, Feng Z, Gilliland G, Bhat TN, Weissig H, Shindyalov IN, Bourne PE. The Protein Data Bank. Nucleic Acids Research. 2000;28:235–242. doi:10.1093/nar/28.1.235.</w:t>
      </w:r>
    </w:p>
    <w:p>
      <w:pPr>
        <w:pStyle w:val="Normal"/>
        <w:rPr>
          <w:color w:val="auto"/>
        </w:rPr>
      </w:pPr>
      <w:r>
        <w:t>Case DA, Aktulga HM, Belfon K, Cerutti DS, Cisneros GA, et al. AmberTools. Journal of Chemical Information and Modeling. 2023;63:6183–6191. doi:10.1021/acs.jcim.3c01153.</w:t>
      </w:r>
    </w:p>
    <w:p>
      <w:pPr>
        <w:pStyle w:val="Normal"/>
        <w:rPr>
          <w:color w:val="auto"/>
        </w:rPr>
      </w:pPr>
      <w:r>
        <w:t>Eastman P, Galvelis R, Peláez RP, Abreu CRA, Farr SE, et al. OpenMM 8: molecular dynamics simulation with machine learning potentials. Journal of Physical Chemistry B. 2024;128:109–116. doi:10.1021/acs.jpcb.3c06662.</w:t>
      </w:r>
    </w:p>
    <w:p>
      <w:pPr>
        <w:pStyle w:val="Normal"/>
        <w:rPr>
          <w:color w:val="auto"/>
        </w:rPr>
      </w:pPr>
      <w:r>
        <w:t>Efron B, Tibshirani RJ. An Introduction to the Bootstrap. New York: Chapman &amp; Hall; 1993.</w:t>
      </w:r>
    </w:p>
    <w:p>
      <w:pPr>
        <w:pStyle w:val="Normal"/>
        <w:rPr>
          <w:color w:val="auto"/>
        </w:rPr>
      </w:pPr>
      <w:r>
        <w:t>Engh RA, Huber R. Accurate bond and angle parameters for X-ray protein structure refinement. Acta Crystallographica A. 1991;47:392–400. doi:10.1107/S0108767391001071.</w:t>
      </w:r>
    </w:p>
    <w:p>
      <w:pPr>
        <w:pStyle w:val="Normal"/>
        <w:rPr>
          <w:color w:val="auto"/>
        </w:rPr>
      </w:pPr>
      <w:r>
        <w:t>Esposito L, Vitagliano L, Sica F, Sorrentino G, Zagari A, Mazzarella L. The ultrahigh resolution crystal structure of ribonuclease A containing an isoaspartyl residue: hydration and stereochemical analysis. Journal of Molecular Biology. 2000;297:713–732. doi:10.1006/jmbi.2000.3597.</w:t>
      </w:r>
    </w:p>
    <w:p>
      <w:pPr>
        <w:pStyle w:val="Normal"/>
        <w:rPr>
          <w:color w:val="auto"/>
        </w:rPr>
      </w:pPr>
      <w:r>
        <w:t>Field CA, Welsh AH. Bootstrapping clustered data. Journal of the Royal Statistical Society Series B. 2007;69:369–390. doi:10.1111/j.1467-9868.2007.00593.x.</w:t>
      </w:r>
    </w:p>
    <w:p>
      <w:pPr>
        <w:pStyle w:val="Normal"/>
        <w:rPr>
          <w:color w:val="auto"/>
        </w:rPr>
      </w:pPr>
      <w:r>
        <w:t>Hoerl AE, Kennard RW. Ridge regression: biased estimation for nonorthogonal problems. Technometrics. 1970;12:55–67. doi:10.1080/00401706.1970.10488634.</w:t>
      </w:r>
    </w:p>
    <w:p>
      <w:pPr>
        <w:pStyle w:val="Normal"/>
        <w:rPr>
          <w:color w:val="auto"/>
        </w:rPr>
      </w:pPr>
      <w:r>
        <w:t>Huang J, Rauscher S, Nawrocki G, Ran T, Feig M, de Groot BL, Grubmüller H, MacKerell AD Jr. CHARMM36m: an improved force field for folded and intrinsically disordered proteins. Nature Methods. 2017;14:71–73. doi:10.1038/nmeth.4067.</w:t>
      </w:r>
    </w:p>
    <w:p>
      <w:pPr>
        <w:pStyle w:val="Normal"/>
        <w:rPr>
          <w:color w:val="auto"/>
        </w:rPr>
      </w:pPr>
      <w:r>
        <w:t>Improta R, Vitagliano L, Esposito L. Peptide bond distortions from planarity: new insights from quantum mechanical calculations and peptide/protein crystal structures. PLoS ONE. 2011;6:e24533. doi:10.1371/journal.pone.0024533.</w:t>
      </w:r>
    </w:p>
    <w:p>
      <w:pPr>
        <w:pStyle w:val="Normal"/>
        <w:rPr>
          <w:color w:val="auto"/>
        </w:rPr>
      </w:pPr>
      <w:r>
        <w:t>Liebschner D, Afonine PV, Baker ML, Bunkóczi G, Chen VB, et al. Macromolecular structure determination using X-rays, neutrons and electrons: recent developments in Phenix. Acta Crystallographica D Structural Biology. 2019;75:861–877. doi:10.1107/S2059798319011471.</w:t>
      </w:r>
    </w:p>
    <w:p>
      <w:pPr>
        <w:pStyle w:val="Normal"/>
        <w:rPr>
          <w:color w:val="auto"/>
        </w:rPr>
      </w:pPr>
      <w:r>
        <w:t>MacArthur MW, Thornton JM. Influence of proline residues on protein conformation. Journal of Molecular Biology. 1991;218:397–412. doi:10.1016/0022-2836(91)90721-H.</w:t>
      </w:r>
    </w:p>
    <w:p>
      <w:pPr>
        <w:pStyle w:val="Normal"/>
        <w:rPr>
          <w:color w:val="auto"/>
        </w:rPr>
      </w:pPr>
      <w:r>
        <w:t>Moriarty NW, Tronrud DE, Adams PD, Karplus PA. Conformation-dependent backbone geometry restraints set a new standard for protein crystallographic refinement. FEBS Journal. 2014;281:4061–4071. doi:10.1111/febs.12860.</w:t>
      </w:r>
    </w:p>
    <w:p>
      <w:pPr>
        <w:pStyle w:val="Normal"/>
        <w:rPr>
          <w:color w:val="auto"/>
        </w:rPr>
      </w:pPr>
      <w:r>
        <w:t>Murshudov GN, Skubák P, Lebedev AA, Pannu NS, Steiner RA, Nicholls RA, Winn MD, Long F, Vagin AA. REFMAC5 for the refinement of macromolecular crystal structures. Acta Crystallographica D Biological Crystallography. 2011;67:355–367. doi:10.1107/S0907444911001314.</w:t>
      </w:r>
    </w:p>
    <w:p>
      <w:pPr>
        <w:pStyle w:val="Normal"/>
        <w:rPr>
          <w:color w:val="auto"/>
        </w:rPr>
      </w:pPr>
      <w:r>
        <w:t>Newberry RW, Raines RT. The n→π* interaction. Accounts of Chemical Research. 2017;50:1838–1846. doi:10.1021/acs.accounts.7b00121.</w:t>
      </w:r>
    </w:p>
    <w:p>
      <w:pPr>
        <w:pStyle w:val="Normal"/>
        <w:rPr>
          <w:color w:val="auto"/>
        </w:rPr>
      </w:pPr>
      <w:r>
        <w:t>Shi Z, Olson CA, Rose GD, Baldwin RL, Kallenbach NR. Polyproline II structure in a sequence of seven alanine residues. Proceedings of the National Academy of Sciences USA. 2002;99:9190–9195. doi:10.1073/pnas.112193999.</w:t>
      </w:r>
    </w:p>
    <w:p>
      <w:pPr>
        <w:pStyle w:val="Normal"/>
        <w:rPr>
          <w:color w:val="auto"/>
        </w:rPr>
      </w:pPr>
      <w:r>
        <w:t>Steinegger M, Söding J. MMseqs2 enables sensitive protein sequence searching for the analysis of massive data sets. Nature Biotechnology. 2017;35:1026–1028. doi:10.1038/nbt.3988.</w:t>
      </w:r>
    </w:p>
    <w:p>
      <w:pPr>
        <w:pStyle w:val="Normal"/>
        <w:rPr>
          <w:color w:val="auto"/>
        </w:rPr>
      </w:pPr>
      <w:r>
        <w:t>Tian C, Kasavajhala K, Belfon KAA, Raguette L, Huang H, Migues AN, Bickel J, Wang Y, Pincay J, Wu Q, Simmerling C. ff19SB: amino-acid-specific protein backbone parameters trained against quantum mechanics energy surfaces in solution. Journal of Chemical Theory and Computation. 2020;16:528–552. doi:10.1021/acs.jctc.9b00591.</w:t>
      </w:r>
    </w:p>
    <w:p>
      <w:pPr>
        <w:pStyle w:val="Normal"/>
        <w:rPr>
          <w:color w:val="auto"/>
        </w:rPr>
      </w:pPr>
      <w:r>
        <w:t>Wang G, Dunbrack RL Jr. PISCES: a protein sequence culling server. Bioinformatics. 2003;19:1589–1591. doi:10.1093/bioinformatics/btg224.</w:t>
      </w:r>
    </w:p>
    <w:p>
      <w:r>
        <w:t>Jiang Z, Biczysko M, Moriarty NW. Accurate geometries for “Mountain pass” regions of the Ramachandran plot using quantum chemical calculations. Proteins. 2018;86:273–278. doi:10.1002/prot.25451.</w:t>
      </w:r>
    </w:p>
    <w:p>
      <w:pPr>
        <w:pStyle w:val="Heading1"/>
        <w:rPr>
          <w:color w:val="auto"/>
        </w:rPr>
      </w:pPr>
      <w:r>
        <w:t>Figure captions</w:t>
      </w:r>
    </w:p>
    <w:p>
      <w:pPr>
        <w:pStyle w:val="Normal"/>
        <w:rPr>
          <w:color w:val="auto"/>
        </w:rPr>
      </w:pPr>
      <w:r>
        <w:t>Figure 1. Conformation-dependent backbone geometry and held-out prediction. A, Backbone geometry schematic. B, Atlas and PDB partition. C, Mean τ and density contours. D1–D3, Additive, joint, and joint-minus-additive maps on common supported cells. D3 uses a ±2° color scale; open circles mark saturated cells and colorbar extensions indicate clipping. E, Paired per-PDB additive-minus-joint MSE distribution; positive values favor the joint model. The orange line marks the equal-PDB mean gain, 0.1061 deg² (3.24%), and shading marks its conditional 95% bootstrap interval, 0.0991–0.1132 deg². The interval describes uncertainty in the mean, not between-PDB variation. F, Validation MSE versus Fourier coefficient count, excluding the intercept; each point uses the lowest validation error among tested ridge penalties. Joint K = 2 has 24 coefficients and validation MSE 3.215 deg² versus 3.227 deg² for the best additive fit. G and H, Regional and residue-group gains with conditional 95% PDB-bootstrap intervals.</w:t>
      </w:r>
    </w:p>
    <w:p>
      <w:pPr>
        <w:pStyle w:val="Normal"/>
        <w:rPr>
          <w:color w:val="auto"/>
        </w:rPr>
      </w:pPr>
      <w:r>
        <w:t>Figure 2. The isolated peptide potential generates a mixed geometric response. A, ACE–ALA–NME model and three conformational centers. B, Four-corner finite contrast at ±10°; signs index φ first and ψ second. C, Minimized peptide contrasts: α, +0.1315°; β, +0.0214°; PPII, +0.0108°. D, Contrasts after selective reduction of repulsion for the 15 listed heavy-atom pairs. At 75% removal, contrasts are +0.0647°, +0.0233°, and −0.0036°, respectively. All terms outside the specified perturbation are preserved. Curves stop at 75% removal; complete removal failed three endpoint checks. Numerical precision, interpolation checks, and the pair list are supplied in Fig. S1 and Table S1.</w:t>
      </w:r>
    </w:p>
    <w:p>
      <w:pPr>
        <w:pStyle w:val="Normal"/>
        <w:rPr>
          <w:color w:val="auto"/>
        </w:rPr>
      </w:pPr>
      <w:r>
        <w:t>Figure 3. Sampling matching preserves the α and PPII peptide–protein discrepancies. A, Evaluation of the local model at observed alanine φ/ψ values within each corner window, followed by equal-PDB averaging. B, Protein versus matched-model contrasts: α, −0.0697° versus +0.0788°; PPII, −0.1913° versus −0.0101°; β, −0.0189° versus +0.0189°. C, Protein-minus-model residuals with conditional 95% PDB-bootstrap intervals: α, −0.1485° [−0.2014, −0.0950]; PPII, −0.1812° [−0.2468, −0.1173]; β, −0.0378° [−0.1305, +0.0541]. D and E, α and PPII residuals across resolution, refinement-software metadata, and window-width sensitivities; full estimates appear in Table S2. F, Model contrasts at corner centers versus actual sampling; matching changes the PPII contrast from +0.0108° to −0.0101°. The ±5° window is the primary analysis and is plotted once. The β residual interval includes zero.</w:t>
      </w:r>
    </w:p>
    <w:p>
      <w:pPr>
        <w:pStyle w:val="Normal"/>
        <w:rPr>
          <w:color w:val="auto"/>
        </w:rPr>
      </w:pPr>
      <w:r>
        <w:rPr>
          <w:color w:val="auto"/>
        </w:rPr>
      </w:r>
      <w:r>
        <w:br w:type="page"/>
      </w:r>
    </w:p>
    <w:p>
      <w:pPr>
        <w:pStyle w:val="Normal"/>
        <w:spacing w:before="0" w:after="140"/>
        <w:rPr>
          <w:color w:val="auto"/>
        </w:rPr>
      </w:pPr>
      <w:r>
        <w:rPr>
          <w:color w:val="auto"/>
        </w:rPr>
        <w:drawing>
          <wp:inline distT="0" distB="0" distL="0" distR="0">
            <wp:extent cx="6217920" cy="70148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217920" cy="7014845"/>
                    </a:xfrm>
                    <a:prstGeom prst="rect">
                      <a:avLst/>
                    </a:prstGeom>
                    <a:noFill/>
                  </pic:spPr>
                </pic:pic>
              </a:graphicData>
            </a:graphic>
          </wp:inline>
        </w:drawing>
      </w:r>
    </w:p>
    <w:p>
      <w:pPr>
        <w:pStyle w:val="Normal"/>
        <w:rPr>
          <w:color w:val="auto"/>
        </w:rPr>
      </w:pPr>
      <w:r>
        <w:rPr>
          <w:color w:val="auto"/>
        </w:rPr>
      </w:r>
      <w:r>
        <w:br w:type="page"/>
      </w:r>
    </w:p>
    <w:p>
      <w:pPr>
        <w:pStyle w:val="Normal"/>
        <w:spacing w:before="0" w:after="140"/>
        <w:rPr>
          <w:color w:val="auto"/>
        </w:rPr>
      </w:pPr>
      <w:r>
        <w:rPr>
          <w:color w:val="auto"/>
        </w:rPr>
        <w:drawing>
          <wp:inline distT="0" distB="0" distL="0" distR="0">
            <wp:extent cx="6217920" cy="4559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6217920" cy="4559300"/>
                    </a:xfrm>
                    <a:prstGeom prst="rect">
                      <a:avLst/>
                    </a:prstGeom>
                    <a:noFill/>
                  </pic:spPr>
                </pic:pic>
              </a:graphicData>
            </a:graphic>
          </wp:inline>
        </w:drawing>
      </w:r>
    </w:p>
    <w:p>
      <w:pPr>
        <w:pStyle w:val="Normal"/>
        <w:rPr>
          <w:color w:val="auto"/>
        </w:rPr>
      </w:pPr>
      <w:r>
        <w:rPr>
          <w:color w:val="auto"/>
        </w:rPr>
      </w:r>
      <w:r>
        <w:br w:type="page"/>
      </w:r>
    </w:p>
    <w:p>
      <w:pPr>
        <w:pStyle w:val="Normal"/>
        <w:spacing w:before="0" w:after="140"/>
        <w:rPr>
          <w:color w:val="auto"/>
        </w:rPr>
      </w:pPr>
      <w:r>
        <w:rPr>
          <w:color w:val="auto"/>
        </w:rPr>
        <w:drawing>
          <wp:inline distT="0" distB="0" distL="0" distR="0">
            <wp:extent cx="6217920" cy="3460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6217920" cy="3460750"/>
                    </a:xfrm>
                    <a:prstGeom prst="rect">
                      <a:avLst/>
                    </a:prstGeom>
                    <a:noFill/>
                  </pic:spPr>
                </pic:pic>
              </a:graphicData>
            </a:graphic>
          </wp:inline>
        </w:drawing>
      </w:r>
    </w:p>
    <w:sectPr>
      <w:type w:val="nextPage"/>
      <w:pgSz w:w="12240" w:h="15840"/>
      <w:pgMar w:left="1152" w:right="1152"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69" w:before="0" w:after="140"/>
      <w:jc w:val="start"/>
    </w:pPr>
    <w:rPr>
      <w:rFonts w:ascii="Times New Roman" w:hAnsi="Times New Roman"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b/>
      <w:bCs/>
      <w:color w:themeColor="accent1" w:val="4F81BD"/>
      <w:sz w:val="26"/>
      <w:szCs w:val="26"/>
    </w:rPr>
  </w:style>
  <w:style w:type="character" w:styleId="Heading3Char" w:customStyle="1">
    <w:name w:val="Heading 3 Char"/>
    <w:basedOn w:val="DefaultParagraphFont"/>
    <w:link w:val="Heading3"/>
    <w:uiPriority w:val="9"/>
    <w:qFormat/>
    <w:rsid w:val="00fc693f"/>
    <w:rPr>
      <w:b/>
      <w:bCs/>
      <w:color w:themeColor="accent1" w:val="4F81BD"/>
    </w:rPr>
  </w:style>
  <w:style w:type="character" w:styleId="TitleChar" w:customStyle="1">
    <w:name w:val="Title Char"/>
    <w:basedOn w:val="DefaultParagraphFont"/>
    <w:link w:val="Title"/>
    <w:uiPriority w:val="10"/>
    <w:qFormat/>
    <w:rsid w:val="00fc693f"/>
    <w:rPr>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b/>
      <w:bCs/>
      <w:i/>
      <w:iCs/>
      <w:color w:themeColor="accent1" w:val="4F81BD"/>
    </w:rPr>
  </w:style>
  <w:style w:type="character" w:styleId="Heading5Char" w:customStyle="1">
    <w:name w:val="Heading 5 Char"/>
    <w:basedOn w:val="DefaultParagraphFont"/>
    <w:link w:val="Heading5"/>
    <w:uiPriority w:val="9"/>
    <w:semiHidden/>
    <w:qFormat/>
    <w:rsid w:val="00fc693f"/>
    <w:rPr>
      <w:color w:themeColor="accent1" w:themeShade="7f" w:val="243F60"/>
    </w:rPr>
  </w:style>
  <w:style w:type="character" w:styleId="Heading6Char" w:customStyle="1">
    <w:name w:val="Heading 6 Char"/>
    <w:basedOn w:val="DefaultParagraphFont"/>
    <w:link w:val="Heading6"/>
    <w:uiPriority w:val="9"/>
    <w:semiHidden/>
    <w:qFormat/>
    <w:rsid w:val="00fc693f"/>
    <w:rPr>
      <w:i/>
      <w:iCs/>
      <w:color w:themeColor="accent1" w:themeShade="7f" w:val="243F60"/>
    </w:rPr>
  </w:style>
  <w:style w:type="character" w:styleId="Heading7Char" w:customStyle="1">
    <w:name w:val="Heading 7 Char"/>
    <w:basedOn w:val="DefaultParagraphFont"/>
    <w:link w:val="Heading7"/>
    <w:uiPriority w:val="9"/>
    <w:semiHidden/>
    <w:qFormat/>
    <w:rsid w:val="00fc693f"/>
    <w:rPr>
      <w:i/>
      <w:iCs/>
      <w:color w:themeColor="text1" w:themeTint="bf" w:val="404040"/>
    </w:rPr>
  </w:style>
  <w:style w:type="character" w:styleId="Heading8Char" w:customStyle="1">
    <w:name w:val="Heading 8 Char"/>
    <w:basedOn w:val="DefaultParagraphFont"/>
    <w:link w:val="Heading8"/>
    <w:uiPriority w:val="9"/>
    <w:semiHidden/>
    <w:qFormat/>
    <w:rsid w:val="00fc693f"/>
    <w:rPr>
      <w:color w:themeColor="accent1" w:val="4F81BD"/>
      <w:sz w:val="20"/>
      <w:szCs w:val="20"/>
    </w:rPr>
  </w:style>
  <w:style w:type="character" w:styleId="Heading9Char" w:customStyle="1">
    <w:name w:val="Heading 9 Char"/>
    <w:basedOn w:val="DefaultParagraphFont"/>
    <w:link w:val="Heading9"/>
    <w:uiPriority w:val="9"/>
    <w:semiHidden/>
    <w:qFormat/>
    <w:rsid w:val="00fc693f"/>
    <w:rPr>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300"/>
      <w:contextualSpacing/>
    </w:pPr>
    <w:rPr>
      <w:rFonts w:ascii="Times New Roman" w:hAnsi="Times New Roman"/>
      <w:color w:val="000000"/>
      <w:spacing w:val="5"/>
      <w:kern w:val="2"/>
      <w:sz w:val="38"/>
      <w:szCs w:val="52"/>
    </w:rPr>
  </w:style>
  <w:style w:type="paragraph" w:styleId="Subtitle">
    <w:name w:val="Subtitle"/>
    <w:basedOn w:val="Normal"/>
    <w:next w:val="Normal"/>
    <w:link w:val="SubtitleChar"/>
    <w:uiPriority w:val="11"/>
    <w:qFormat/>
    <w:rsid w:val="00fc693f"/>
    <w:pPr/>
    <w:rPr>
      <w:i/>
      <w:iCs/>
      <w:color w:themeColor="accent1" w:val="4F81BD"/>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40"/>
      <w:ind w:hanging="360" w:start="720"/>
      <w:contextualSpacing/>
    </w:pPr>
    <w:rPr/>
  </w:style>
  <w:style w:type="paragraph" w:styleId="List3">
    <w:name w:val="List 3"/>
    <w:basedOn w:val="Normal"/>
    <w:uiPriority w:val="99"/>
    <w:unhideWhenUsed/>
    <w:qFormat/>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b/>
        <w:bCs/>
      </w:rPr>
      <w:tblPr/>
    </w:tblStylePr>
    <w:tblStylePr w:type="lastCol">
      <w:rPr>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b/>
        <w:bCs/>
      </w:rPr>
      <w:tblPr/>
    </w:tblStylePr>
    <w:tblStylePr w:type="lastCol">
      <w:rPr>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b/>
        <w:bCs/>
      </w:rPr>
      <w:tblPr/>
    </w:tblStylePr>
    <w:tblStylePr w:type="lastCol">
      <w:rPr>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b/>
        <w:bCs/>
      </w:rPr>
      <w:tblPr/>
    </w:tblStylePr>
    <w:tblStylePr w:type="lastCol">
      <w:rPr>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b/>
        <w:bCs/>
      </w:rPr>
      <w:tblPr/>
    </w:tblStylePr>
    <w:tblStylePr w:type="lastCol">
      <w:rPr>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b/>
        <w:bCs/>
      </w:rPr>
      <w:tblPr/>
    </w:tblStylePr>
    <w:tblStylePr w:type="lastCol">
      <w:rPr>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b/>
        <w:bCs/>
      </w:rPr>
      <w:tblPr/>
    </w:tblStylePr>
    <w:tblStylePr w:type="lastCol">
      <w:rPr>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Application>LibreOffice/26.2.6.3$Windows_X86_64 LibreOffice_project/8221e31b3ac356a1623c672912a3d2b492f7e3d1</Application>
  <AppVersion>15.0000</AppVersion>
  <Pages>11</Pages>
  <Words>3964</Words>
  <Characters>24247</Characters>
  <CharactersWithSpaces>28058</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dc:language>en-US</dc:language>
  <cp:lastModifiedBy/>
  <dcterms:modified xsi:type="dcterms:W3CDTF">2026-10-07T17:20:45Z</dcterms:modified>
  <cp:revision>3</cp:revision>
  <dc:subject/>
  <dc:title>An isolated peptide model and protein backbone angle coupling</dc:title>
</cp:coreProperties>
</file>

<file path=docProps/custom.xml><?xml version="1.0" encoding="utf-8"?>
<Properties xmlns="http://schemas.openxmlformats.org/officeDocument/2006/custom-properties" xmlns:vt="http://schemas.openxmlformats.org/officeDocument/2006/docPropsVTypes"/>
</file>