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 for peptide and protein backbone angle coupling</w:t>
      </w:r>
    </w:p>
    <w:p>
      <w:pPr>
        <w:pStyle w:val="Heading1"/>
      </w:pPr>
      <w:r>
        <w:t>Numerical checks and perturbation definitions</w:t>
      </w:r>
    </w:p>
    <w:p>
      <w:r>
        <w:t>The precision return records 81 of 81 passing endpoints. Maximum start-to-start τ ranges were 0.000123°, 0.000134°, and 0.000156° for α, β, and PPII. The matched grid included 300 nodes and 192 midpoint checks, with 492 of 492 minimizations passing. The maximum tested midpoint error was below 0.0047°. These checks establish numerical consistency within the assigned model, not its physical accuracy.</w:t>
      </w:r>
    </w:p>
    <w:p>
      <w:r>
        <w:t>Table S1 lists the 15 ordinary heavy-atom pairs whose r⁻¹² coefficient was scaled. Their attraction was retained. Force-field exceptions and hydrogen-involving pairs were unchanged. Complete removal passed only 78 of 81 endpoints and was excluded from the plotted contrast series.</w:t>
      </w:r>
    </w:p>
    <w:p>
      <w:pPr>
        <w:pStyle w:val="Heading2"/>
      </w:pPr>
      <w:r>
        <w:t>Table S1  Selected heavy atom repulsion 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/>
          <w:cantSplit/>
        </w:trPr>
        <w:tc>
          <w:tcPr>
            <w:tcW w:type="dxa" w:w="1419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atom_i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atom_j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sigma_nm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epsilon_kj_mol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ACE:CH3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ALA:CB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0.339967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0.457730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4.364248e-06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ACE:CH3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ALA:C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0.339967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0.405835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3.869456e-06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ACE:CH3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ALA:O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0.317980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0.634176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2.710570e-06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ACE:CH3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NME:N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0.332483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0.570591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4.165090e-06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ACE:CH3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NME:C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0.339967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0.457730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4.364248e-06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ACE:C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ALA:O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0.317980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0.562277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2.403262e-06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ACE:C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NME:N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0.332483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0.505901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3.692878e-06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ACE:C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NME:C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0.339967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0.405835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3.869456e-06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ACE:O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ALA:CB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0.317980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0.634176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2.710570e-06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ACE:O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ALA:C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0.317980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0.562277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2.403262e-06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ACE:O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ALA:O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0.295992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0.878640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1.589403e-06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ACE:O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NME:N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0.310496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0.790544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2.538974e-06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ACE:O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NME:C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0.317980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0.634176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2.710570e-06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ALA:N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NME:C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0.332483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0.570591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4.165090e-06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ALA:CB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NME:C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0.339967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0.457730</w:t>
            </w:r>
          </w:p>
        </w:tc>
        <w:tc>
          <w:tcPr>
            <w:tcW w:type="dxa" w:w="1419"/>
          </w:tcPr>
          <w:p>
            <w:r>
              <w:rPr>
                <w:sz w:val="18"/>
              </w:rPr>
              <w:t>4.364248e-06</w:t>
            </w:r>
          </w:p>
        </w:tc>
      </w:tr>
    </w:tbl>
    <w:p>
      <w:pPr>
        <w:pStyle w:val="Heading1"/>
      </w:pPr>
      <w:r>
        <w:t>Table S2  Matched residual contrasts by metadata subset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</w:tcPr>
          <w:p>
            <w:r>
              <w:rPr>
                <w:sz w:val="18"/>
              </w:rPr>
              <w:t>Subset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Residual °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95% interval °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-0.1485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[-0.2014, -0.0950]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-0.0378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[-0.1305, 0.0541]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ppii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-0.1812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[-0.2468, -0.1173]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resolution:&lt;=1.5A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-0.1715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[-0.2535, -0.0837]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resolution:&lt;=1.5A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-0.0556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[-0.1753, 0.0764]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resolution:&lt;=1.5A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ppii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-0.1722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[-0.2618, -0.0874]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resolution:&gt;1.5-2.0A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-0.1346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[-0.2039, -0.0671]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resolution:&gt;1.5-2.0A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-0.0261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[-0.1556, 0.1118]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resolution:&gt;1.5-2.0A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ppii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-0.1908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[-0.2803, -0.0950]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software:PHENIX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-0.2131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[-0.2887, -0.1400]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software:PHENIX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-0.0760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[-0.1858, 0.0374]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software:PHENIX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ppii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-0.2206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[-0.2971, -0.1505]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software:REFMAC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-0.1348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[-0.2084, -0.0632]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software:REFMAC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-0.0245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[-0.1590, 0.1132]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software:REFMAC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ppii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-0.1824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[-0.2750, -0.0896]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Window ±3°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-0.2016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[-0.3116, -0.0823]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Window ±3°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0.0209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[-0.1303, 0.1748]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Window ±3°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ppii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-0.1263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[-0.2305, -0.0130]</w:t>
            </w:r>
          </w:p>
        </w:tc>
      </w:tr>
    </w:tbl>
    <w:p>
      <w:r>
        <w:t>Primary intervals use the ALL rows of the metadata sensitivity return. They share point estimates with the original matched return; small interval differences between historical returns reflect bootstrap draws. The main text and Fig. 3 use the same sensitivity return throughout.</w:t>
      </w:r>
    </w:p>
    <w:p>
      <w:pPr>
        <w:pStyle w:val="Heading1"/>
      </w:pPr>
      <w:r>
        <w:t>Table S3  Held out predictive gain sensitivities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</w:tcPr>
          <w:p>
            <w:r>
              <w:rPr>
                <w:sz w:val="18"/>
              </w:rPr>
              <w:t>Analysis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Test PDBs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Gain deg²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95% interval deg²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≤1.5 Å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688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0.1126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[0.1023, 0.1223]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&gt;1.5–2.0 Å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0.101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[0.0905, 0.1118]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PHENIX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643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0.0968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[0.0864, 0.1073]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REFMAC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711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0.0946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[0.0843, 0.1046]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Historical cluster split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1586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0.0995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[0.0930, 0.1059]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sz w:val="18"/>
              </w:rPr>
              <w:t>Alanine only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1570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[0.0262, 0.0740]</w:t>
            </w:r>
          </w:p>
        </w:tc>
      </w:tr>
    </w:tbl>
    <w:p>
      <w:r>
        <w:t>Subset gain estimates apply the full-cohort frozen models. The historical cluster and alanine-only rows use separately selected fits. The cluster-map coverage check passed for all atlas chains; sequence/extraction provenance and remote homology remain relevant limitations. Software labels do not establish restraint-library provenance.</w:t>
      </w:r>
    </w:p>
    <w:p>
      <w:pPr>
        <w:pStyle w:val="Heading1"/>
      </w:pPr>
      <w:r>
        <w:t>Paired environment audit in a separate cohort</w:t>
      </w:r>
    </w:p>
    <w:p>
      <w:r>
        <w:t>The paired apo/holo audit processed 10,928 targets, audited 10,906, and rejected 22 without pair-level errors. The 18 strict side-chain-switch sites span 15 proteins, with mapped distances crossing between ≤3.5 Å and ≥4.5 Å. Ten sites show larger τ with the contact present and eight show smaller τ, with no resolved directional shift at the protein level (Fig. S2). The complete site table is supplied as Table_S4_sidechain_switches.csv. This cohort is distinct from the alternate-state screen of 45,857 matched pairs and must not be treated as its final funnel stage.</w:t>
      </w:r>
    </w:p>
    <w:p>
      <w:r>
        <w:t>Mapped-distance-stable and changed sites showed broadly similar median |Δτ|, with the changed group slightly larger (Fig. S2). These unmatched groups have different residue and quality distributions. Only 19 sites met the stricter clean-stable descriptor. The clean descriptor excludes specified observed nearby unmatched or unresolved protein atoms and water/hetero components; it is not density or interaction validation.</w:t>
      </w:r>
    </w:p>
    <w:p>
      <w:r>
        <w:t>Distal displacement was positively associated with |Δτ| both across sites and across per-protein medians (Fig. S2). The latter is a correlation of protein medians, not a median of within-protein correlations. Distal Cα partners are &gt;8 Å away in both structures; displacement is measured in a target local frame excluding target C. Domain movement, frame changes, shared state, and coordinate quality may contribute. The association does not identify force transmission.</w:t>
      </w:r>
    </w:p>
    <w:p>
      <w:pPr>
        <w:pStyle w:val="Heading1"/>
      </w:pPr>
      <w:r>
        <w:t>Additional mechanism branches</w:t>
      </w:r>
    </w:p>
    <w:p>
      <w:r>
        <w:t>Carbonyl oxygen displacement, VAL57 structural audits, packing and relaxation interventions, hydrogen-preparation checks, and SAPT/MM fragment analyses are retained as exploratory execution records; none is used to establish the main peptide–protein discrepancy or a hydrogen-bond energy mechanism.</w:t>
      </w:r>
    </w:p>
    <w:p>
      <w:r>
        <w:br w:type="page"/>
      </w:r>
    </w:p>
    <w:p>
      <w:pPr>
        <w:pStyle w:val="Heading1"/>
      </w:pPr>
      <w:r>
        <w:t>Figure S1  Numerical precision and interpolation checks</w:t>
      </w:r>
    </w:p>
    <w:p>
      <w:r>
        <w:drawing>
          <wp:inline xmlns:a="http://schemas.openxmlformats.org/drawingml/2006/main" xmlns:pic="http://schemas.openxmlformats.org/drawingml/2006/picture">
            <wp:extent cx="6217920" cy="2046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numerical_Q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46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Figure S2  Paired environment summaries</w:t>
      </w:r>
    </w:p>
    <w:p>
      <w:r>
        <w:drawing>
          <wp:inline xmlns:a="http://schemas.openxmlformats.org/drawingml/2006/main" xmlns:pic="http://schemas.openxmlformats.org/drawingml/2006/picture">
            <wp:extent cx="6217920" cy="44108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4_paired_environ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10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Paired environment numerical summaries</w:t>
      </w:r>
    </w:p>
    <w:p>
      <w:r>
        <w:t>For the 18 strict switch sites, the residue-weighted signed median is +0.0656°. The median of within-protein medians is +0.0201°, with a protein-resampling interval of −0.3579° to +0.2631°. Mapped-distance-stable sites number 7,722, with median |Δτ| = 0.4209°; changed sites number 3,184, with median |Δτ| = 0.5162°. The 19 clean-stable sites have median |Δτ| = 0.5358°. The pooled distal Spearman association is 0.2944; the correlation of per-protein medians is 0.4200 across 462 proteins. These values describe the separate paired-environment cohort.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isolated peptide model and protein backbone angle coupling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