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b/>
          <w:bCs/>
        </w:rPr>
      </w:pPr>
      <w:r>
        <w:rPr>
          <w:b/>
          <w:bCs/>
        </w:rPr>
        <w:t>Supporting Information for: Protein Backbone Mechanics III: Geometric Coupling and Bonded Strain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>
          <w:b/>
          <w:bCs/>
        </w:rPr>
        <w:t xml:space="preserve">Table S1. </w:t>
      </w:r>
      <w:r>
        <w:rPr/>
        <w:t>GAM-based coupling decomposition. ΔR²_coupling = R²(te(φ,ψ)) − R²(s(φ)+s(ψ)). 50,000-residue subsamples × 20 bootstrap iterations. All CIs exclude zero.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  <w:tblLook w:val="04a0" w:firstRow="1" w:noVBand="1" w:lastRow="0" w:firstColumn="1" w:lastColumn="0" w:noHBand="0"/>
      </w:tblPr>
      <w:tblGrid>
        <w:gridCol w:w="2000"/>
        <w:gridCol w:w="1200"/>
        <w:gridCol w:w="1200"/>
        <w:gridCol w:w="1200"/>
        <w:gridCol w:w="1200"/>
        <w:gridCol w:w="2560"/>
      </w:tblGrid>
      <w:tr>
        <w:trPr/>
        <w:tc>
          <w:tcPr>
            <w:tcW w:w="2000" w:type="dxa"/>
            <w:tcBorders>
              <w:top w:val="single" w:sz="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jc w:val="both"/>
              <w:rPr/>
            </w:pPr>
            <w:r>
              <w:rPr>
                <w:b/>
                <w:bCs/>
                <w:sz w:val="20"/>
                <w:szCs w:val="20"/>
              </w:rPr>
              <w:t>Observable</w:t>
            </w:r>
          </w:p>
        </w:tc>
        <w:tc>
          <w:tcPr>
            <w:tcW w:w="1200" w:type="dxa"/>
            <w:tcBorders>
              <w:top w:val="single" w:sz="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jc w:val="both"/>
              <w:rPr/>
            </w:pPr>
            <w:r>
              <w:rPr>
                <w:b/>
                <w:bCs/>
                <w:sz w:val="20"/>
                <w:szCs w:val="20"/>
              </w:rPr>
              <w:t>R²_add</w:t>
            </w:r>
          </w:p>
        </w:tc>
        <w:tc>
          <w:tcPr>
            <w:tcW w:w="1200" w:type="dxa"/>
            <w:tcBorders>
              <w:top w:val="single" w:sz="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jc w:val="both"/>
              <w:rPr/>
            </w:pPr>
            <w:r>
              <w:rPr>
                <w:b/>
                <w:bCs/>
                <w:sz w:val="20"/>
                <w:szCs w:val="20"/>
              </w:rPr>
              <w:t>R²_full</w:t>
            </w:r>
          </w:p>
        </w:tc>
        <w:tc>
          <w:tcPr>
            <w:tcW w:w="1200" w:type="dxa"/>
            <w:tcBorders>
              <w:top w:val="single" w:sz="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jc w:val="both"/>
              <w:rPr/>
            </w:pPr>
            <w:r>
              <w:rPr>
                <w:b/>
                <w:bCs/>
                <w:sz w:val="20"/>
                <w:szCs w:val="20"/>
              </w:rPr>
              <w:t>ΔR²_coup</w:t>
            </w:r>
          </w:p>
        </w:tc>
        <w:tc>
          <w:tcPr>
            <w:tcW w:w="1200" w:type="dxa"/>
            <w:tcBorders>
              <w:top w:val="single" w:sz="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jc w:val="both"/>
              <w:rPr/>
            </w:pPr>
            <w:r>
              <w:rPr>
                <w:b/>
                <w:bCs/>
                <w:sz w:val="20"/>
                <w:szCs w:val="20"/>
              </w:rPr>
              <w:t>p-p (°)</w:t>
            </w:r>
          </w:p>
        </w:tc>
        <w:tc>
          <w:tcPr>
            <w:tcW w:w="2560" w:type="dxa"/>
            <w:tcBorders>
              <w:top w:val="single" w:sz="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jc w:val="both"/>
              <w:rPr/>
            </w:pPr>
            <w:r>
              <w:rPr>
                <w:b/>
                <w:bCs/>
                <w:sz w:val="20"/>
                <w:szCs w:val="20"/>
              </w:rPr>
              <w:t>95% CI</w:t>
            </w:r>
          </w:p>
        </w:tc>
      </w:tr>
      <w:tr>
        <w:trPr/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20"/>
                <w:szCs w:val="20"/>
              </w:rPr>
              <w:t>τ (N–Cα–C)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20"/>
                <w:szCs w:val="20"/>
              </w:rPr>
              <w:t>43.17%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20"/>
                <w:szCs w:val="20"/>
              </w:rPr>
              <w:t>45.46%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20"/>
                <w:szCs w:val="20"/>
              </w:rPr>
              <w:t>+2.30%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20"/>
                <w:szCs w:val="20"/>
              </w:rPr>
              <w:t>14.55</w:t>
            </w:r>
          </w:p>
        </w:tc>
        <w:tc>
          <w:tcPr>
            <w:tcW w:w="2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20"/>
                <w:szCs w:val="20"/>
              </w:rPr>
              <w:t>[2.15, 2.56]</w:t>
            </w:r>
          </w:p>
        </w:tc>
      </w:tr>
      <w:tr>
        <w:trPr/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20"/>
                <w:szCs w:val="20"/>
              </w:rPr>
              <w:t>∠</w:t>
            </w:r>
            <w:r>
              <w:rPr>
                <w:sz w:val="20"/>
                <w:szCs w:val="20"/>
              </w:rPr>
              <w:t>N–Cα–Cβ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20"/>
                <w:szCs w:val="20"/>
              </w:rPr>
              <w:t>11.13%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20"/>
                <w:szCs w:val="20"/>
              </w:rPr>
              <w:t>13.83%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20"/>
                <w:szCs w:val="20"/>
              </w:rPr>
              <w:t>+2.70%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20"/>
                <w:szCs w:val="20"/>
              </w:rPr>
              <w:t>9.18</w:t>
            </w:r>
          </w:p>
        </w:tc>
        <w:tc>
          <w:tcPr>
            <w:tcW w:w="2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20"/>
                <w:szCs w:val="20"/>
              </w:rPr>
              <w:t>[2.40, 2.94]</w:t>
            </w:r>
          </w:p>
        </w:tc>
      </w:tr>
      <w:tr>
        <w:trPr/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20"/>
                <w:szCs w:val="20"/>
              </w:rPr>
              <w:t>ω (planarity)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20"/>
                <w:szCs w:val="20"/>
              </w:rPr>
              <w:t>7.87%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20"/>
                <w:szCs w:val="20"/>
              </w:rPr>
              <w:t>10.17%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20"/>
                <w:szCs w:val="20"/>
              </w:rPr>
              <w:t>+2.30%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20"/>
                <w:szCs w:val="20"/>
              </w:rPr>
              <w:t>12.73</w:t>
            </w:r>
          </w:p>
        </w:tc>
        <w:tc>
          <w:tcPr>
            <w:tcW w:w="2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20"/>
                <w:szCs w:val="20"/>
              </w:rPr>
              <w:t>[2.08, 2.53]</w:t>
            </w:r>
          </w:p>
        </w:tc>
      </w:tr>
      <w:tr>
        <w:trPr/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20"/>
                <w:szCs w:val="20"/>
              </w:rPr>
              <w:t>∠</w:t>
            </w:r>
            <w:r>
              <w:rPr>
                <w:sz w:val="20"/>
                <w:szCs w:val="20"/>
              </w:rPr>
              <w:t>C–Cα–Cβ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20"/>
                <w:szCs w:val="20"/>
              </w:rPr>
              <w:t>9.93%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20"/>
                <w:szCs w:val="20"/>
              </w:rPr>
              <w:t>10.78%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20"/>
                <w:szCs w:val="20"/>
              </w:rPr>
              <w:t>+0.85%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20"/>
                <w:szCs w:val="20"/>
              </w:rPr>
              <w:t>5.00</w:t>
            </w:r>
          </w:p>
        </w:tc>
        <w:tc>
          <w:tcPr>
            <w:tcW w:w="2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20"/>
                <w:szCs w:val="20"/>
              </w:rPr>
              <w:t>[0.74, 0.99]</w:t>
            </w:r>
          </w:p>
        </w:tc>
      </w:tr>
      <w:tr>
        <w:trPr/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20"/>
                <w:szCs w:val="20"/>
              </w:rPr>
              <w:t>bond N–Cα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20"/>
                <w:szCs w:val="20"/>
              </w:rPr>
              <w:t>3.51%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20"/>
                <w:szCs w:val="20"/>
              </w:rPr>
              <w:t>3.79%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20"/>
                <w:szCs w:val="20"/>
              </w:rPr>
              <w:t>+0.28%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20"/>
                <w:szCs w:val="20"/>
              </w:rPr>
              <w:t>0.07</w:t>
            </w:r>
          </w:p>
        </w:tc>
        <w:tc>
          <w:tcPr>
            <w:tcW w:w="25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20"/>
                <w:szCs w:val="20"/>
              </w:rPr>
              <w:t>[0.20, 0.37]</w:t>
            </w:r>
          </w:p>
        </w:tc>
      </w:tr>
      <w:tr>
        <w:trPr/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2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20"/>
                <w:szCs w:val="20"/>
              </w:rPr>
              <w:t>bond Cα–C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2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20"/>
                <w:szCs w:val="20"/>
              </w:rPr>
              <w:t>7.09%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2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20"/>
                <w:szCs w:val="20"/>
              </w:rPr>
              <w:t>7.40%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2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20"/>
                <w:szCs w:val="20"/>
              </w:rPr>
              <w:t>+0.31%</w:t>
            </w:r>
          </w:p>
        </w:tc>
        <w:tc>
          <w:tcPr>
            <w:tcW w:w="1200" w:type="dxa"/>
            <w:tcBorders>
              <w:top w:val="single" w:sz="4" w:space="0" w:color="000000"/>
              <w:start w:val="single" w:sz="4" w:space="0" w:color="000000"/>
              <w:bottom w:val="single" w:sz="2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20"/>
                <w:szCs w:val="20"/>
              </w:rPr>
              <w:t>0.05</w:t>
            </w:r>
          </w:p>
        </w:tc>
        <w:tc>
          <w:tcPr>
            <w:tcW w:w="2560" w:type="dxa"/>
            <w:tcBorders>
              <w:top w:val="single" w:sz="4" w:space="0" w:color="000000"/>
              <w:start w:val="single" w:sz="4" w:space="0" w:color="000000"/>
              <w:bottom w:val="single" w:sz="2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20"/>
                <w:szCs w:val="20"/>
              </w:rPr>
              <w:t>[0.25, 0.39]</w:t>
            </w:r>
          </w:p>
        </w:tc>
      </w:tr>
    </w:tbl>
    <w:p>
      <w:pPr>
        <w:pStyle w:val="Normal"/>
        <w:jc w:val="both"/>
        <w:rPr/>
      </w:pPr>
      <w:r>
        <w:rPr>
          <w:b/>
          <w:bCs/>
        </w:rPr>
        <w:t xml:space="preserve">Table S2. </w:t>
      </w:r>
      <w:r>
        <w:rPr/>
        <w:t>τ coupling by secondary structure (GAM ΔR² with 95% CI).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  <w:tblLook w:val="04a0" w:firstRow="1" w:noVBand="1" w:lastRow="0" w:firstColumn="1" w:lastColumn="0" w:noHBand="0"/>
      </w:tblPr>
      <w:tblGrid>
        <w:gridCol w:w="2000"/>
        <w:gridCol w:w="2500"/>
        <w:gridCol w:w="2500"/>
        <w:gridCol w:w="2360"/>
      </w:tblGrid>
      <w:tr>
        <w:trPr/>
        <w:tc>
          <w:tcPr>
            <w:tcW w:w="2000" w:type="dxa"/>
            <w:tcBorders>
              <w:top w:val="single" w:sz="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jc w:val="both"/>
              <w:rPr/>
            </w:pPr>
            <w:r>
              <w:rPr>
                <w:b/>
                <w:bCs/>
                <w:sz w:val="20"/>
                <w:szCs w:val="20"/>
              </w:rPr>
              <w:t>SS type</w:t>
            </w:r>
          </w:p>
        </w:tc>
        <w:tc>
          <w:tcPr>
            <w:tcW w:w="2500" w:type="dxa"/>
            <w:tcBorders>
              <w:top w:val="single" w:sz="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jc w:val="both"/>
              <w:rPr/>
            </w:pPr>
            <w:r>
              <w:rPr>
                <w:b/>
                <w:bCs/>
                <w:sz w:val="20"/>
                <w:szCs w:val="20"/>
              </w:rPr>
              <w:t>ΔR²_coupling</w:t>
            </w:r>
          </w:p>
        </w:tc>
        <w:tc>
          <w:tcPr>
            <w:tcW w:w="2500" w:type="dxa"/>
            <w:tcBorders>
              <w:top w:val="single" w:sz="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jc w:val="both"/>
              <w:rPr/>
            </w:pPr>
            <w:r>
              <w:rPr>
                <w:b/>
                <w:bCs/>
                <w:sz w:val="20"/>
                <w:szCs w:val="20"/>
              </w:rPr>
              <w:t>95% CI</w:t>
            </w:r>
          </w:p>
        </w:tc>
        <w:tc>
          <w:tcPr>
            <w:tcW w:w="2360" w:type="dxa"/>
            <w:tcBorders>
              <w:top w:val="single" w:sz="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jc w:val="both"/>
              <w:rPr/>
            </w:pPr>
            <w:r>
              <w:rPr>
                <w:b/>
                <w:bCs/>
                <w:sz w:val="20"/>
                <w:szCs w:val="20"/>
              </w:rPr>
              <w:t>R²_additive</w:t>
            </w:r>
          </w:p>
        </w:tc>
      </w:tr>
      <w:tr>
        <w:trPr/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20"/>
                <w:szCs w:val="20"/>
              </w:rPr>
              <w:t>Coil</w:t>
            </w:r>
          </w:p>
        </w:tc>
        <w:tc>
          <w:tcPr>
            <w:tcW w:w="2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20"/>
                <w:szCs w:val="20"/>
              </w:rPr>
              <w:t>+2.34%</w:t>
            </w:r>
          </w:p>
        </w:tc>
        <w:tc>
          <w:tcPr>
            <w:tcW w:w="2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20"/>
                <w:szCs w:val="20"/>
              </w:rPr>
              <w:t>[2.18, 2.52]</w:t>
            </w:r>
          </w:p>
        </w:tc>
        <w:tc>
          <w:tcPr>
            <w:tcW w:w="2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20"/>
                <w:szCs w:val="20"/>
              </w:rPr>
              <w:t>43.8%</w:t>
            </w:r>
          </w:p>
        </w:tc>
      </w:tr>
      <w:tr>
        <w:trPr/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20"/>
                <w:szCs w:val="20"/>
              </w:rPr>
              <w:t>αL</w:t>
            </w:r>
          </w:p>
        </w:tc>
        <w:tc>
          <w:tcPr>
            <w:tcW w:w="2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20"/>
                <w:szCs w:val="20"/>
              </w:rPr>
              <w:t>+1.31%</w:t>
            </w:r>
          </w:p>
        </w:tc>
        <w:tc>
          <w:tcPr>
            <w:tcW w:w="2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20"/>
                <w:szCs w:val="20"/>
              </w:rPr>
              <w:t>[1.23, 1.38]</w:t>
            </w:r>
          </w:p>
        </w:tc>
        <w:tc>
          <w:tcPr>
            <w:tcW w:w="2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20"/>
                <w:szCs w:val="20"/>
              </w:rPr>
              <w:t>35.2%</w:t>
            </w:r>
          </w:p>
        </w:tc>
      </w:tr>
      <w:tr>
        <w:trPr/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20"/>
                <w:szCs w:val="20"/>
              </w:rPr>
              <w:t>αR</w:t>
            </w:r>
          </w:p>
        </w:tc>
        <w:tc>
          <w:tcPr>
            <w:tcW w:w="2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20"/>
                <w:szCs w:val="20"/>
              </w:rPr>
              <w:t>+1.29%</w:t>
            </w:r>
          </w:p>
        </w:tc>
        <w:tc>
          <w:tcPr>
            <w:tcW w:w="2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20"/>
                <w:szCs w:val="20"/>
              </w:rPr>
              <w:t>[1.18, 1.37]</w:t>
            </w:r>
          </w:p>
        </w:tc>
        <w:tc>
          <w:tcPr>
            <w:tcW w:w="2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20"/>
                <w:szCs w:val="20"/>
              </w:rPr>
              <w:t>26.2%</w:t>
            </w:r>
          </w:p>
        </w:tc>
      </w:tr>
      <w:tr>
        <w:trPr/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20"/>
                <w:szCs w:val="20"/>
              </w:rPr>
              <w:t>β</w:t>
            </w:r>
          </w:p>
        </w:tc>
        <w:tc>
          <w:tcPr>
            <w:tcW w:w="2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20"/>
                <w:szCs w:val="20"/>
              </w:rPr>
              <w:t>+0.62%</w:t>
            </w:r>
          </w:p>
        </w:tc>
        <w:tc>
          <w:tcPr>
            <w:tcW w:w="2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20"/>
                <w:szCs w:val="20"/>
              </w:rPr>
              <w:t>[0.55, 0.76]</w:t>
            </w:r>
          </w:p>
        </w:tc>
        <w:tc>
          <w:tcPr>
            <w:tcW w:w="2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20"/>
                <w:szCs w:val="20"/>
              </w:rPr>
              <w:t>13.6%</w:t>
            </w:r>
          </w:p>
        </w:tc>
      </w:tr>
      <w:tr>
        <w:trPr/>
        <w:tc>
          <w:tcPr>
            <w:tcW w:w="2000" w:type="dxa"/>
            <w:tcBorders>
              <w:top w:val="single" w:sz="4" w:space="0" w:color="000000"/>
              <w:start w:val="single" w:sz="4" w:space="0" w:color="000000"/>
              <w:bottom w:val="single" w:sz="2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20"/>
                <w:szCs w:val="20"/>
              </w:rPr>
              <w:t>PPII</w:t>
            </w:r>
          </w:p>
        </w:tc>
        <w:tc>
          <w:tcPr>
            <w:tcW w:w="2500" w:type="dxa"/>
            <w:tcBorders>
              <w:top w:val="single" w:sz="4" w:space="0" w:color="000000"/>
              <w:start w:val="single" w:sz="4" w:space="0" w:color="000000"/>
              <w:bottom w:val="single" w:sz="2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20"/>
                <w:szCs w:val="20"/>
              </w:rPr>
              <w:t>+0.62%</w:t>
            </w:r>
          </w:p>
        </w:tc>
        <w:tc>
          <w:tcPr>
            <w:tcW w:w="2500" w:type="dxa"/>
            <w:tcBorders>
              <w:top w:val="single" w:sz="4" w:space="0" w:color="000000"/>
              <w:start w:val="single" w:sz="4" w:space="0" w:color="000000"/>
              <w:bottom w:val="single" w:sz="2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20"/>
                <w:szCs w:val="20"/>
              </w:rPr>
              <w:t>[0.53, 0.73]</w:t>
            </w:r>
          </w:p>
        </w:tc>
        <w:tc>
          <w:tcPr>
            <w:tcW w:w="2360" w:type="dxa"/>
            <w:tcBorders>
              <w:top w:val="single" w:sz="4" w:space="0" w:color="000000"/>
              <w:start w:val="single" w:sz="4" w:space="0" w:color="000000"/>
              <w:bottom w:val="single" w:sz="2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20"/>
                <w:szCs w:val="20"/>
              </w:rPr>
              <w:t>6.2%</w:t>
            </w:r>
          </w:p>
        </w:tc>
      </w:tr>
    </w:tbl>
    <w:p>
      <w:pPr>
        <w:pStyle w:val="Normal"/>
        <w:jc w:val="both"/>
        <w:rPr/>
      </w:pPr>
      <w:r>
        <w:rPr>
          <w:b/>
          <w:bCs/>
        </w:rPr>
        <w:t xml:space="preserve">Table S3. </w:t>
      </w:r>
      <w:r>
        <w:rPr/>
        <w:t>τ coupling by residue class (GAM ΔR² with 95% CI).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  <w:tblLook w:val="04a0" w:firstRow="1" w:noVBand="1" w:lastRow="0" w:firstColumn="1" w:lastColumn="0" w:noHBand="0"/>
      </w:tblPr>
      <w:tblGrid>
        <w:gridCol w:w="2798"/>
        <w:gridCol w:w="2202"/>
        <w:gridCol w:w="2198"/>
        <w:gridCol w:w="2162"/>
      </w:tblGrid>
      <w:tr>
        <w:trPr/>
        <w:tc>
          <w:tcPr>
            <w:tcW w:w="2798" w:type="dxa"/>
            <w:tcBorders>
              <w:top w:val="single" w:sz="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jc w:val="both"/>
              <w:rPr/>
            </w:pPr>
            <w:r>
              <w:rPr>
                <w:b/>
                <w:bCs/>
                <w:sz w:val="20"/>
                <w:szCs w:val="20"/>
              </w:rPr>
              <w:t>Residue class</w:t>
            </w:r>
          </w:p>
        </w:tc>
        <w:tc>
          <w:tcPr>
            <w:tcW w:w="2202" w:type="dxa"/>
            <w:tcBorders>
              <w:top w:val="single" w:sz="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jc w:val="both"/>
              <w:rPr/>
            </w:pPr>
            <w:r>
              <w:rPr>
                <w:b/>
                <w:bCs/>
                <w:sz w:val="20"/>
                <w:szCs w:val="20"/>
              </w:rPr>
              <w:t>ΔR²_coupling</w:t>
            </w:r>
          </w:p>
        </w:tc>
        <w:tc>
          <w:tcPr>
            <w:tcW w:w="2198" w:type="dxa"/>
            <w:tcBorders>
              <w:top w:val="single" w:sz="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jc w:val="both"/>
              <w:rPr/>
            </w:pPr>
            <w:r>
              <w:rPr>
                <w:b/>
                <w:bCs/>
                <w:sz w:val="20"/>
                <w:szCs w:val="20"/>
              </w:rPr>
              <w:t>95% CI</w:t>
            </w:r>
          </w:p>
        </w:tc>
        <w:tc>
          <w:tcPr>
            <w:tcW w:w="2162" w:type="dxa"/>
            <w:tcBorders>
              <w:top w:val="single" w:sz="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jc w:val="both"/>
              <w:rPr/>
            </w:pPr>
            <w:r>
              <w:rPr>
                <w:b/>
                <w:bCs/>
                <w:sz w:val="20"/>
                <w:szCs w:val="20"/>
              </w:rPr>
              <w:t>Mechanism</w:t>
            </w:r>
          </w:p>
        </w:tc>
      </w:tr>
      <w:tr>
        <w:trPr/>
        <w:tc>
          <w:tcPr>
            <w:tcW w:w="2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20"/>
                <w:szCs w:val="20"/>
              </w:rPr>
              <w:t>Non-branched other</w:t>
            </w:r>
          </w:p>
        </w:tc>
        <w:tc>
          <w:tcPr>
            <w:tcW w:w="2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20"/>
                <w:szCs w:val="20"/>
              </w:rPr>
              <w:t>+2.42%</w:t>
            </w:r>
          </w:p>
        </w:tc>
        <w:tc>
          <w:tcPr>
            <w:tcW w:w="21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20"/>
                <w:szCs w:val="20"/>
              </w:rPr>
              <w:t>[2.20, 2.63]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20"/>
                <w:szCs w:val="20"/>
              </w:rPr>
              <w:t>Full φψ access</w:t>
            </w:r>
          </w:p>
        </w:tc>
      </w:tr>
      <w:tr>
        <w:trPr/>
        <w:tc>
          <w:tcPr>
            <w:tcW w:w="2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20"/>
                <w:szCs w:val="20"/>
              </w:rPr>
              <w:t>Glycine</w:t>
            </w:r>
          </w:p>
        </w:tc>
        <w:tc>
          <w:tcPr>
            <w:tcW w:w="2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20"/>
                <w:szCs w:val="20"/>
              </w:rPr>
              <w:t>+2.09%</w:t>
            </w:r>
          </w:p>
        </w:tc>
        <w:tc>
          <w:tcPr>
            <w:tcW w:w="21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20"/>
                <w:szCs w:val="20"/>
              </w:rPr>
              <w:t>[1.98, 2.28]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20"/>
                <w:szCs w:val="20"/>
              </w:rPr>
              <w:t>No sidechain</w:t>
            </w:r>
          </w:p>
        </w:tc>
      </w:tr>
      <w:tr>
        <w:trPr/>
        <w:tc>
          <w:tcPr>
            <w:tcW w:w="27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20"/>
                <w:szCs w:val="20"/>
              </w:rPr>
              <w:t>β-branched</w:t>
            </w:r>
          </w:p>
        </w:tc>
        <w:tc>
          <w:tcPr>
            <w:tcW w:w="2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20"/>
                <w:szCs w:val="20"/>
              </w:rPr>
              <w:t>+1.92%</w:t>
            </w:r>
          </w:p>
        </w:tc>
        <w:tc>
          <w:tcPr>
            <w:tcW w:w="21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20"/>
                <w:szCs w:val="20"/>
              </w:rPr>
              <w:t>[1.71, 2.11]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20"/>
                <w:szCs w:val="20"/>
              </w:rPr>
              <w:t>Constrained χ¹</w:t>
            </w:r>
          </w:p>
        </w:tc>
      </w:tr>
      <w:tr>
        <w:trPr/>
        <w:tc>
          <w:tcPr>
            <w:tcW w:w="2798" w:type="dxa"/>
            <w:tcBorders>
              <w:top w:val="single" w:sz="4" w:space="0" w:color="000000"/>
              <w:start w:val="single" w:sz="4" w:space="0" w:color="000000"/>
              <w:bottom w:val="single" w:sz="2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20"/>
                <w:szCs w:val="20"/>
              </w:rPr>
              <w:t>Proline</w:t>
            </w:r>
          </w:p>
        </w:tc>
        <w:tc>
          <w:tcPr>
            <w:tcW w:w="2202" w:type="dxa"/>
            <w:tcBorders>
              <w:top w:val="single" w:sz="4" w:space="0" w:color="000000"/>
              <w:start w:val="single" w:sz="4" w:space="0" w:color="000000"/>
              <w:bottom w:val="single" w:sz="2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20"/>
                <w:szCs w:val="20"/>
              </w:rPr>
              <w:t>+1.16%</w:t>
            </w:r>
          </w:p>
        </w:tc>
        <w:tc>
          <w:tcPr>
            <w:tcW w:w="2198" w:type="dxa"/>
            <w:tcBorders>
              <w:top w:val="single" w:sz="4" w:space="0" w:color="000000"/>
              <w:start w:val="single" w:sz="4" w:space="0" w:color="000000"/>
              <w:bottom w:val="single" w:sz="2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20"/>
                <w:szCs w:val="20"/>
              </w:rPr>
              <w:t>[1.04, 1.30]</w:t>
            </w:r>
          </w:p>
        </w:tc>
        <w:tc>
          <w:tcPr>
            <w:tcW w:w="2162" w:type="dxa"/>
            <w:tcBorders>
              <w:top w:val="single" w:sz="4" w:space="0" w:color="000000"/>
              <w:start w:val="single" w:sz="4" w:space="0" w:color="000000"/>
              <w:bottom w:val="single" w:sz="2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20"/>
                <w:szCs w:val="20"/>
              </w:rPr>
              <w:t>φ locked</w:t>
            </w:r>
          </w:p>
        </w:tc>
      </w:tr>
    </w:tbl>
    <w:p>
      <w:pPr>
        <w:pStyle w:val="Normal"/>
        <w:jc w:val="both"/>
        <w:rPr/>
      </w:pPr>
      <w:r>
        <w:rPr>
          <w:b/>
          <w:bCs/>
        </w:rPr>
        <w:t xml:space="preserve">Table S4. </w:t>
      </w:r>
      <w:r>
        <w:rPr/>
        <w:t>Quantum-mechanical descriptors do not improve backbone geometry prediction beyond (φ,ψ) binning.</w:t>
      </w:r>
    </w:p>
    <w:tbl>
      <w:tblPr>
        <w:tblW w:w="9360" w:type="dxa"/>
        <w:jc w:val="start"/>
        <w:tblInd w:w="0" w:type="dxa"/>
        <w:tblLayout w:type="fixed"/>
        <w:tblCellMar>
          <w:top w:w="40" w:type="dxa"/>
          <w:start w:w="80" w:type="dxa"/>
          <w:bottom w:w="40" w:type="dxa"/>
          <w:end w:w="80" w:type="dxa"/>
        </w:tblCellMar>
        <w:tblLook w:val="04a0" w:firstRow="1" w:noVBand="1" w:lastRow="0" w:firstColumn="1" w:lastColumn="0" w:noHBand="0"/>
      </w:tblPr>
      <w:tblGrid>
        <w:gridCol w:w="2998"/>
        <w:gridCol w:w="2202"/>
        <w:gridCol w:w="2200"/>
        <w:gridCol w:w="1960"/>
      </w:tblGrid>
      <w:tr>
        <w:trPr/>
        <w:tc>
          <w:tcPr>
            <w:tcW w:w="2998" w:type="dxa"/>
            <w:tcBorders>
              <w:top w:val="single" w:sz="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jc w:val="both"/>
              <w:rPr/>
            </w:pPr>
            <w:r>
              <w:rPr>
                <w:b/>
                <w:bCs/>
                <w:sz w:val="20"/>
                <w:szCs w:val="20"/>
              </w:rPr>
              <w:t>QM descriptor</w:t>
            </w:r>
          </w:p>
        </w:tc>
        <w:tc>
          <w:tcPr>
            <w:tcW w:w="2202" w:type="dxa"/>
            <w:tcBorders>
              <w:top w:val="single" w:sz="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jc w:val="both"/>
              <w:rPr/>
            </w:pPr>
            <w:r>
              <w:rPr>
                <w:b/>
                <w:bCs/>
                <w:sz w:val="20"/>
                <w:szCs w:val="20"/>
              </w:rPr>
              <w:t>ΔR² for τ</w:t>
            </w:r>
          </w:p>
        </w:tc>
        <w:tc>
          <w:tcPr>
            <w:tcW w:w="2200" w:type="dxa"/>
            <w:tcBorders>
              <w:top w:val="single" w:sz="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jc w:val="both"/>
              <w:rPr/>
            </w:pPr>
            <w:r>
              <w:rPr>
                <w:b/>
                <w:bCs/>
                <w:sz w:val="20"/>
                <w:szCs w:val="20"/>
              </w:rPr>
              <w:t>ΔR² for angles</w:t>
            </w:r>
          </w:p>
        </w:tc>
        <w:tc>
          <w:tcPr>
            <w:tcW w:w="1960" w:type="dxa"/>
            <w:tcBorders>
              <w:top w:val="single" w:sz="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D5E8F0" w:val="clear"/>
          </w:tcPr>
          <w:p>
            <w:pPr>
              <w:pStyle w:val="Normal"/>
              <w:jc w:val="both"/>
              <w:rPr/>
            </w:pPr>
            <w:r>
              <w:rPr>
                <w:b/>
                <w:bCs/>
                <w:sz w:val="20"/>
                <w:szCs w:val="20"/>
              </w:rPr>
              <w:t>Conclusion</w:t>
            </w:r>
          </w:p>
        </w:tc>
      </w:tr>
      <w:tr>
        <w:trPr/>
        <w:tc>
          <w:tcPr>
            <w:tcW w:w="2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lang w:val="es-ES"/>
              </w:rPr>
            </w:pPr>
            <w:r>
              <w:rPr>
                <w:sz w:val="20"/>
                <w:szCs w:val="20"/>
                <w:lang w:val="es-ES"/>
              </w:rPr>
              <w:t>n→</w:t>
            </w:r>
            <w:r>
              <w:rPr>
                <w:sz w:val="20"/>
                <w:szCs w:val="20"/>
              </w:rPr>
              <w:t>π</w:t>
            </w:r>
            <w:r>
              <w:rPr>
                <w:sz w:val="20"/>
                <w:szCs w:val="20"/>
                <w:lang w:val="es-ES"/>
              </w:rPr>
              <w:t>* (O···C distance)</w:t>
            </w:r>
          </w:p>
        </w:tc>
        <w:tc>
          <w:tcPr>
            <w:tcW w:w="2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20"/>
                <w:szCs w:val="20"/>
              </w:rPr>
              <w:t>+0.006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20"/>
                <w:szCs w:val="20"/>
              </w:rPr>
              <w:t>+0.006</w:t>
            </w:r>
          </w:p>
        </w:tc>
        <w:tc>
          <w:tcPr>
            <w:tcW w:w="1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20"/>
                <w:szCs w:val="20"/>
              </w:rPr>
              <w:t>Marginal</w:t>
            </w:r>
          </w:p>
        </w:tc>
      </w:tr>
      <w:tr>
        <w:trPr/>
        <w:tc>
          <w:tcPr>
            <w:tcW w:w="29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20"/>
                <w:szCs w:val="20"/>
              </w:rPr>
              <w:t>σ→σ* hyperconjugation</w:t>
            </w:r>
          </w:p>
        </w:tc>
        <w:tc>
          <w:tcPr>
            <w:tcW w:w="22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20"/>
                <w:szCs w:val="20"/>
              </w:rPr>
              <w:t>&lt;0.004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20"/>
                <w:szCs w:val="20"/>
              </w:rPr>
              <w:t>&lt;0.004</w:t>
            </w:r>
          </w:p>
        </w:tc>
        <w:tc>
          <w:tcPr>
            <w:tcW w:w="19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20"/>
                <w:szCs w:val="20"/>
              </w:rPr>
              <w:t>Negligible</w:t>
            </w:r>
          </w:p>
        </w:tc>
      </w:tr>
      <w:tr>
        <w:trPr/>
        <w:tc>
          <w:tcPr>
            <w:tcW w:w="2998" w:type="dxa"/>
            <w:tcBorders>
              <w:top w:val="single" w:sz="4" w:space="0" w:color="000000"/>
              <w:start w:val="single" w:sz="4" w:space="0" w:color="000000"/>
              <w:bottom w:val="single" w:sz="2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20"/>
                <w:szCs w:val="20"/>
              </w:rPr>
              <w:t>Both combined</w:t>
            </w:r>
          </w:p>
        </w:tc>
        <w:tc>
          <w:tcPr>
            <w:tcW w:w="2202" w:type="dxa"/>
            <w:tcBorders>
              <w:top w:val="single" w:sz="4" w:space="0" w:color="000000"/>
              <w:start w:val="single" w:sz="4" w:space="0" w:color="000000"/>
              <w:bottom w:val="single" w:sz="2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20"/>
                <w:szCs w:val="20"/>
              </w:rPr>
              <w:t>≤</w:t>
            </w:r>
            <w:r>
              <w:rPr>
                <w:sz w:val="20"/>
                <w:szCs w:val="20"/>
              </w:rPr>
              <w:t>0.02</w:t>
            </w:r>
          </w:p>
        </w:tc>
        <w:tc>
          <w:tcPr>
            <w:tcW w:w="2200" w:type="dxa"/>
            <w:tcBorders>
              <w:top w:val="single" w:sz="4" w:space="0" w:color="000000"/>
              <w:start w:val="single" w:sz="4" w:space="0" w:color="000000"/>
              <w:bottom w:val="single" w:sz="2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20"/>
                <w:szCs w:val="20"/>
              </w:rPr>
              <w:t>≤</w:t>
            </w:r>
            <w:r>
              <w:rPr>
                <w:sz w:val="20"/>
                <w:szCs w:val="20"/>
              </w:rPr>
              <w:t>0.02</w:t>
            </w:r>
          </w:p>
        </w:tc>
        <w:tc>
          <w:tcPr>
            <w:tcW w:w="1960" w:type="dxa"/>
            <w:tcBorders>
              <w:top w:val="single" w:sz="4" w:space="0" w:color="000000"/>
              <w:start w:val="single" w:sz="4" w:space="0" w:color="000000"/>
              <w:bottom w:val="single" w:sz="2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20"/>
                <w:szCs w:val="20"/>
              </w:rPr>
              <w:t>Redundant</w:t>
            </w:r>
          </w:p>
        </w:tc>
      </w:tr>
    </w:tbl>
    <w:p>
      <w:pPr>
        <w:pStyle w:val="Normal"/>
        <w:jc w:val="both"/>
        <w:rPr>
          <w:b/>
        </w:rPr>
      </w:pPr>
      <w:r>
        <w:rPr>
          <w:b/>
        </w:rPr>
        <w:t>Table S5. Coupling estimates (η²_coupling) stratified by resolution and refinement software.</w:t>
      </w:r>
    </w:p>
    <w:tbl>
      <w:tblPr>
        <w:tblW w:w="84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400"/>
        <w:gridCol w:w="1399"/>
        <w:gridCol w:w="1401"/>
        <w:gridCol w:w="1400"/>
        <w:gridCol w:w="1399"/>
        <w:gridCol w:w="1401"/>
      </w:tblGrid>
      <w:tr>
        <w:trPr/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b/>
              </w:rPr>
              <w:t>Observable</w:t>
            </w:r>
          </w:p>
        </w:tc>
        <w:tc>
          <w:tcPr>
            <w:tcW w:w="1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b/>
              </w:rPr>
              <w:t>Full dataset</w:t>
            </w:r>
          </w:p>
        </w:tc>
        <w:tc>
          <w:tcPr>
            <w:tcW w:w="1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b/>
              </w:rPr>
              <w:t xml:space="preserve">≤ </w:t>
            </w:r>
            <w:r>
              <w:rPr>
                <w:b/>
              </w:rPr>
              <w:t>1.5 Å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b/>
              </w:rPr>
              <w:t>1.5–2.0 Å</w:t>
            </w:r>
          </w:p>
        </w:tc>
        <w:tc>
          <w:tcPr>
            <w:tcW w:w="1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b/>
              </w:rPr>
              <w:t>REFMAC</w:t>
            </w:r>
          </w:p>
        </w:tc>
        <w:tc>
          <w:tcPr>
            <w:tcW w:w="1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b/>
              </w:rPr>
              <w:t>PHENIX</w:t>
            </w:r>
          </w:p>
        </w:tc>
      </w:tr>
      <w:tr>
        <w:trPr/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/>
              <w:t>τ (N–Cα–C)</w:t>
            </w:r>
          </w:p>
        </w:tc>
        <w:tc>
          <w:tcPr>
            <w:tcW w:w="1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/>
              <w:t>14.5%</w:t>
            </w:r>
          </w:p>
        </w:tc>
        <w:tc>
          <w:tcPr>
            <w:tcW w:w="1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/>
              <w:t>14.2%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/>
              <w:t>14.9%</w:t>
            </w:r>
          </w:p>
        </w:tc>
        <w:tc>
          <w:tcPr>
            <w:tcW w:w="1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/>
              <w:t>14.3%</w:t>
            </w:r>
          </w:p>
        </w:tc>
        <w:tc>
          <w:tcPr>
            <w:tcW w:w="1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/>
              <w:t>14.9%</w:t>
            </w:r>
          </w:p>
        </w:tc>
      </w:tr>
      <w:tr>
        <w:trPr/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/>
              <w:t>∠</w:t>
            </w:r>
            <w:r>
              <w:rPr/>
              <w:t>N–Cα–Cβ</w:t>
            </w:r>
          </w:p>
        </w:tc>
        <w:tc>
          <w:tcPr>
            <w:tcW w:w="1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/>
              <w:t>49.0%</w:t>
            </w:r>
          </w:p>
        </w:tc>
        <w:tc>
          <w:tcPr>
            <w:tcW w:w="1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/>
              <w:t>45.1%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/>
              <w:t>51.9%</w:t>
            </w:r>
          </w:p>
        </w:tc>
        <w:tc>
          <w:tcPr>
            <w:tcW w:w="1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/>
              <w:t>53.6%</w:t>
            </w:r>
          </w:p>
        </w:tc>
        <w:tc>
          <w:tcPr>
            <w:tcW w:w="1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/>
              <w:t>43.5%</w:t>
            </w:r>
          </w:p>
        </w:tc>
      </w:tr>
      <w:tr>
        <w:trPr/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/>
              <w:t>∠</w:t>
            </w:r>
            <w:r>
              <w:rPr/>
              <w:t>C–Cα–Cβ</w:t>
            </w:r>
          </w:p>
        </w:tc>
        <w:tc>
          <w:tcPr>
            <w:tcW w:w="1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/>
              <w:t>17.4%</w:t>
            </w:r>
          </w:p>
        </w:tc>
        <w:tc>
          <w:tcPr>
            <w:tcW w:w="1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/>
              <w:t>16.6%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/>
              <w:t>18.6%</w:t>
            </w:r>
          </w:p>
        </w:tc>
        <w:tc>
          <w:tcPr>
            <w:tcW w:w="1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/>
              <w:t>16.1%</w:t>
            </w:r>
          </w:p>
        </w:tc>
        <w:tc>
          <w:tcPr>
            <w:tcW w:w="1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/>
              <w:t>18.0%</w:t>
            </w:r>
          </w:p>
        </w:tc>
      </w:tr>
      <w:tr>
        <w:trPr/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/>
              <w:t>ω (planarity)</w:t>
            </w:r>
          </w:p>
        </w:tc>
        <w:tc>
          <w:tcPr>
            <w:tcW w:w="1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/>
              <w:t>21.3%</w:t>
            </w:r>
          </w:p>
        </w:tc>
        <w:tc>
          <w:tcPr>
            <w:tcW w:w="1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/>
              <w:t>21.2%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/>
              <w:t>21.6%</w:t>
            </w:r>
          </w:p>
        </w:tc>
        <w:tc>
          <w:tcPr>
            <w:tcW w:w="1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/>
              <w:t>21.6%</w:t>
            </w:r>
          </w:p>
        </w:tc>
        <w:tc>
          <w:tcPr>
            <w:tcW w:w="1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/>
              <w:t>21.1%</w:t>
            </w:r>
          </w:p>
        </w:tc>
      </w:tr>
      <w:tr>
        <w:trPr/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/>
              <w:t>bond C–Cα</w:t>
            </w:r>
          </w:p>
        </w:tc>
        <w:tc>
          <w:tcPr>
            <w:tcW w:w="1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/>
              <w:t>22.4%</w:t>
            </w:r>
          </w:p>
        </w:tc>
        <w:tc>
          <w:tcPr>
            <w:tcW w:w="1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/>
              <w:t>22.5%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/>
              <w:t>22.8%</w:t>
            </w:r>
          </w:p>
        </w:tc>
        <w:tc>
          <w:tcPr>
            <w:tcW w:w="1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/>
              <w:t>22.7%</w:t>
            </w:r>
          </w:p>
        </w:tc>
        <w:tc>
          <w:tcPr>
            <w:tcW w:w="1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/>
              <w:t>22.4%</w:t>
            </w:r>
          </w:p>
        </w:tc>
      </w:tr>
      <w:tr>
        <w:trPr/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/>
              <w:t>bond N–Cα</w:t>
            </w:r>
          </w:p>
        </w:tc>
        <w:tc>
          <w:tcPr>
            <w:tcW w:w="1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/>
              <w:t>21.9%</w:t>
            </w:r>
          </w:p>
        </w:tc>
        <w:tc>
          <w:tcPr>
            <w:tcW w:w="1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/>
              <w:t>21.1%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/>
              <w:t>23.4%</w:t>
            </w:r>
          </w:p>
        </w:tc>
        <w:tc>
          <w:tcPr>
            <w:tcW w:w="1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/>
              <w:t>22.9%</w:t>
            </w:r>
          </w:p>
        </w:tc>
        <w:tc>
          <w:tcPr>
            <w:tcW w:w="14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/>
              <w:t>21.6%</w:t>
            </w:r>
          </w:p>
        </w:tc>
      </w:tr>
    </w:tbl>
    <w:p>
      <w:pPr>
        <w:pStyle w:val="Normal"/>
        <w:jc w:val="both"/>
        <w:rPr/>
      </w:pPr>
      <w:r>
        <w:rPr/>
        <w:t xml:space="preserve">Full dataset: n=1,698,562 residues (angle columns: n=1,575,268), 8,292 structures. </w:t>
      </w:r>
      <w:r>
        <w:rPr>
          <w:lang w:val="fr-FR"/>
        </w:rPr>
        <w:t xml:space="preserve">≤ 1.5 Å: n=787,959 residues, 3,559 structures. 1.5–2.0 Å: n=910,231 residues, 4,727 structures. REFMAC: n=792,750 residues, 3,683 structures. </w:t>
      </w:r>
      <w:r>
        <w:rPr/>
        <w:t>PHENIX: n=651,552 residues, 3,312 structures. Refinement software classified from each structure’s REMARK 3 header. CNS/X-PLOR, BUSTER, and TNT categories are excluded from this table due to small structure counts (783, 217, and 25 respectively) producing unstable per-cell estimates.</w:t>
      </w:r>
    </w:p>
    <w:p>
      <w:pPr>
        <w:pStyle w:val="Normal"/>
        <w:jc w:val="both"/>
        <w:rPr>
          <w:b/>
        </w:rPr>
      </w:pPr>
      <w:r>
        <w:rPr>
          <w:b/>
        </w:rPr>
      </w:r>
    </w:p>
    <w:p>
      <w:pPr>
        <w:pStyle w:val="Normal"/>
        <w:jc w:val="both"/>
        <w:rPr>
          <w:b/>
        </w:rPr>
      </w:pPr>
      <w:r>
        <w:rPr>
          <w:b/>
        </w:rPr>
        <w:t>Figure S1. Correlation between Degradation Coupling τ and Effective Rate Constant k(eff, φ) across 445 well-populated (φ,ψ) bins.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941060" cy="2415540"/>
            <wp:effectExtent l="0" t="0" r="0" b="0"/>
            <wp:docPr id="1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2415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both"/>
        <w:rPr/>
      </w:pPr>
      <w:r>
        <w:rPr/>
        <w:t>Left panel: signed τ coupling residual (x-axis) vs. k</w:t>
      </w:r>
      <w:r>
        <w:rPr/>
        <w:t>(</w:t>
      </w:r>
      <w:r>
        <w:rPr/>
        <w:t>eff, φ</w:t>
      </w:r>
      <w:r>
        <w:rPr/>
        <w:t>)</w:t>
      </w:r>
      <w:r>
        <w:rPr>
          <w:vertAlign w:val="superscript"/>
        </w:rPr>
        <w:t>8</w:t>
      </w:r>
      <w:r>
        <w:rPr/>
        <w:t xml:space="preserve"> secant slope (y-axis), each point a (φ,ψ) bin with ≥100 residues; point color indicates the number of residues contributing to that bin (colorbar, right). Right panel: the same comparison using |coupling| (absolute value) on the x-axis, testing whether coupling magnitude specifically tracks curvature magnitude regardless of sign. Signed coupling vs. k_eff_φ: Pearson r=+0.128 (p=6.99e-03), Spearman ρ=+0.211 (p=7.42e-06). |Coupling| vs. k_eff_φ: Pearson r=−0.283 (p=1.28e-09), Spearman ρ=−0.263 (p=1.86e-08). n=445 (φ,ψ) bins with ≥100 residues in both quantities. Both correlations are weak in magnitude (|r| &lt; 0.3) despite reaching statistical significance at this sample size; we do not interpret this as evidence that the two quantities track the same underlying phenomenon (see Discussion, Section 3).</w:t>
      </w:r>
    </w:p>
    <w:p>
      <w:pPr>
        <w:pStyle w:val="Normal"/>
        <w:jc w:val="both"/>
        <w:rPr>
          <w:b/>
        </w:rPr>
      </w:pPr>
      <w:r>
        <w:rPr>
          <w:b/>
        </w:rPr>
      </w:r>
    </w:p>
    <w:p>
      <w:pPr>
        <w:pStyle w:val="Normal"/>
        <w:jc w:val="both"/>
        <w:rPr>
          <w:b/>
        </w:rPr>
      </w:pPr>
      <w:r>
        <w:rPr>
          <w:b/>
        </w:rPr>
        <w:t>Table S6. Local (±20° band) vs. global (full half-plane) sign-change tests at Paper 1’s reported wall positions.</w:t>
      </w:r>
    </w:p>
    <w:tbl>
      <w:tblPr>
        <w:tblW w:w="899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148"/>
        <w:gridCol w:w="1152"/>
        <w:gridCol w:w="1148"/>
        <w:gridCol w:w="1152"/>
        <w:gridCol w:w="1148"/>
        <w:gridCol w:w="1152"/>
        <w:gridCol w:w="2095"/>
      </w:tblGrid>
      <w:tr>
        <w:trPr/>
        <w:tc>
          <w:tcPr>
            <w:tcW w:w="11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b/>
                <w:sz w:val="18"/>
                <w:szCs w:val="18"/>
              </w:rPr>
              <w:t>Observable</w:t>
            </w:r>
          </w:p>
        </w:tc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b/>
                <w:sz w:val="18"/>
                <w:szCs w:val="18"/>
              </w:rPr>
              <w:t>Wall</w:t>
            </w:r>
          </w:p>
        </w:tc>
        <w:tc>
          <w:tcPr>
            <w:tcW w:w="11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b/>
                <w:sz w:val="18"/>
                <w:szCs w:val="18"/>
              </w:rPr>
              <w:t>Global Δ</w:t>
            </w:r>
          </w:p>
        </w:tc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b/>
                <w:sz w:val="18"/>
                <w:szCs w:val="18"/>
              </w:rPr>
              <w:t>Global p</w:t>
            </w:r>
          </w:p>
        </w:tc>
        <w:tc>
          <w:tcPr>
            <w:tcW w:w="11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b/>
                <w:sz w:val="18"/>
                <w:szCs w:val="18"/>
              </w:rPr>
              <w:t>Local Δ</w:t>
            </w:r>
          </w:p>
        </w:tc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b/>
                <w:sz w:val="18"/>
                <w:szCs w:val="18"/>
              </w:rPr>
              <w:t>Local p</w:t>
            </w:r>
          </w:p>
        </w:tc>
        <w:tc>
          <w:tcPr>
            <w:tcW w:w="2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b/>
                <w:sz w:val="18"/>
                <w:szCs w:val="18"/>
              </w:rPr>
              <w:t>Pattern</w:t>
            </w:r>
          </w:p>
        </w:tc>
      </w:tr>
      <w:tr>
        <w:trPr/>
        <w:tc>
          <w:tcPr>
            <w:tcW w:w="11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18"/>
                <w:szCs w:val="18"/>
              </w:rPr>
              <w:t>τ (N–Cα–C)</w:t>
            </w:r>
          </w:p>
        </w:tc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18"/>
                <w:szCs w:val="18"/>
              </w:rPr>
              <w:t>φ=−60°</w:t>
            </w:r>
          </w:p>
        </w:tc>
        <w:tc>
          <w:tcPr>
            <w:tcW w:w="11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18"/>
                <w:szCs w:val="18"/>
              </w:rPr>
              <w:t>−</w:t>
            </w:r>
            <w:r>
              <w:rPr>
                <w:sz w:val="18"/>
                <w:szCs w:val="18"/>
              </w:rPr>
              <w:t>0.81</w:t>
            </w:r>
          </w:p>
        </w:tc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18"/>
                <w:szCs w:val="18"/>
              </w:rPr>
              <w:t>2.5e-6</w:t>
            </w:r>
          </w:p>
        </w:tc>
        <w:tc>
          <w:tcPr>
            <w:tcW w:w="11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18"/>
                <w:szCs w:val="18"/>
              </w:rPr>
              <w:t>+0.79</w:t>
            </w:r>
          </w:p>
        </w:tc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18"/>
                <w:szCs w:val="18"/>
              </w:rPr>
              <w:t>4.8e-3</w:t>
            </w:r>
          </w:p>
        </w:tc>
        <w:tc>
          <w:tcPr>
            <w:tcW w:w="2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18"/>
                <w:szCs w:val="18"/>
              </w:rPr>
              <w:t>Sig. both; opposite sign</w:t>
            </w:r>
          </w:p>
        </w:tc>
      </w:tr>
      <w:tr>
        <w:trPr/>
        <w:tc>
          <w:tcPr>
            <w:tcW w:w="11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18"/>
                <w:szCs w:val="18"/>
              </w:rPr>
              <w:t>τ (N–Cα–C)</w:t>
            </w:r>
          </w:p>
        </w:tc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18"/>
                <w:szCs w:val="18"/>
              </w:rPr>
              <w:t>ψ=−40°</w:t>
            </w:r>
          </w:p>
        </w:tc>
        <w:tc>
          <w:tcPr>
            <w:tcW w:w="11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18"/>
                <w:szCs w:val="18"/>
              </w:rPr>
              <w:t>+0.11</w:t>
            </w:r>
          </w:p>
        </w:tc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18"/>
                <w:szCs w:val="18"/>
              </w:rPr>
              <w:t>0.39</w:t>
            </w:r>
          </w:p>
        </w:tc>
        <w:tc>
          <w:tcPr>
            <w:tcW w:w="11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18"/>
                <w:szCs w:val="18"/>
              </w:rPr>
              <w:t>+0.11</w:t>
            </w:r>
          </w:p>
        </w:tc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18"/>
                <w:szCs w:val="18"/>
              </w:rPr>
              <w:t>0.35</w:t>
            </w:r>
          </w:p>
        </w:tc>
        <w:tc>
          <w:tcPr>
            <w:tcW w:w="2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18"/>
                <w:szCs w:val="18"/>
              </w:rPr>
              <w:t>Neither significant</w:t>
            </w:r>
          </w:p>
        </w:tc>
      </w:tr>
      <w:tr>
        <w:trPr/>
        <w:tc>
          <w:tcPr>
            <w:tcW w:w="11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18"/>
                <w:szCs w:val="18"/>
              </w:rPr>
              <w:t>∠</w:t>
            </w:r>
            <w:r>
              <w:rPr>
                <w:sz w:val="18"/>
                <w:szCs w:val="18"/>
              </w:rPr>
              <w:t>C–Cα–Cβ</w:t>
            </w:r>
          </w:p>
        </w:tc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18"/>
                <w:szCs w:val="18"/>
              </w:rPr>
              <w:t>φ=−60°</w:t>
            </w:r>
          </w:p>
        </w:tc>
        <w:tc>
          <w:tcPr>
            <w:tcW w:w="11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18"/>
                <w:szCs w:val="18"/>
              </w:rPr>
              <w:t>−</w:t>
            </w:r>
            <w:r>
              <w:rPr>
                <w:sz w:val="18"/>
                <w:szCs w:val="18"/>
              </w:rPr>
              <w:t>0.64</w:t>
            </w:r>
          </w:p>
        </w:tc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18"/>
                <w:szCs w:val="18"/>
              </w:rPr>
              <w:t>3.4e-7</w:t>
            </w:r>
          </w:p>
        </w:tc>
        <w:tc>
          <w:tcPr>
            <w:tcW w:w="11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18"/>
                <w:szCs w:val="18"/>
              </w:rPr>
              <w:t>−</w:t>
            </w:r>
            <w:r>
              <w:rPr>
                <w:sz w:val="18"/>
                <w:szCs w:val="18"/>
              </w:rPr>
              <w:t>0.12</w:t>
            </w:r>
          </w:p>
        </w:tc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18"/>
                <w:szCs w:val="18"/>
              </w:rPr>
              <w:t>0.25</w:t>
            </w:r>
          </w:p>
        </w:tc>
        <w:tc>
          <w:tcPr>
            <w:tcW w:w="2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18"/>
                <w:szCs w:val="18"/>
              </w:rPr>
              <w:t>Global only</w:t>
            </w:r>
          </w:p>
        </w:tc>
      </w:tr>
      <w:tr>
        <w:trPr/>
        <w:tc>
          <w:tcPr>
            <w:tcW w:w="11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18"/>
                <w:szCs w:val="18"/>
              </w:rPr>
              <w:t>∠</w:t>
            </w:r>
            <w:r>
              <w:rPr>
                <w:sz w:val="18"/>
                <w:szCs w:val="18"/>
              </w:rPr>
              <w:t>C–Cα–Cβ</w:t>
            </w:r>
          </w:p>
        </w:tc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18"/>
                <w:szCs w:val="18"/>
              </w:rPr>
              <w:t>ψ=−40°</w:t>
            </w:r>
          </w:p>
        </w:tc>
        <w:tc>
          <w:tcPr>
            <w:tcW w:w="11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18"/>
                <w:szCs w:val="18"/>
              </w:rPr>
              <w:t>+0.18</w:t>
            </w:r>
          </w:p>
        </w:tc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18"/>
                <w:szCs w:val="18"/>
              </w:rPr>
              <w:t>1.1e-2</w:t>
            </w:r>
          </w:p>
        </w:tc>
        <w:tc>
          <w:tcPr>
            <w:tcW w:w="11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18"/>
                <w:szCs w:val="18"/>
              </w:rPr>
              <w:t>−</w:t>
            </w:r>
            <w:r>
              <w:rPr>
                <w:sz w:val="18"/>
                <w:szCs w:val="18"/>
              </w:rPr>
              <w:t>0.39</w:t>
            </w:r>
          </w:p>
        </w:tc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18"/>
                <w:szCs w:val="18"/>
              </w:rPr>
              <w:t>8.8e-4</w:t>
            </w:r>
          </w:p>
        </w:tc>
        <w:tc>
          <w:tcPr>
            <w:tcW w:w="2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18"/>
                <w:szCs w:val="18"/>
              </w:rPr>
              <w:t>Sig. both; opposite sign</w:t>
            </w:r>
          </w:p>
        </w:tc>
      </w:tr>
      <w:tr>
        <w:trPr/>
        <w:tc>
          <w:tcPr>
            <w:tcW w:w="11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18"/>
                <w:szCs w:val="18"/>
              </w:rPr>
              <w:t>∠</w:t>
            </w:r>
            <w:r>
              <w:rPr>
                <w:sz w:val="18"/>
                <w:szCs w:val="18"/>
              </w:rPr>
              <w:t>N–Cα–Cβ</w:t>
            </w:r>
          </w:p>
        </w:tc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18"/>
                <w:szCs w:val="18"/>
              </w:rPr>
              <w:t>φ=−60°</w:t>
            </w:r>
          </w:p>
        </w:tc>
        <w:tc>
          <w:tcPr>
            <w:tcW w:w="11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18"/>
                <w:szCs w:val="18"/>
              </w:rPr>
              <w:t>−</w:t>
            </w:r>
            <w:r>
              <w:rPr>
                <w:sz w:val="18"/>
                <w:szCs w:val="18"/>
              </w:rPr>
              <w:t>0.06</w:t>
            </w:r>
          </w:p>
        </w:tc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18"/>
                <w:szCs w:val="18"/>
              </w:rPr>
              <w:t>0.62</w:t>
            </w:r>
          </w:p>
        </w:tc>
        <w:tc>
          <w:tcPr>
            <w:tcW w:w="11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18"/>
                <w:szCs w:val="18"/>
              </w:rPr>
              <w:t>−</w:t>
            </w:r>
            <w:r>
              <w:rPr>
                <w:sz w:val="18"/>
                <w:szCs w:val="18"/>
              </w:rPr>
              <w:t>0.46</w:t>
            </w:r>
          </w:p>
        </w:tc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18"/>
                <w:szCs w:val="18"/>
              </w:rPr>
              <w:t>3.3e-3</w:t>
            </w:r>
          </w:p>
        </w:tc>
        <w:tc>
          <w:tcPr>
            <w:tcW w:w="2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18"/>
                <w:szCs w:val="18"/>
              </w:rPr>
              <w:t>Local only</w:t>
            </w:r>
          </w:p>
        </w:tc>
      </w:tr>
      <w:tr>
        <w:trPr/>
        <w:tc>
          <w:tcPr>
            <w:tcW w:w="11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18"/>
                <w:szCs w:val="18"/>
              </w:rPr>
              <w:t>∠</w:t>
            </w:r>
            <w:r>
              <w:rPr>
                <w:sz w:val="18"/>
                <w:szCs w:val="18"/>
              </w:rPr>
              <w:t>N–Cα–Cβ</w:t>
            </w:r>
          </w:p>
        </w:tc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18"/>
                <w:szCs w:val="18"/>
              </w:rPr>
              <w:t>ψ=−40°</w:t>
            </w:r>
          </w:p>
        </w:tc>
        <w:tc>
          <w:tcPr>
            <w:tcW w:w="11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18"/>
                <w:szCs w:val="18"/>
              </w:rPr>
              <w:t>+0.04</w:t>
            </w:r>
          </w:p>
        </w:tc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18"/>
                <w:szCs w:val="18"/>
              </w:rPr>
              <w:t>0.71</w:t>
            </w:r>
          </w:p>
        </w:tc>
        <w:tc>
          <w:tcPr>
            <w:tcW w:w="11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18"/>
                <w:szCs w:val="18"/>
              </w:rPr>
              <w:t>+0.04</w:t>
            </w:r>
          </w:p>
        </w:tc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18"/>
                <w:szCs w:val="18"/>
              </w:rPr>
              <w:t>0.79</w:t>
            </w:r>
          </w:p>
        </w:tc>
        <w:tc>
          <w:tcPr>
            <w:tcW w:w="2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18"/>
                <w:szCs w:val="18"/>
              </w:rPr>
              <w:t>Neither significant</w:t>
            </w:r>
          </w:p>
        </w:tc>
      </w:tr>
      <w:tr>
        <w:trPr/>
        <w:tc>
          <w:tcPr>
            <w:tcW w:w="11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18"/>
                <w:szCs w:val="18"/>
              </w:rPr>
              <w:t>ω</w:t>
            </w:r>
          </w:p>
        </w:tc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18"/>
                <w:szCs w:val="18"/>
              </w:rPr>
              <w:t>φ=−60°</w:t>
            </w:r>
          </w:p>
        </w:tc>
        <w:tc>
          <w:tcPr>
            <w:tcW w:w="11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18"/>
                <w:szCs w:val="18"/>
              </w:rPr>
              <w:t>+31.2</w:t>
            </w:r>
          </w:p>
        </w:tc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18"/>
                <w:szCs w:val="18"/>
              </w:rPr>
              <w:t>1.5e-7</w:t>
            </w:r>
          </w:p>
        </w:tc>
        <w:tc>
          <w:tcPr>
            <w:tcW w:w="11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18"/>
                <w:szCs w:val="18"/>
              </w:rPr>
              <w:t>+41.0</w:t>
            </w:r>
          </w:p>
        </w:tc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18"/>
                <w:szCs w:val="18"/>
              </w:rPr>
              <w:t>9.9e-3</w:t>
            </w:r>
          </w:p>
        </w:tc>
        <w:tc>
          <w:tcPr>
            <w:tcW w:w="2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18"/>
                <w:szCs w:val="18"/>
              </w:rPr>
              <w:t>Sig. both; same sign</w:t>
            </w:r>
          </w:p>
        </w:tc>
      </w:tr>
      <w:tr>
        <w:trPr/>
        <w:tc>
          <w:tcPr>
            <w:tcW w:w="11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18"/>
                <w:szCs w:val="18"/>
              </w:rPr>
              <w:t>ω</w:t>
            </w:r>
          </w:p>
        </w:tc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18"/>
                <w:szCs w:val="18"/>
              </w:rPr>
              <w:t>ψ=−40°</w:t>
            </w:r>
          </w:p>
        </w:tc>
        <w:tc>
          <w:tcPr>
            <w:tcW w:w="11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18"/>
                <w:szCs w:val="18"/>
              </w:rPr>
              <w:t>+16.3</w:t>
            </w:r>
          </w:p>
        </w:tc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18"/>
                <w:szCs w:val="18"/>
              </w:rPr>
              <w:t>0.039</w:t>
            </w:r>
          </w:p>
        </w:tc>
        <w:tc>
          <w:tcPr>
            <w:tcW w:w="11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18"/>
                <w:szCs w:val="18"/>
              </w:rPr>
              <w:t>−</w:t>
            </w:r>
            <w:r>
              <w:rPr>
                <w:sz w:val="18"/>
                <w:szCs w:val="18"/>
              </w:rPr>
              <w:t>46.6</w:t>
            </w:r>
          </w:p>
        </w:tc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18"/>
                <w:szCs w:val="18"/>
              </w:rPr>
              <w:t>1.9e-7</w:t>
            </w:r>
          </w:p>
        </w:tc>
        <w:tc>
          <w:tcPr>
            <w:tcW w:w="2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18"/>
                <w:szCs w:val="18"/>
              </w:rPr>
              <w:t>Sig. both; opposite sign</w:t>
            </w:r>
          </w:p>
        </w:tc>
      </w:tr>
      <w:tr>
        <w:trPr/>
        <w:tc>
          <w:tcPr>
            <w:tcW w:w="11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18"/>
                <w:szCs w:val="18"/>
              </w:rPr>
              <w:t>bond Cα–C</w:t>
            </w:r>
          </w:p>
        </w:tc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18"/>
                <w:szCs w:val="18"/>
              </w:rPr>
              <w:t>φ=−60°</w:t>
            </w:r>
          </w:p>
        </w:tc>
        <w:tc>
          <w:tcPr>
            <w:tcW w:w="11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18"/>
                <w:szCs w:val="18"/>
              </w:rPr>
              <w:t>−</w:t>
            </w:r>
            <w:r>
              <w:rPr>
                <w:sz w:val="18"/>
                <w:szCs w:val="18"/>
              </w:rPr>
              <w:t>0.0010</w:t>
            </w:r>
          </w:p>
        </w:tc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18"/>
                <w:szCs w:val="18"/>
              </w:rPr>
              <w:t>1.3e-3</w:t>
            </w:r>
          </w:p>
        </w:tc>
        <w:tc>
          <w:tcPr>
            <w:tcW w:w="11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18"/>
                <w:szCs w:val="18"/>
              </w:rPr>
              <w:t>−</w:t>
            </w:r>
            <w:r>
              <w:rPr>
                <w:sz w:val="18"/>
                <w:szCs w:val="18"/>
              </w:rPr>
              <w:t>0.0002</w:t>
            </w:r>
          </w:p>
        </w:tc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18"/>
                <w:szCs w:val="18"/>
              </w:rPr>
              <w:t>0.58</w:t>
            </w:r>
          </w:p>
        </w:tc>
        <w:tc>
          <w:tcPr>
            <w:tcW w:w="2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18"/>
                <w:szCs w:val="18"/>
              </w:rPr>
              <w:t>Global only</w:t>
            </w:r>
          </w:p>
        </w:tc>
      </w:tr>
      <w:tr>
        <w:trPr/>
        <w:tc>
          <w:tcPr>
            <w:tcW w:w="11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18"/>
                <w:szCs w:val="18"/>
              </w:rPr>
              <w:t>bond Cα–C</w:t>
            </w:r>
          </w:p>
        </w:tc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18"/>
                <w:szCs w:val="18"/>
              </w:rPr>
              <w:t>ψ=−40°</w:t>
            </w:r>
          </w:p>
        </w:tc>
        <w:tc>
          <w:tcPr>
            <w:tcW w:w="11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18"/>
                <w:szCs w:val="18"/>
              </w:rPr>
              <w:t>−</w:t>
            </w:r>
            <w:r>
              <w:rPr>
                <w:sz w:val="18"/>
                <w:szCs w:val="18"/>
              </w:rPr>
              <w:t>0.0013</w:t>
            </w:r>
          </w:p>
        </w:tc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18"/>
                <w:szCs w:val="18"/>
              </w:rPr>
              <w:t>1.2e-2</w:t>
            </w:r>
          </w:p>
        </w:tc>
        <w:tc>
          <w:tcPr>
            <w:tcW w:w="11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18"/>
                <w:szCs w:val="18"/>
              </w:rPr>
              <w:t>+0.0002</w:t>
            </w:r>
          </w:p>
        </w:tc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18"/>
                <w:szCs w:val="18"/>
              </w:rPr>
              <w:t>0.68</w:t>
            </w:r>
          </w:p>
        </w:tc>
        <w:tc>
          <w:tcPr>
            <w:tcW w:w="2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18"/>
                <w:szCs w:val="18"/>
              </w:rPr>
              <w:t>Global only</w:t>
            </w:r>
          </w:p>
        </w:tc>
      </w:tr>
      <w:tr>
        <w:trPr/>
        <w:tc>
          <w:tcPr>
            <w:tcW w:w="11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18"/>
                <w:szCs w:val="18"/>
              </w:rPr>
              <w:t>bond N–Cα</w:t>
            </w:r>
          </w:p>
        </w:tc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18"/>
                <w:szCs w:val="18"/>
              </w:rPr>
              <w:t>φ=−60°</w:t>
            </w:r>
          </w:p>
        </w:tc>
        <w:tc>
          <w:tcPr>
            <w:tcW w:w="11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18"/>
                <w:szCs w:val="18"/>
              </w:rPr>
              <w:t>+0.0002</w:t>
            </w:r>
          </w:p>
        </w:tc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18"/>
                <w:szCs w:val="18"/>
              </w:rPr>
              <w:t>0.58</w:t>
            </w:r>
          </w:p>
        </w:tc>
        <w:tc>
          <w:tcPr>
            <w:tcW w:w="11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18"/>
                <w:szCs w:val="18"/>
              </w:rPr>
              <w:t>−</w:t>
            </w:r>
            <w:r>
              <w:rPr>
                <w:sz w:val="18"/>
                <w:szCs w:val="18"/>
              </w:rPr>
              <w:t>0.0006</w:t>
            </w:r>
          </w:p>
        </w:tc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18"/>
                <w:szCs w:val="18"/>
              </w:rPr>
              <w:t>0.24</w:t>
            </w:r>
          </w:p>
        </w:tc>
        <w:tc>
          <w:tcPr>
            <w:tcW w:w="2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18"/>
                <w:szCs w:val="18"/>
              </w:rPr>
              <w:t>Neither significant</w:t>
            </w:r>
          </w:p>
        </w:tc>
      </w:tr>
      <w:tr>
        <w:trPr/>
        <w:tc>
          <w:tcPr>
            <w:tcW w:w="11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18"/>
                <w:szCs w:val="18"/>
              </w:rPr>
              <w:t>bond N–Cα</w:t>
            </w:r>
          </w:p>
        </w:tc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18"/>
                <w:szCs w:val="18"/>
              </w:rPr>
              <w:t>ψ=−40°</w:t>
            </w:r>
          </w:p>
        </w:tc>
        <w:tc>
          <w:tcPr>
            <w:tcW w:w="11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18"/>
                <w:szCs w:val="18"/>
              </w:rPr>
              <w:t>−</w:t>
            </w:r>
            <w:r>
              <w:rPr>
                <w:sz w:val="18"/>
                <w:szCs w:val="18"/>
              </w:rPr>
              <w:t>0.0010</w:t>
            </w:r>
          </w:p>
        </w:tc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18"/>
                <w:szCs w:val="18"/>
              </w:rPr>
              <w:t>5.7e-3</w:t>
            </w:r>
          </w:p>
        </w:tc>
        <w:tc>
          <w:tcPr>
            <w:tcW w:w="11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18"/>
                <w:szCs w:val="18"/>
              </w:rPr>
              <w:t>−</w:t>
            </w:r>
            <w:r>
              <w:rPr>
                <w:sz w:val="18"/>
                <w:szCs w:val="18"/>
              </w:rPr>
              <w:t>0.0012</w:t>
            </w:r>
          </w:p>
        </w:tc>
        <w:tc>
          <w:tcPr>
            <w:tcW w:w="1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18"/>
                <w:szCs w:val="18"/>
              </w:rPr>
              <w:t>0.11</w:t>
            </w:r>
          </w:p>
        </w:tc>
        <w:tc>
          <w:tcPr>
            <w:tcW w:w="20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sz w:val="18"/>
                <w:szCs w:val="18"/>
              </w:rPr>
              <w:t>Global only</w:t>
            </w:r>
          </w:p>
        </w:tc>
      </w:tr>
    </w:tbl>
    <w:p>
      <w:pPr>
        <w:pStyle w:val="Normal"/>
        <w:jc w:val="both"/>
        <w:rPr/>
      </w:pPr>
      <w:r>
        <w:rPr/>
        <w:t>Local test uses only cells within ±20° of the wall on each side; global test averages over the entire half-plane (Methods 4.6). Neither test is uniformly "correct" — they measure different constructs — but agreement/disagreement between them indicates whether a wall behaves as a genuine local discontinuity versus a broad regional split.</w:t>
      </w:r>
    </w:p>
    <w:p>
      <w:pPr>
        <w:pStyle w:val="Normal"/>
        <w:jc w:val="both"/>
        <w:rPr/>
      </w:pPr>
      <w:r>
        <w:rPr/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ptos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PAGE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3</w:t>
    </w:r>
    <w:r>
      <w:rPr>
        <w:sz w:val="20"/>
        <w:szCs w:val="20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PAGE </w:instrText>
    </w:r>
    <w:r>
      <w:rPr>
        <w:sz w:val="20"/>
        <w:szCs w:val="20"/>
      </w:rPr>
      <w:fldChar w:fldCharType="separate"/>
    </w:r>
    <w:r>
      <w:rPr>
        <w:sz w:val="20"/>
        <w:szCs w:val="20"/>
      </w:rPr>
      <w:t>3</w:t>
    </w:r>
    <w:r>
      <w:rPr>
        <w:sz w:val="20"/>
        <w:szCs w:val="20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i/>
        <w:iCs/>
        <w:color w:val="888888"/>
        <w:sz w:val="18"/>
        <w:szCs w:val="18"/>
      </w:rPr>
      <w:t>Coupling Structure of Backbone Geometry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end"/>
      <w:rPr/>
    </w:pPr>
    <w:r>
      <w:rPr>
        <w:i/>
        <w:iCs/>
        <w:color w:val="888888"/>
        <w:sz w:val="18"/>
        <w:szCs w:val="18"/>
      </w:rPr>
      <w:t>Coupling Structure of Backbone Geometry</w:t>
    </w:r>
  </w:p>
</w:hdr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uiPriority w:val="9"/>
    <w:qFormat/>
    <w:pPr>
      <w:widowControl/>
      <w:suppressAutoHyphens w:val="true"/>
      <w:bidi w:val="0"/>
      <w:spacing w:lineRule="auto" w:line="480" w:before="240" w:after="240"/>
      <w:jc w:val="center"/>
      <w:outlineLvl w:val="0"/>
    </w:pPr>
    <w:rPr>
      <w:rFonts w:ascii="Times New Roman" w:hAnsi="Times New Roman" w:eastAsia="Times New Roman" w:cs="Times New Roman"/>
      <w:b/>
      <w:bCs/>
      <w:color w:val="auto"/>
      <w:kern w:val="0"/>
      <w:sz w:val="28"/>
      <w:szCs w:val="28"/>
      <w:lang w:val="en-US" w:eastAsia="en-US" w:bidi="ar-SA"/>
    </w:rPr>
  </w:style>
  <w:style w:type="paragraph" w:styleId="Heading2">
    <w:name w:val="heading 2"/>
    <w:link w:val="Heading2Char"/>
    <w:uiPriority w:val="9"/>
    <w:unhideWhenUsed/>
    <w:qFormat/>
    <w:pPr>
      <w:widowControl/>
      <w:suppressAutoHyphens w:val="true"/>
      <w:bidi w:val="0"/>
      <w:spacing w:lineRule="auto" w:line="480" w:before="180" w:after="120"/>
      <w:jc w:val="start"/>
      <w:outlineLvl w:val="1"/>
    </w:pPr>
    <w:rPr>
      <w:rFonts w:ascii="Times New Roman" w:hAnsi="Times New Roman" w:eastAsia="Times New Roman" w:cs="Times New Roman"/>
      <w:b/>
      <w:bCs/>
      <w:color w:val="auto"/>
      <w:kern w:val="0"/>
      <w:sz w:val="24"/>
      <w:szCs w:val="24"/>
      <w:lang w:val="en-US" w:eastAsia="en-US" w:bidi="ar-SA"/>
    </w:rPr>
  </w:style>
  <w:style w:type="paragraph" w:styleId="Heading3">
    <w:name w:val="heading 3"/>
    <w:uiPriority w:val="9"/>
    <w:semiHidden/>
    <w:unhideWhenUsed/>
    <w:qFormat/>
    <w:pPr>
      <w:widowControl/>
      <w:suppressAutoHyphens w:val="true"/>
      <w:bidi w:val="0"/>
      <w:spacing w:before="0" w:after="0"/>
      <w:jc w:val="start"/>
      <w:outlineLvl w:val="2"/>
    </w:pPr>
    <w:rPr>
      <w:rFonts w:ascii="Times New Roman" w:hAnsi="Times New Roman" w:eastAsia="Times New Roman" w:cs="Times New Roman"/>
      <w:color w:val="1F4D78"/>
      <w:kern w:val="0"/>
      <w:sz w:val="24"/>
      <w:szCs w:val="24"/>
      <w:lang w:val="en-US" w:eastAsia="en-US" w:bidi="ar-SA"/>
    </w:rPr>
  </w:style>
  <w:style w:type="paragraph" w:styleId="Heading4">
    <w:name w:val="heading 4"/>
    <w:uiPriority w:val="9"/>
    <w:semiHidden/>
    <w:unhideWhenUsed/>
    <w:qFormat/>
    <w:pPr>
      <w:widowControl/>
      <w:suppressAutoHyphens w:val="true"/>
      <w:bidi w:val="0"/>
      <w:spacing w:before="0" w:after="0"/>
      <w:jc w:val="start"/>
      <w:outlineLvl w:val="3"/>
    </w:pPr>
    <w:rPr>
      <w:rFonts w:ascii="Times New Roman" w:hAnsi="Times New Roman" w:eastAsia="Times New Roman" w:cs="Times New Roman"/>
      <w:i/>
      <w:iCs/>
      <w:color w:val="2E74B5"/>
      <w:kern w:val="0"/>
      <w:sz w:val="24"/>
      <w:szCs w:val="24"/>
      <w:lang w:val="en-US" w:eastAsia="en-US" w:bidi="ar-SA"/>
    </w:rPr>
  </w:style>
  <w:style w:type="paragraph" w:styleId="Heading5">
    <w:name w:val="heading 5"/>
    <w:uiPriority w:val="9"/>
    <w:semiHidden/>
    <w:unhideWhenUsed/>
    <w:qFormat/>
    <w:pPr>
      <w:widowControl/>
      <w:suppressAutoHyphens w:val="true"/>
      <w:bidi w:val="0"/>
      <w:spacing w:before="0" w:after="0"/>
      <w:jc w:val="start"/>
      <w:outlineLvl w:val="4"/>
    </w:pPr>
    <w:rPr>
      <w:rFonts w:ascii="Times New Roman" w:hAnsi="Times New Roman" w:eastAsia="Times New Roman" w:cs="Times New Roman"/>
      <w:color w:val="2E74B5"/>
      <w:kern w:val="0"/>
      <w:sz w:val="24"/>
      <w:szCs w:val="24"/>
      <w:lang w:val="en-US" w:eastAsia="en-US" w:bidi="ar-SA"/>
    </w:rPr>
  </w:style>
  <w:style w:type="paragraph" w:styleId="Heading6">
    <w:name w:val="heading 6"/>
    <w:uiPriority w:val="9"/>
    <w:semiHidden/>
    <w:unhideWhenUsed/>
    <w:qFormat/>
    <w:pPr>
      <w:widowControl/>
      <w:suppressAutoHyphens w:val="true"/>
      <w:bidi w:val="0"/>
      <w:spacing w:before="0" w:after="0"/>
      <w:jc w:val="start"/>
      <w:outlineLvl w:val="5"/>
    </w:pPr>
    <w:rPr>
      <w:rFonts w:ascii="Times New Roman" w:hAnsi="Times New Roman" w:eastAsia="Times New Roman" w:cs="Times New Roman"/>
      <w:color w:val="1F4D78"/>
      <w:kern w:val="0"/>
      <w:sz w:val="24"/>
      <w:szCs w:val="24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 w:customStyle="1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 w:customStyle="1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32bdf"/>
    <w:rPr>
      <w:color w:val="605E5C"/>
      <w:shd w:fill="E1DFDD" w:val="clear"/>
    </w:rPr>
  </w:style>
  <w:style w:type="character" w:styleId="BodyTextChar" w:customStyle="1">
    <w:name w:val="Body Text Char"/>
    <w:basedOn w:val="DefaultParagraphFont"/>
    <w:uiPriority w:val="99"/>
    <w:semiHidden/>
    <w:qFormat/>
    <w:rsid w:val="001b4f5f"/>
    <w:rPr/>
  </w:style>
  <w:style w:type="character" w:styleId="Heading2Char" w:customStyle="1">
    <w:name w:val="Heading 2 Char"/>
    <w:basedOn w:val="DefaultParagraphFont"/>
    <w:link w:val="Heading2"/>
    <w:uiPriority w:val="9"/>
    <w:qFormat/>
    <w:rsid w:val="001b4f5f"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1b4f5f"/>
    <w:pPr>
      <w:spacing w:before="0" w:after="12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uiPriority w:val="10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56"/>
      <w:szCs w:val="56"/>
      <w:lang w:val="en-US" w:eastAsia="en-US" w:bidi="ar-SA"/>
    </w:rPr>
  </w:style>
  <w:style w:type="paragraph" w:styleId="Strong1" w:customStyle="1">
    <w:name w:val="Strong1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b/>
      <w:bCs/>
      <w:color w:val="auto"/>
      <w:kern w:val="0"/>
      <w:sz w:val="24"/>
      <w:szCs w:val="24"/>
      <w:lang w:val="en-US" w:eastAsia="en-US" w:bidi="ar-SA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en-US" w:eastAsia="en-US" w:bidi="ar-SA"/>
    </w:rPr>
  </w:style>
  <w:style w:type="paragraph" w:styleId="FootnoteText">
    <w:name w:val="footnote text"/>
    <w:link w:val="FootnoteTextChar"/>
    <w:uiPriority w:val="99"/>
    <w:semiHidden/>
    <w:unhideWhenUsed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US" w:eastAsia="en-US" w:bidi="ar-SA"/>
    </w:rPr>
  </w:style>
  <w:style w:type="paragraph" w:styleId="EndnoteText">
    <w:name w:val="endnote text"/>
    <w:link w:val="EndnoteTextChar"/>
    <w:uiPriority w:val="99"/>
    <w:semiHidden/>
    <w:unhideWhenUsed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en-US" w:eastAsia="en-US" w:bidi="ar-SA"/>
    </w:rPr>
  </w:style>
  <w:style w:type="paragraph" w:styleId="FirstParagraph" w:customStyle="1">
    <w:name w:val="First Paragraph"/>
    <w:basedOn w:val="BodyText"/>
    <w:next w:val="BodyText"/>
    <w:qFormat/>
    <w:rsid w:val="001b4f5f"/>
    <w:pPr>
      <w:spacing w:before="180" w:after="180"/>
    </w:pPr>
    <w:rPr>
      <w:rFonts w:ascii="Aptos" w:hAnsi="Aptos" w:eastAsia="Aptos" w:cs="" w:asciiTheme="minorHAnsi" w:cstheme="minorBidi" w:eastAsiaTheme="minorHAnsi" w:hAnsiTheme="minorHAns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Application>LibreOffice/26.2.5.2$Windows_X86_64 LibreOffice_project/cd7284b4cbbfeb507e630c1aac019f4157393acb</Application>
  <AppVersion>15.0000</AppVersion>
  <Pages>3</Pages>
  <Words>736</Words>
  <Characters>3950</Characters>
  <CharactersWithSpaces>4379</CharactersWithSpaces>
  <Paragraphs>251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2026-05-07T15:36:00Z</dcterms:created>
  <dc:creator>Un-named</dc:creator>
  <dc:description/>
  <dc:language>en-US</dc:language>
  <cp:lastModifiedBy/>
  <dcterms:modified xsi:type="dcterms:W3CDTF">2026-08-04T18:19:11Z</dcterms:modified>
  <cp:revision>46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