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320" w:after="160"/>
        <w:jc w:val="both"/>
        <w:rPr/>
      </w:pPr>
      <w:r>
        <w:rPr/>
        <w:t xml:space="preserve">Supplementary </w:t>
      </w:r>
      <w:r>
        <w:rPr/>
        <w:t>Infomation</w:t>
      </w:r>
    </w:p>
    <w:p>
      <w:pPr>
        <w:pStyle w:val="Heading2"/>
        <w:rPr/>
      </w:pPr>
      <w:r>
        <w:rPr/>
        <w:t>Table S1, Protein residues excluded as genuine crystallographic modeling defects.</w:t>
      </w:r>
    </w:p>
    <w:p>
      <w:pPr>
        <w:pStyle w:val="Normal"/>
        <w:jc w:val="both"/>
        <w:rPr/>
      </w:pPr>
      <w:r>
        <w:rPr/>
        <w:t>Excluded residues identified by close-contact scanning (</w:t>
      </w:r>
      <w:r>
        <w:rPr/>
      </w:r>
      <m:oMath xmlns:m="http://schemas.openxmlformats.org/officeDocument/2006/math">
        <m:r>
          <m:rPr>
            <m:lit/>
            <m:nor/>
          </m:rPr>
          <m:t xml:space="preserve">&lt;</m:t>
        </m:r>
        <m:r>
          <m:t xml:space="preserve">1.5</m:t>
        </m:r>
      </m:oMath>
      <w:r>
        <w:rPr/>
        <w:t xml:space="preserve"> Å) and torque magnitude (</w:t>
      </w:r>
      <w:r>
        <w:rPr/>
      </w:r>
      <m:oMath xmlns:m="http://schemas.openxmlformats.org/officeDocument/2006/math">
        <m:r>
          <m:rPr>
            <m:lit/>
            <m:nor/>
          </m:rPr>
          <m:t xml:space="preserve">|</m:t>
        </m:r>
        <m:r>
          <m:t xml:space="preserve">τ</m:t>
        </m:r>
        <m:r>
          <m:rPr>
            <m:lit/>
            <m:nor/>
          </m:rPr>
          <m:t xml:space="preserve">|</m:t>
        </m:r>
        <m:r>
          <m:rPr>
            <m:lit/>
            <m:nor/>
          </m:rPr>
          <m:t xml:space="preserve">&gt;</m:t>
        </m:r>
        <m:r>
          <m:t xml:space="preserve">10,000</m:t>
        </m:r>
      </m:oMath>
      <w:r>
        <w:rPr/>
        <w:t xml:space="preserve"> kcal·mol⁻¹·rad⁻¹), excluding handled artifacts. Listed by PDB ID, index, and name.</w:t>
      </w:r>
    </w:p>
    <w:p>
      <w:pPr>
        <w:pStyle w:val="Heading2"/>
        <w:rPr/>
      </w:pPr>
      <w:r>
        <w:rPr/>
        <w:t>Table S2, Overview of MechLib performance benchmarks</w:t>
      </w:r>
    </w:p>
    <w:tbl>
      <w:tblPr>
        <w:tblW w:w="949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000" w:firstRow="0" w:noVBand="0" w:lastRow="0" w:firstColumn="0" w:lastColumn="0" w:noHBand="0"/>
      </w:tblPr>
      <w:tblGrid>
        <w:gridCol w:w="3598"/>
        <w:gridCol w:w="2200"/>
        <w:gridCol w:w="2122"/>
        <w:gridCol w:w="1575"/>
      </w:tblGrid>
      <w:tr>
        <w:trPr/>
        <w:tc>
          <w:tcPr>
            <w:tcW w:w="3598" w:type="dxa"/>
            <w:tcBorders>
              <w:top w:val="single" w:sz="4" w:space="0" w:color="999999"/>
              <w:start w:val="single" w:sz="4" w:space="0" w:color="999999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Result</w:t>
            </w:r>
          </w:p>
        </w:tc>
        <w:tc>
          <w:tcPr>
            <w:tcW w:w="2200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Value</w:t>
            </w:r>
          </w:p>
        </w:tc>
        <w:tc>
          <w:tcPr>
            <w:tcW w:w="2122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95% CI / detail</w:t>
            </w:r>
          </w:p>
        </w:tc>
        <w:tc>
          <w:tcPr>
            <w:tcW w:w="1575" w:type="dxa"/>
            <w:tcBorders>
              <w:top w:val="single" w:sz="4" w:space="0" w:color="999999"/>
              <w:start w:val="single" w:sz="2" w:space="0" w:color="CCCCCC"/>
              <w:bottom w:val="single" w:sz="2" w:space="0" w:color="CCCCCC"/>
              <w:end w:val="single" w:sz="4" w:space="0" w:color="999999"/>
            </w:tcBorders>
            <w:shd w:color="auto" w:fill="E8EEF7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</w:rPr>
              <w:t>n</w:t>
            </w:r>
          </w:p>
        </w:tc>
      </w:tr>
      <w:tr>
        <w:trPr/>
        <w:tc>
          <w:tcPr>
            <w:tcW w:w="3598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Protein vs. AMBER ff14SB 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38.7%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[38.1%, 39.3%]</w:t>
            </w:r>
          </w:p>
        </w:tc>
        <w:tc>
          <w:tcPr>
            <w:tcW w:w="15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1,698,562 res</w:t>
            </w:r>
          </w:p>
        </w:tc>
      </w:tr>
      <w:tr>
        <w:trPr/>
        <w:tc>
          <w:tcPr>
            <w:tcW w:w="3598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Protein, blind test (2020–2026 structures)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39.7%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cf. 37.8% in-sample</w:t>
            </w:r>
          </w:p>
        </w:tc>
        <w:tc>
          <w:tcPr>
            <w:tcW w:w="15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428,750 res</w:t>
            </w:r>
          </w:p>
        </w:tc>
      </w:tr>
      <w:tr>
        <w:trPr/>
        <w:tc>
          <w:tcPr>
            <w:tcW w:w="3598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 vs. OPLS-AA/M (mean)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≈ </w:t>
            </w:r>
            <w:r>
              <w:rPr/>
              <w:t>same as AMBER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10/11 terms identical</w:t>
            </w:r>
          </w:p>
        </w:tc>
        <w:tc>
          <w:tcPr>
            <w:tcW w:w="15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1,698,562 res</w:t>
            </w:r>
          </w:p>
        </w:tc>
      </w:tr>
      <w:tr>
        <w:trPr/>
        <w:tc>
          <w:tcPr>
            <w:tcW w:w="3598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Protein vs. CHARMM36 CMAP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r = −0.25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p &lt; 0.001</w:t>
            </w:r>
          </w:p>
        </w:tc>
        <w:tc>
          <w:tcPr>
            <w:tcW w:w="15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740 bins</w:t>
            </w:r>
          </w:p>
        </w:tc>
      </w:tr>
      <w:tr>
        <w:trPr/>
        <w:tc>
          <w:tcPr>
            <w:tcW w:w="3598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vs. AMBER parm10 (median, overall)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85.4%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[84.9%, 85.9%]</w:t>
            </w:r>
          </w:p>
        </w:tc>
        <w:tc>
          <w:tcPr>
            <w:tcW w:w="15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157,562 nt</w:t>
            </w:r>
          </w:p>
        </w:tc>
      </w:tr>
      <w:tr>
        <w:trPr/>
        <w:tc>
          <w:tcPr>
            <w:tcW w:w="3598" w:type="dxa"/>
            <w:tcBorders>
              <w:top w:val="single" w:sz="2" w:space="0" w:color="CCCCCC"/>
              <w:start w:val="single" w:sz="4" w:space="0" w:color="999999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— BI / BII state (median)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85.4% / 85.8%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—</w:t>
            </w:r>
          </w:p>
        </w:tc>
        <w:tc>
          <w:tcPr>
            <w:tcW w:w="15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118,254 / 20,508 nt</w:t>
            </w:r>
          </w:p>
        </w:tc>
      </w:tr>
      <w:tr>
        <w:trPr/>
        <w:tc>
          <w:tcPr>
            <w:tcW w:w="3598" w:type="dxa"/>
            <w:tcBorders>
              <w:top w:val="single" w:sz="2" w:space="0" w:color="CCCCCC"/>
              <w:start w:val="single" w:sz="4" w:space="0" w:color="999999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DNA δ–χ coupling, C1'-O4'-C4' angle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η² = 0.073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cf. control 0.026</w:t>
            </w:r>
          </w:p>
        </w:tc>
        <w:tc>
          <w:tcPr>
            <w:tcW w:w="1575" w:type="dxa"/>
            <w:tcBorders>
              <w:top w:val="single" w:sz="2" w:space="0" w:color="CCCCCC"/>
              <w:start w:val="single" w:sz="2" w:space="0" w:color="CCCCCC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jc w:val="both"/>
              <w:rPr/>
            </w:pPr>
            <w:r>
              <w:rPr/>
              <w:t>150,022 nt</w:t>
            </w:r>
          </w:p>
        </w:tc>
      </w:tr>
    </w:tbl>
    <w:p>
      <w:pPr>
        <w:pStyle w:val="Heading2"/>
        <w:rPr/>
      </w:pPr>
      <w:r>
        <w:rPr/>
        <w:t>Figure S3, Strain reduction stratified by refinement software and secondary structure.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2399030"/>
            <wp:effectExtent l="0" t="0" r="0" b="0"/>
            <wp:docPr id="1" name="Picture Fi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FigS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/>
        <w:t>(A) Strain reduction by refinement software, parsed from each structure's REMARK 3 header. (B) REFMAC-only strain reduction by secondary-structure class; dashed line = REFMAC-only overall (33.6%). Error bars: bootstrap 95% CI, resampled by structure.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570a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link w:val="Heading1Char"/>
    <w:uiPriority w:val="9"/>
    <w:qFormat/>
    <w:pPr>
      <w:widowControl/>
      <w:suppressAutoHyphens w:val="true"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link w:val="Heading2Char"/>
    <w:uiPriority w:val="9"/>
    <w:unhideWhenUsed/>
    <w:qFormat/>
    <w:pPr>
      <w:widowControl/>
      <w:suppressAutoHyphens w:val="true"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a7487"/>
    <w:rPr>
      <w:color w:val="2E74B5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04a9a"/>
    <w:rPr>
      <w:color w:val="2E74B5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LibreOffice/26.2.5.2$Windows_X86_64 LibreOffice_project/cd7284b4cbbfeb507e630c1aac019f4157393acb</Application>
  <AppVersion>15.0000</AppVersion>
  <Pages>1</Pages>
  <Words>183</Words>
  <Characters>1007</Characters>
  <CharactersWithSpaces>1148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2026-07-21T20:19:00Z</dcterms:created>
  <dc:creator>Un-named</dc:creator>
  <dc:description/>
  <dc:language>en-US</dc:language>
  <cp:lastModifiedBy/>
  <dcterms:modified xsi:type="dcterms:W3CDTF">2026-08-04T19:10:43Z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