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8A" w:rsidRPr="00CC7A0F" w:rsidRDefault="0061488A">
      <w:pPr>
        <w:jc w:val="center"/>
        <w:rPr>
          <w:rFonts w:ascii="Arial" w:hAnsi="Arial"/>
          <w:b/>
          <w:color w:val="008000"/>
          <w:sz w:val="24"/>
        </w:rPr>
      </w:pPr>
      <w:r w:rsidRPr="00CC7A0F">
        <w:rPr>
          <w:rFonts w:ascii="Arial" w:hAnsi="Arial"/>
          <w:b/>
          <w:color w:val="008000"/>
          <w:sz w:val="24"/>
        </w:rPr>
        <w:t>Two-Way Independent Samples Trend Analysis</w:t>
      </w:r>
      <w:r w:rsidRPr="00CC7A0F">
        <w:rPr>
          <w:rStyle w:val="FootnoteReference"/>
          <w:rFonts w:ascii="Arial" w:hAnsi="Arial"/>
          <w:b/>
          <w:color w:val="008000"/>
          <w:sz w:val="24"/>
        </w:rPr>
        <w:footnoteReference w:customMarkFollows="1" w:id="1"/>
        <w:sym w:font="Symbol" w:char="F0E3"/>
      </w:r>
    </w:p>
    <w:p w:rsidR="0061488A" w:rsidRDefault="00C16310">
      <w:pPr>
        <w:rPr>
          <w:rFonts w:ascii="Arial" w:hAnsi="Arial"/>
          <w:sz w:val="24"/>
        </w:rPr>
      </w:pPr>
      <w:r>
        <w:rPr>
          <w:rFonts w:ascii="Arial" w:hAnsi="Arial"/>
          <w:sz w:val="24"/>
        </w:rPr>
        <w:pict>
          <v:rect id="_x0000_i1025" style="width:0;height:1.5pt" o:hralign="center" o:hrstd="t" o:hr="t" fillcolor="gray" stroked="f"/>
        </w:pict>
      </w:r>
    </w:p>
    <w:p w:rsidR="0061488A" w:rsidRDefault="0061488A" w:rsidP="00CC7A0F">
      <w:pPr>
        <w:spacing w:after="120"/>
        <w:rPr>
          <w:rFonts w:ascii="Arial" w:hAnsi="Arial"/>
          <w:sz w:val="24"/>
        </w:rPr>
      </w:pPr>
      <w:r>
        <w:rPr>
          <w:rFonts w:ascii="Arial" w:hAnsi="Arial"/>
          <w:sz w:val="24"/>
        </w:rPr>
        <w:tab/>
        <w:t xml:space="preserve">Imagine that we are continuing our earlier work (from the handout "One-Way Independent Samples ANOVA with SAS") evaluating the effectiveness of the drug </w:t>
      </w:r>
      <w:proofErr w:type="spellStart"/>
      <w:r>
        <w:rPr>
          <w:rFonts w:ascii="Arial" w:hAnsi="Arial"/>
          <w:sz w:val="24"/>
        </w:rPr>
        <w:t>Athenopram</w:t>
      </w:r>
      <w:proofErr w:type="spellEnd"/>
      <w:r>
        <w:rPr>
          <w:rFonts w:ascii="Arial" w:hAnsi="Arial"/>
          <w:sz w:val="24"/>
        </w:rPr>
        <w:t xml:space="preserve"> </w:t>
      </w:r>
      <w:proofErr w:type="spellStart"/>
      <w:r>
        <w:rPr>
          <w:rFonts w:ascii="Arial" w:hAnsi="Arial"/>
          <w:sz w:val="24"/>
        </w:rPr>
        <w:t>HBr</w:t>
      </w:r>
      <w:proofErr w:type="spellEnd"/>
      <w:r>
        <w:rPr>
          <w:rFonts w:ascii="Arial" w:hAnsi="Arial"/>
          <w:sz w:val="24"/>
        </w:rPr>
        <w:t>.  This time we have data from three different groups.  The groups differ with respect to the psychiatric condition for which the drug is being employed.  We wish to determine whether the dose-response curve is the same across all three groups.</w:t>
      </w:r>
    </w:p>
    <w:p w:rsidR="0061488A" w:rsidRDefault="0061488A" w:rsidP="00CC7A0F">
      <w:pPr>
        <w:spacing w:after="120"/>
        <w:rPr>
          <w:rFonts w:ascii="Arial" w:hAnsi="Arial"/>
          <w:sz w:val="24"/>
        </w:rPr>
      </w:pPr>
      <w:r>
        <w:rPr>
          <w:rFonts w:ascii="Arial" w:hAnsi="Arial"/>
          <w:sz w:val="24"/>
        </w:rPr>
        <w:tab/>
        <w:t>Download and run the file T</w:t>
      </w:r>
      <w:r w:rsidR="00745454">
        <w:rPr>
          <w:rFonts w:ascii="Arial" w:hAnsi="Arial"/>
          <w:sz w:val="24"/>
        </w:rPr>
        <w:t>rend2.sas</w:t>
      </w:r>
      <w:r>
        <w:rPr>
          <w:rFonts w:ascii="Arial" w:hAnsi="Arial"/>
          <w:sz w:val="24"/>
        </w:rPr>
        <w:t xml:space="preserve"> from my </w:t>
      </w:r>
      <w:hyperlink r:id="rId7" w:history="1">
        <w:r w:rsidRPr="00745454">
          <w:rPr>
            <w:rStyle w:val="Hyperlink"/>
            <w:rFonts w:ascii="Arial" w:hAnsi="Arial"/>
            <w:sz w:val="24"/>
          </w:rPr>
          <w:t>SAS programs page</w:t>
        </w:r>
      </w:hyperlink>
      <w:r>
        <w:rPr>
          <w:rFonts w:ascii="Arial" w:hAnsi="Arial"/>
          <w:sz w:val="24"/>
        </w:rPr>
        <w:t>.  The contrived data (created with SAS' normal random number generator) are within the program.  We have 100 scores (20 at each of the five doses) in each diagnostic group.  Our design is Diagnosis x Dose, 3 x 5.  Diagnosis is a qualitative variable, Dose is quantitative.  Our dependent variable, as before, is a measure of the patients' psychological illness after two months of pharmacotherapy.</w:t>
      </w:r>
    </w:p>
    <w:p w:rsidR="0061488A" w:rsidRDefault="0061488A" w:rsidP="00CC7A0F">
      <w:pPr>
        <w:spacing w:after="120"/>
        <w:rPr>
          <w:rFonts w:ascii="Arial" w:hAnsi="Arial"/>
          <w:sz w:val="24"/>
        </w:rPr>
      </w:pPr>
      <w:r>
        <w:rPr>
          <w:rFonts w:ascii="Arial" w:hAnsi="Arial"/>
          <w:sz w:val="24"/>
        </w:rPr>
        <w:tab/>
        <w:t>In the data step I compute the powers of the Dose variable necessary to conduct the analysis as a polynomial regression.  If I had used a input statement of "INPUT DOSE DIAGNOS $ ILLNESS," I would have required 300 data lines, one for each participant, from "0 A 83" to "40 C 120.  I only needed 30 data lines (two per cell) with the do loop I employed.</w:t>
      </w:r>
    </w:p>
    <w:p w:rsidR="0061488A" w:rsidRDefault="0061488A" w:rsidP="00CC7A0F">
      <w:pPr>
        <w:spacing w:after="120"/>
        <w:rPr>
          <w:rFonts w:ascii="Arial" w:hAnsi="Arial"/>
          <w:sz w:val="24"/>
        </w:rPr>
      </w:pPr>
      <w:r>
        <w:rPr>
          <w:rFonts w:ascii="Arial" w:hAnsi="Arial"/>
          <w:sz w:val="24"/>
        </w:rPr>
        <w:tab/>
        <w:t>PROC MEANS and PROC PLOT are used to create a plot of the dose-response curve for each diagnostic group, with the plotting symbols being the letter representing diagnostic group.  You should edit your output file in Word to connect the plotted means with line segments.  Look at that plot.  The plots for group A is clearly quadratic, while that for group B and C are largely linear, with some quadratic thrown in.</w:t>
      </w:r>
    </w:p>
    <w:p w:rsidR="0061488A" w:rsidRDefault="0061488A" w:rsidP="00CC7A0F">
      <w:pPr>
        <w:spacing w:after="120"/>
        <w:rPr>
          <w:rFonts w:ascii="Arial" w:hAnsi="Arial"/>
          <w:sz w:val="24"/>
        </w:rPr>
      </w:pPr>
      <w:r>
        <w:rPr>
          <w:rFonts w:ascii="Arial" w:hAnsi="Arial"/>
          <w:sz w:val="24"/>
        </w:rPr>
        <w:tab/>
        <w:t xml:space="preserve">The first invocation of PROC GLM is used to conduct a standard 3 x 5 factorial ANOVA.  Note that all three effects are significant.  The interaction here is not only significant, but also large in magnitude, with an </w:t>
      </w:r>
      <w:r>
        <w:rPr>
          <w:rFonts w:ascii="Arial" w:hAnsi="Arial"/>
          <w:i/>
          <w:sz w:val="24"/>
        </w:rPr>
        <w:sym w:font="Symbol" w:char="F068"/>
      </w:r>
      <w:r>
        <w:rPr>
          <w:rFonts w:ascii="Arial" w:hAnsi="Arial"/>
          <w:i/>
          <w:sz w:val="24"/>
          <w:vertAlign w:val="superscript"/>
        </w:rPr>
        <w:t>2</w:t>
      </w:r>
      <w:r>
        <w:rPr>
          <w:rFonts w:ascii="Arial" w:hAnsi="Arial"/>
          <w:sz w:val="24"/>
        </w:rPr>
        <w:t xml:space="preserve">  of .14.  Clearly we need to investigate this interaction.</w:t>
      </w:r>
    </w:p>
    <w:p w:rsidR="0061488A" w:rsidRDefault="0061488A" w:rsidP="00CC7A0F">
      <w:pPr>
        <w:spacing w:after="120"/>
        <w:rPr>
          <w:rFonts w:ascii="Arial" w:hAnsi="Arial"/>
          <w:sz w:val="24"/>
        </w:rPr>
      </w:pPr>
      <w:r>
        <w:rPr>
          <w:rFonts w:ascii="Arial" w:hAnsi="Arial"/>
          <w:sz w:val="24"/>
        </w:rPr>
        <w:tab/>
        <w:t xml:space="preserve">The second invocation of PROC GLM obtains trend components for the Dose variable and for the interaction between Dose and Diagnosis.  Look at the output.  Sum the </w:t>
      </w:r>
      <w:r>
        <w:rPr>
          <w:rFonts w:ascii="Arial" w:hAnsi="Arial"/>
          <w:i/>
          <w:sz w:val="24"/>
        </w:rPr>
        <w:t>SS</w:t>
      </w:r>
      <w:r>
        <w:rPr>
          <w:rFonts w:ascii="Arial" w:hAnsi="Arial"/>
          <w:sz w:val="24"/>
        </w:rPr>
        <w:t xml:space="preserve"> for the four trends for the main effect of Dose.  You should get the </w:t>
      </w:r>
      <w:proofErr w:type="spellStart"/>
      <w:r>
        <w:rPr>
          <w:rFonts w:ascii="Arial" w:hAnsi="Arial"/>
          <w:i/>
          <w:sz w:val="24"/>
        </w:rPr>
        <w:t>SS</w:t>
      </w:r>
      <w:r>
        <w:rPr>
          <w:rFonts w:ascii="Arial" w:hAnsi="Arial"/>
          <w:i/>
          <w:sz w:val="24"/>
          <w:vertAlign w:val="subscript"/>
        </w:rPr>
        <w:t>Dose</w:t>
      </w:r>
      <w:proofErr w:type="spellEnd"/>
      <w:r>
        <w:rPr>
          <w:rFonts w:ascii="Arial" w:hAnsi="Arial"/>
          <w:sz w:val="24"/>
        </w:rPr>
        <w:t xml:space="preserve"> from the previous analysis.  The trends for the main effect of Dose are an orthogonal partitioning of the </w:t>
      </w:r>
      <w:r>
        <w:rPr>
          <w:rFonts w:ascii="Arial" w:hAnsi="Arial"/>
          <w:i/>
          <w:sz w:val="24"/>
        </w:rPr>
        <w:t>SS</w:t>
      </w:r>
      <w:r>
        <w:rPr>
          <w:rFonts w:ascii="Arial" w:hAnsi="Arial"/>
          <w:sz w:val="24"/>
        </w:rPr>
        <w:t xml:space="preserve"> for the main effect of Dose.  Sum the SS for the trend components of the interaction between Dose and Diagnosis.  You should get the </w:t>
      </w:r>
      <w:proofErr w:type="spellStart"/>
      <w:r>
        <w:rPr>
          <w:rFonts w:ascii="Arial" w:hAnsi="Arial"/>
          <w:i/>
          <w:sz w:val="24"/>
        </w:rPr>
        <w:t>SS</w:t>
      </w:r>
      <w:r>
        <w:rPr>
          <w:rFonts w:ascii="Arial" w:hAnsi="Arial"/>
          <w:i/>
          <w:sz w:val="24"/>
          <w:vertAlign w:val="subscript"/>
        </w:rPr>
        <w:t>Dose</w:t>
      </w:r>
      <w:proofErr w:type="spellEnd"/>
      <w:r>
        <w:rPr>
          <w:rFonts w:ascii="Arial" w:hAnsi="Arial"/>
          <w:i/>
          <w:sz w:val="24"/>
          <w:vertAlign w:val="subscript"/>
        </w:rPr>
        <w:t xml:space="preserve"> x Diagnosis</w:t>
      </w:r>
      <w:r>
        <w:rPr>
          <w:rFonts w:ascii="Arial" w:hAnsi="Arial"/>
          <w:sz w:val="24"/>
        </w:rPr>
        <w:t xml:space="preserve"> from the previous analysis.  The trends for the interaction are an orthogonal partitioning of the </w:t>
      </w:r>
      <w:r>
        <w:rPr>
          <w:rFonts w:ascii="Arial" w:hAnsi="Arial"/>
          <w:i/>
          <w:sz w:val="24"/>
        </w:rPr>
        <w:t>SS</w:t>
      </w:r>
      <w:r>
        <w:rPr>
          <w:rFonts w:ascii="Arial" w:hAnsi="Arial"/>
          <w:sz w:val="24"/>
        </w:rPr>
        <w:t xml:space="preserve"> for the interaction.  We see that the effect of Dose differs significantly across the diagnostic groups with respect to its linear, quadratic, and cubic trends.  Given these results, we should look at the linear, quadratic, and cubic trends in the simple effects (the effect of dose in each of the diagnostic groups).</w:t>
      </w:r>
    </w:p>
    <w:p w:rsidR="0061488A" w:rsidRDefault="0061488A" w:rsidP="00CC7A0F">
      <w:pPr>
        <w:spacing w:after="120"/>
        <w:rPr>
          <w:rFonts w:ascii="Arial" w:hAnsi="Arial"/>
          <w:sz w:val="24"/>
        </w:rPr>
      </w:pPr>
      <w:r>
        <w:rPr>
          <w:rFonts w:ascii="Arial" w:hAnsi="Arial"/>
          <w:sz w:val="24"/>
        </w:rPr>
        <w:lastRenderedPageBreak/>
        <w:tab/>
        <w:t>The third invocation of PROC GLM is used to conduct a trend analysis for each diagnostic group.  Do notice that I excluded the qua</w:t>
      </w:r>
      <w:r w:rsidR="00CC7A0F">
        <w:rPr>
          <w:rFonts w:ascii="Arial" w:hAnsi="Arial"/>
          <w:sz w:val="24"/>
        </w:rPr>
        <w:t>rtic</w:t>
      </w:r>
      <w:r>
        <w:rPr>
          <w:rFonts w:ascii="Arial" w:hAnsi="Arial"/>
          <w:sz w:val="24"/>
        </w:rPr>
        <w:t xml:space="preserve"> trend from the models, given that our earlier analysis indicated that it was both trivial and not significant.  We see that in Group A, there is a strong (</w:t>
      </w:r>
      <w:r>
        <w:rPr>
          <w:rFonts w:ascii="Arial" w:hAnsi="Arial"/>
          <w:i/>
          <w:sz w:val="24"/>
        </w:rPr>
        <w:sym w:font="Symbol" w:char="F068"/>
      </w:r>
      <w:r>
        <w:rPr>
          <w:rFonts w:ascii="Arial" w:hAnsi="Arial"/>
          <w:i/>
          <w:sz w:val="24"/>
          <w:vertAlign w:val="superscript"/>
        </w:rPr>
        <w:t>2</w:t>
      </w:r>
      <w:r>
        <w:rPr>
          <w:rFonts w:ascii="Arial" w:hAnsi="Arial"/>
          <w:sz w:val="24"/>
        </w:rPr>
        <w:t xml:space="preserve"> = .15) and significant quadratic trend, and a weak (</w:t>
      </w:r>
      <w:r>
        <w:rPr>
          <w:rFonts w:ascii="Arial" w:hAnsi="Arial"/>
          <w:i/>
          <w:sz w:val="24"/>
        </w:rPr>
        <w:sym w:font="Symbol" w:char="F068"/>
      </w:r>
      <w:r>
        <w:rPr>
          <w:rFonts w:ascii="Arial" w:hAnsi="Arial"/>
          <w:i/>
          <w:sz w:val="24"/>
          <w:vertAlign w:val="superscript"/>
        </w:rPr>
        <w:t>2</w:t>
      </w:r>
      <w:r>
        <w:rPr>
          <w:rFonts w:ascii="Arial" w:hAnsi="Arial"/>
          <w:sz w:val="24"/>
        </w:rPr>
        <w:t xml:space="preserve"> = .03) but significant cubic trend.  The cubic component is so small that we should not be surprised if we can see no sign of it when we look at a plot of the means or a plot of the predicted values from the cubic regression model.  PROC GLM also gives us the intercept and slopes for the cubic regression equation.  You should ignore the p values that accompany these -- they are for Type III sums of squares.  With Type III sums of squares, any overlap between predictors is not counted any predictor's sum of squares.  Our predictors are powers of the dose variable, which, of course, are highly correlated with one another, making Type III sums of squares not appropriate.</w:t>
      </w:r>
    </w:p>
    <w:p w:rsidR="0061488A" w:rsidRDefault="0061488A" w:rsidP="00CC7A0F">
      <w:pPr>
        <w:spacing w:after="120"/>
        <w:rPr>
          <w:rFonts w:ascii="Arial" w:hAnsi="Arial"/>
          <w:sz w:val="24"/>
        </w:rPr>
      </w:pPr>
      <w:r>
        <w:rPr>
          <w:rFonts w:ascii="Arial" w:hAnsi="Arial"/>
          <w:sz w:val="24"/>
        </w:rPr>
        <w:tab/>
        <w:t>In Group B, the linear trend is large (</w:t>
      </w:r>
      <w:r>
        <w:rPr>
          <w:rFonts w:ascii="Arial" w:hAnsi="Arial"/>
          <w:i/>
          <w:sz w:val="24"/>
        </w:rPr>
        <w:sym w:font="Symbol" w:char="F068"/>
      </w:r>
      <w:r>
        <w:rPr>
          <w:rFonts w:ascii="Arial" w:hAnsi="Arial"/>
          <w:i/>
          <w:sz w:val="24"/>
          <w:vertAlign w:val="superscript"/>
        </w:rPr>
        <w:t>2</w:t>
      </w:r>
      <w:r>
        <w:rPr>
          <w:rFonts w:ascii="Arial" w:hAnsi="Arial"/>
          <w:sz w:val="24"/>
        </w:rPr>
        <w:t xml:space="preserve"> = .18) and significant, and the quadratic trend is small (</w:t>
      </w:r>
      <w:r>
        <w:rPr>
          <w:rFonts w:ascii="Arial" w:hAnsi="Arial"/>
          <w:i/>
          <w:sz w:val="24"/>
        </w:rPr>
        <w:sym w:font="Symbol" w:char="F068"/>
      </w:r>
      <w:r>
        <w:rPr>
          <w:rFonts w:ascii="Arial" w:hAnsi="Arial"/>
          <w:i/>
          <w:sz w:val="24"/>
          <w:vertAlign w:val="superscript"/>
        </w:rPr>
        <w:t>2</w:t>
      </w:r>
      <w:r>
        <w:rPr>
          <w:rFonts w:ascii="Arial" w:hAnsi="Arial"/>
          <w:sz w:val="24"/>
        </w:rPr>
        <w:t xml:space="preserve"> = .03) yet significant.  In Group C, the linear effect is very strong (</w:t>
      </w:r>
      <w:r>
        <w:rPr>
          <w:rFonts w:ascii="Arial" w:hAnsi="Arial"/>
          <w:i/>
          <w:sz w:val="24"/>
        </w:rPr>
        <w:sym w:font="Symbol" w:char="F068"/>
      </w:r>
      <w:r>
        <w:rPr>
          <w:rFonts w:ascii="Arial" w:hAnsi="Arial"/>
          <w:i/>
          <w:sz w:val="24"/>
          <w:vertAlign w:val="superscript"/>
        </w:rPr>
        <w:t>2</w:t>
      </w:r>
      <w:r>
        <w:rPr>
          <w:rFonts w:ascii="Arial" w:hAnsi="Arial"/>
          <w:sz w:val="24"/>
        </w:rPr>
        <w:t xml:space="preserve"> = .31) and significant, and the quadratic effect small (</w:t>
      </w:r>
      <w:r>
        <w:rPr>
          <w:rFonts w:ascii="Arial" w:hAnsi="Arial"/>
          <w:i/>
          <w:sz w:val="24"/>
        </w:rPr>
        <w:sym w:font="Symbol" w:char="F068"/>
      </w:r>
      <w:r>
        <w:rPr>
          <w:rFonts w:ascii="Arial" w:hAnsi="Arial"/>
          <w:i/>
          <w:sz w:val="24"/>
          <w:vertAlign w:val="superscript"/>
        </w:rPr>
        <w:t>2</w:t>
      </w:r>
      <w:r>
        <w:rPr>
          <w:rFonts w:ascii="Arial" w:hAnsi="Arial"/>
          <w:sz w:val="24"/>
        </w:rPr>
        <w:t xml:space="preserve"> = ..03) yet significant.</w:t>
      </w:r>
    </w:p>
    <w:p w:rsidR="00C15789" w:rsidRDefault="0061488A" w:rsidP="00CC7A0F">
      <w:pPr>
        <w:spacing w:after="120"/>
        <w:rPr>
          <w:rFonts w:ascii="Arial" w:hAnsi="Arial"/>
          <w:sz w:val="24"/>
        </w:rPr>
      </w:pPr>
      <w:r>
        <w:rPr>
          <w:rFonts w:ascii="Arial" w:hAnsi="Arial"/>
          <w:sz w:val="24"/>
        </w:rPr>
        <w:tab/>
        <w:t xml:space="preserve">I </w:t>
      </w:r>
      <w:r w:rsidR="00C15789">
        <w:rPr>
          <w:rFonts w:ascii="Arial" w:hAnsi="Arial"/>
          <w:sz w:val="24"/>
        </w:rPr>
        <w:t>used</w:t>
      </w:r>
      <w:r>
        <w:rPr>
          <w:rFonts w:ascii="Arial" w:hAnsi="Arial"/>
          <w:sz w:val="24"/>
        </w:rPr>
        <w:t xml:space="preserve"> PROC REG to obtain the regression coefficients and a plot of regression line for a quadratic model for each diagnostic group.  Inspecting these plots should give you a better understanding of the quadratic functions, espec</w:t>
      </w:r>
      <w:r w:rsidR="00745454">
        <w:rPr>
          <w:rFonts w:ascii="Arial" w:hAnsi="Arial"/>
          <w:sz w:val="24"/>
        </w:rPr>
        <w:t>ia</w:t>
      </w:r>
      <w:r w:rsidR="00C15789">
        <w:rPr>
          <w:rFonts w:ascii="Arial" w:hAnsi="Arial"/>
          <w:sz w:val="24"/>
        </w:rPr>
        <w:t>lly if you 'connect the dots.’</w:t>
      </w:r>
    </w:p>
    <w:p w:rsidR="0061488A" w:rsidRDefault="00C15789" w:rsidP="00C15789">
      <w:pPr>
        <w:spacing w:after="120"/>
        <w:ind w:firstLine="720"/>
        <w:rPr>
          <w:rFonts w:ascii="Arial" w:hAnsi="Arial"/>
          <w:sz w:val="24"/>
        </w:rPr>
      </w:pPr>
      <w:r>
        <w:rPr>
          <w:rFonts w:ascii="Arial" w:hAnsi="Arial"/>
          <w:sz w:val="24"/>
        </w:rPr>
        <w:t xml:space="preserve">Finally, I used </w:t>
      </w:r>
      <w:proofErr w:type="spellStart"/>
      <w:r>
        <w:rPr>
          <w:rFonts w:ascii="Arial" w:hAnsi="Arial"/>
          <w:sz w:val="24"/>
        </w:rPr>
        <w:t>Gplot</w:t>
      </w:r>
      <w:proofErr w:type="spellEnd"/>
      <w:r>
        <w:rPr>
          <w:rFonts w:ascii="Arial" w:hAnsi="Arial"/>
          <w:sz w:val="24"/>
        </w:rPr>
        <w:t xml:space="preserve"> to make an interaction plot with smoothed lines.  </w:t>
      </w:r>
      <w:bookmarkStart w:id="0" w:name="_GoBack"/>
      <w:bookmarkEnd w:id="0"/>
      <w:proofErr w:type="spellStart"/>
      <w:r w:rsidR="00745454">
        <w:rPr>
          <w:rFonts w:ascii="Arial" w:hAnsi="Arial"/>
          <w:sz w:val="24"/>
        </w:rPr>
        <w:t>Proc</w:t>
      </w:r>
      <w:proofErr w:type="spellEnd"/>
      <w:r w:rsidR="00745454">
        <w:rPr>
          <w:rFonts w:ascii="Arial" w:hAnsi="Arial"/>
          <w:sz w:val="24"/>
        </w:rPr>
        <w:t xml:space="preserve"> Plot makes pretty clunky plots.  Use </w:t>
      </w:r>
      <w:proofErr w:type="spellStart"/>
      <w:r w:rsidR="00745454">
        <w:rPr>
          <w:rFonts w:ascii="Arial" w:hAnsi="Arial"/>
          <w:sz w:val="24"/>
        </w:rPr>
        <w:t>Gplot</w:t>
      </w:r>
      <w:proofErr w:type="spellEnd"/>
      <w:r w:rsidR="00745454">
        <w:rPr>
          <w:rFonts w:ascii="Arial" w:hAnsi="Arial"/>
          <w:sz w:val="24"/>
        </w:rPr>
        <w:t xml:space="preserve"> or </w:t>
      </w:r>
      <w:hyperlink r:id="rId8" w:history="1">
        <w:r w:rsidR="00745454" w:rsidRPr="00745454">
          <w:rPr>
            <w:rStyle w:val="Hyperlink"/>
            <w:rFonts w:ascii="Arial" w:hAnsi="Arial"/>
            <w:sz w:val="24"/>
          </w:rPr>
          <w:t>Excel</w:t>
        </w:r>
      </w:hyperlink>
      <w:r w:rsidR="00745454">
        <w:rPr>
          <w:rFonts w:ascii="Arial" w:hAnsi="Arial"/>
          <w:sz w:val="24"/>
        </w:rPr>
        <w:t xml:space="preserve"> to produce better looking plots.</w:t>
      </w:r>
    </w:p>
    <w:p w:rsidR="0061488A" w:rsidRDefault="0061488A" w:rsidP="00CC7A0F">
      <w:pPr>
        <w:pStyle w:val="Heading1"/>
        <w:tabs>
          <w:tab w:val="center" w:pos="4410"/>
        </w:tabs>
        <w:spacing w:after="120"/>
        <w:jc w:val="center"/>
      </w:pPr>
      <w:r>
        <w:t>Results</w:t>
      </w:r>
    </w:p>
    <w:p w:rsidR="0061488A" w:rsidRDefault="0061488A" w:rsidP="00CC7A0F">
      <w:pPr>
        <w:pStyle w:val="Heading1"/>
        <w:tabs>
          <w:tab w:val="center" w:pos="4410"/>
        </w:tabs>
        <w:spacing w:after="120"/>
        <w:jc w:val="center"/>
      </w:pPr>
      <w:r>
        <w:t>&lt;Table of Means and Standard Deviations&gt;</w:t>
      </w:r>
    </w:p>
    <w:p w:rsidR="0061488A" w:rsidRDefault="0061488A" w:rsidP="00CC7A0F">
      <w:pPr>
        <w:spacing w:after="120"/>
        <w:rPr>
          <w:rFonts w:ascii="Arial" w:hAnsi="Arial"/>
          <w:sz w:val="24"/>
        </w:rPr>
      </w:pPr>
      <w:r>
        <w:rPr>
          <w:rFonts w:ascii="Arial" w:hAnsi="Arial"/>
          <w:sz w:val="24"/>
        </w:rPr>
        <w:tab/>
        <w:t xml:space="preserve">Cell means and standard deviations are shown in Table 1.  A factorial trend analysis (Dose x Diagnosis) was conducted to determine the effects of dose of </w:t>
      </w:r>
      <w:proofErr w:type="spellStart"/>
      <w:r>
        <w:rPr>
          <w:rFonts w:ascii="Arial" w:hAnsi="Arial"/>
          <w:sz w:val="24"/>
        </w:rPr>
        <w:t>Athenopram</w:t>
      </w:r>
      <w:proofErr w:type="spellEnd"/>
      <w:r>
        <w:rPr>
          <w:rFonts w:ascii="Arial" w:hAnsi="Arial"/>
          <w:sz w:val="24"/>
        </w:rPr>
        <w:t xml:space="preserve"> in each diagnostic group</w:t>
      </w:r>
      <w:r w:rsidR="00A02F60">
        <w:rPr>
          <w:rFonts w:ascii="Arial" w:hAnsi="Arial"/>
          <w:sz w:val="24"/>
        </w:rPr>
        <w:t xml:space="preserve"> of patients at the </w:t>
      </w:r>
      <w:hyperlink r:id="rId9" w:history="1">
        <w:r w:rsidR="004D4655" w:rsidRPr="007C46C0">
          <w:rPr>
            <w:rStyle w:val="Hyperlink"/>
            <w:rFonts w:ascii="Arial" w:hAnsi="Arial"/>
            <w:sz w:val="24"/>
          </w:rPr>
          <w:t>Psychiatric Institute for Abused Cuddly Toys</w:t>
        </w:r>
      </w:hyperlink>
      <w:r w:rsidR="007C46C0">
        <w:rPr>
          <w:rFonts w:ascii="Arial" w:hAnsi="Arial"/>
          <w:sz w:val="24"/>
        </w:rPr>
        <w:t xml:space="preserve"> (</w:t>
      </w:r>
      <w:proofErr w:type="spellStart"/>
      <w:r w:rsidR="007C46C0">
        <w:rPr>
          <w:rFonts w:ascii="Arial" w:hAnsi="Arial"/>
          <w:sz w:val="24"/>
        </w:rPr>
        <w:t>Psychiatrie</w:t>
      </w:r>
      <w:proofErr w:type="spellEnd"/>
      <w:r w:rsidR="007C46C0">
        <w:rPr>
          <w:rFonts w:ascii="Arial" w:hAnsi="Arial"/>
          <w:sz w:val="24"/>
        </w:rPr>
        <w:t xml:space="preserve"> </w:t>
      </w:r>
      <w:proofErr w:type="spellStart"/>
      <w:r w:rsidR="007C46C0">
        <w:rPr>
          <w:rFonts w:ascii="Arial" w:hAnsi="Arial"/>
          <w:sz w:val="24"/>
        </w:rPr>
        <w:t>f</w:t>
      </w:r>
      <w:r w:rsidR="007C46C0">
        <w:rPr>
          <w:rFonts w:ascii="Arial" w:hAnsi="Arial" w:cs="Arial"/>
          <w:sz w:val="24"/>
        </w:rPr>
        <w:t>ü</w:t>
      </w:r>
      <w:r w:rsidR="007C46C0">
        <w:rPr>
          <w:rFonts w:ascii="Arial" w:hAnsi="Arial"/>
          <w:sz w:val="24"/>
        </w:rPr>
        <w:t>r</w:t>
      </w:r>
      <w:proofErr w:type="spellEnd"/>
      <w:r w:rsidR="007C46C0">
        <w:rPr>
          <w:rFonts w:ascii="Arial" w:hAnsi="Arial"/>
          <w:sz w:val="24"/>
        </w:rPr>
        <w:t xml:space="preserve"> </w:t>
      </w:r>
      <w:proofErr w:type="spellStart"/>
      <w:r w:rsidR="007C46C0">
        <w:rPr>
          <w:rFonts w:ascii="Arial" w:hAnsi="Arial"/>
          <w:sz w:val="24"/>
        </w:rPr>
        <w:t>misshandelte</w:t>
      </w:r>
      <w:proofErr w:type="spellEnd"/>
      <w:r w:rsidR="007C46C0">
        <w:rPr>
          <w:rFonts w:ascii="Arial" w:hAnsi="Arial"/>
          <w:sz w:val="24"/>
        </w:rPr>
        <w:t xml:space="preserve"> </w:t>
      </w:r>
      <w:proofErr w:type="spellStart"/>
      <w:r w:rsidR="007C46C0">
        <w:rPr>
          <w:rFonts w:ascii="Arial" w:hAnsi="Arial"/>
          <w:sz w:val="24"/>
        </w:rPr>
        <w:t>Kuscheltiere</w:t>
      </w:r>
      <w:proofErr w:type="spellEnd"/>
      <w:r w:rsidR="007C46C0">
        <w:rPr>
          <w:rFonts w:ascii="Arial" w:hAnsi="Arial"/>
          <w:sz w:val="24"/>
        </w:rPr>
        <w:t>)</w:t>
      </w:r>
      <w:r>
        <w:rPr>
          <w:rFonts w:ascii="Arial" w:hAnsi="Arial"/>
          <w:sz w:val="24"/>
        </w:rPr>
        <w:t xml:space="preserve">.  As shown in Table 2, the interaction between dose of drug and diagnostic group was both statistically significant and large in magnitude.  The diagnostic groups differed significantly with respect to the linear, quadratic, and cubic components of dose of </w:t>
      </w:r>
      <w:proofErr w:type="spellStart"/>
      <w:r>
        <w:rPr>
          <w:rFonts w:ascii="Arial" w:hAnsi="Arial"/>
          <w:sz w:val="24"/>
        </w:rPr>
        <w:t>Athenopram</w:t>
      </w:r>
      <w:proofErr w:type="spellEnd"/>
      <w:r>
        <w:rPr>
          <w:rFonts w:ascii="Arial" w:hAnsi="Arial"/>
          <w:sz w:val="24"/>
        </w:rPr>
        <w:t xml:space="preserve">.  The simple effects of dose of </w:t>
      </w:r>
      <w:proofErr w:type="spellStart"/>
      <w:r>
        <w:rPr>
          <w:rFonts w:ascii="Arial" w:hAnsi="Arial"/>
          <w:sz w:val="24"/>
        </w:rPr>
        <w:t>Athenopram</w:t>
      </w:r>
      <w:proofErr w:type="spellEnd"/>
      <w:r>
        <w:rPr>
          <w:rFonts w:ascii="Arial" w:hAnsi="Arial"/>
          <w:sz w:val="24"/>
        </w:rPr>
        <w:t xml:space="preserve"> were tested within each diagnostic group.  Among patients diagnosed with illness A, there was a significant quadratic trend, </w:t>
      </w:r>
      <w:r>
        <w:rPr>
          <w:rFonts w:ascii="Arial" w:hAnsi="Arial"/>
          <w:i/>
          <w:sz w:val="24"/>
        </w:rPr>
        <w:t>F</w:t>
      </w:r>
      <w:r>
        <w:rPr>
          <w:rFonts w:ascii="Arial" w:hAnsi="Arial"/>
          <w:sz w:val="24"/>
        </w:rPr>
        <w:t xml:space="preserve">(1, 96) = 17.97, </w:t>
      </w:r>
      <w:r>
        <w:rPr>
          <w:rFonts w:ascii="Arial" w:hAnsi="Arial"/>
          <w:i/>
          <w:sz w:val="24"/>
        </w:rPr>
        <w:t>p</w:t>
      </w:r>
      <w:r>
        <w:rPr>
          <w:rFonts w:ascii="Arial" w:hAnsi="Arial"/>
          <w:sz w:val="24"/>
        </w:rPr>
        <w:t xml:space="preserve"> &lt; .001, </w:t>
      </w:r>
      <w:r>
        <w:rPr>
          <w:rFonts w:ascii="Arial" w:hAnsi="Arial"/>
          <w:i/>
          <w:sz w:val="24"/>
        </w:rPr>
        <w:sym w:font="Symbol" w:char="F068"/>
      </w:r>
      <w:r>
        <w:rPr>
          <w:rFonts w:ascii="Arial" w:hAnsi="Arial"/>
          <w:i/>
          <w:sz w:val="24"/>
          <w:vertAlign w:val="superscript"/>
        </w:rPr>
        <w:t>2</w:t>
      </w:r>
      <w:r>
        <w:rPr>
          <w:rFonts w:ascii="Arial" w:hAnsi="Arial"/>
          <w:sz w:val="24"/>
        </w:rPr>
        <w:t xml:space="preserve"> = .15, and a significant cubic trend, </w:t>
      </w:r>
      <w:r>
        <w:rPr>
          <w:rFonts w:ascii="Arial" w:hAnsi="Arial"/>
          <w:i/>
          <w:sz w:val="24"/>
        </w:rPr>
        <w:t>F</w:t>
      </w:r>
      <w:r>
        <w:rPr>
          <w:rFonts w:ascii="Arial" w:hAnsi="Arial"/>
          <w:sz w:val="24"/>
        </w:rPr>
        <w:t xml:space="preserve">(1, 96) = 4.10, </w:t>
      </w:r>
      <w:r>
        <w:rPr>
          <w:rFonts w:ascii="Arial" w:hAnsi="Arial"/>
          <w:i/>
          <w:sz w:val="24"/>
        </w:rPr>
        <w:t>p</w:t>
      </w:r>
      <w:r>
        <w:rPr>
          <w:rFonts w:ascii="Arial" w:hAnsi="Arial"/>
          <w:sz w:val="24"/>
        </w:rPr>
        <w:t xml:space="preserve"> = .046, </w:t>
      </w:r>
      <w:r>
        <w:rPr>
          <w:rFonts w:ascii="Arial" w:hAnsi="Arial"/>
          <w:i/>
          <w:sz w:val="24"/>
        </w:rPr>
        <w:sym w:font="Symbol" w:char="F068"/>
      </w:r>
      <w:r>
        <w:rPr>
          <w:rFonts w:ascii="Arial" w:hAnsi="Arial"/>
          <w:i/>
          <w:sz w:val="24"/>
          <w:vertAlign w:val="superscript"/>
        </w:rPr>
        <w:t>2</w:t>
      </w:r>
      <w:r>
        <w:rPr>
          <w:rFonts w:ascii="Arial" w:hAnsi="Arial"/>
          <w:sz w:val="24"/>
        </w:rPr>
        <w:t xml:space="preserve"> = .03.  As shown in Figure 1, remission of symptoms of patients with this diagnosis was greatly reduced by the 10 mg dose, but the effectiveness of the </w:t>
      </w:r>
      <w:proofErr w:type="spellStart"/>
      <w:r>
        <w:rPr>
          <w:rFonts w:ascii="Arial" w:hAnsi="Arial"/>
          <w:sz w:val="24"/>
        </w:rPr>
        <w:t>Athenopram</w:t>
      </w:r>
      <w:proofErr w:type="spellEnd"/>
      <w:r>
        <w:rPr>
          <w:rFonts w:ascii="Arial" w:hAnsi="Arial"/>
          <w:sz w:val="24"/>
        </w:rPr>
        <w:t xml:space="preserve"> decreased with increases in dose beyond 10 mg.  Among patients with condition B, the linear effect of dose was large and significant, </w:t>
      </w:r>
      <w:r>
        <w:rPr>
          <w:rFonts w:ascii="Arial" w:hAnsi="Arial"/>
          <w:i/>
          <w:sz w:val="24"/>
        </w:rPr>
        <w:t>F</w:t>
      </w:r>
      <w:r>
        <w:rPr>
          <w:rFonts w:ascii="Arial" w:hAnsi="Arial"/>
          <w:sz w:val="24"/>
        </w:rPr>
        <w:t xml:space="preserve">(1, 96) = 23.09, </w:t>
      </w:r>
      <w:r>
        <w:rPr>
          <w:rFonts w:ascii="Arial" w:hAnsi="Arial"/>
          <w:i/>
          <w:sz w:val="24"/>
        </w:rPr>
        <w:t>p</w:t>
      </w:r>
      <w:r>
        <w:rPr>
          <w:rFonts w:ascii="Arial" w:hAnsi="Arial"/>
          <w:sz w:val="24"/>
        </w:rPr>
        <w:t xml:space="preserve"> &lt; .001, </w:t>
      </w:r>
      <w:r>
        <w:rPr>
          <w:rFonts w:ascii="Arial" w:hAnsi="Arial"/>
          <w:i/>
          <w:sz w:val="24"/>
        </w:rPr>
        <w:sym w:font="Symbol" w:char="F068"/>
      </w:r>
      <w:r>
        <w:rPr>
          <w:rFonts w:ascii="Arial" w:hAnsi="Arial"/>
          <w:i/>
          <w:sz w:val="24"/>
          <w:vertAlign w:val="superscript"/>
        </w:rPr>
        <w:t>2</w:t>
      </w:r>
      <w:r>
        <w:rPr>
          <w:rFonts w:ascii="Arial" w:hAnsi="Arial"/>
          <w:sz w:val="24"/>
        </w:rPr>
        <w:t xml:space="preserve"> = .18, and the quadratic effect was small but significant, </w:t>
      </w:r>
      <w:r>
        <w:rPr>
          <w:rFonts w:ascii="Arial" w:hAnsi="Arial"/>
          <w:i/>
          <w:sz w:val="24"/>
        </w:rPr>
        <w:t>F</w:t>
      </w:r>
      <w:r>
        <w:rPr>
          <w:rFonts w:ascii="Arial" w:hAnsi="Arial"/>
          <w:sz w:val="24"/>
        </w:rPr>
        <w:t xml:space="preserve">(1, 96) = 4.08, </w:t>
      </w:r>
      <w:r>
        <w:rPr>
          <w:rFonts w:ascii="Arial" w:hAnsi="Arial"/>
          <w:i/>
          <w:sz w:val="24"/>
        </w:rPr>
        <w:t>p</w:t>
      </w:r>
      <w:r>
        <w:rPr>
          <w:rFonts w:ascii="Arial" w:hAnsi="Arial"/>
          <w:sz w:val="24"/>
        </w:rPr>
        <w:t xml:space="preserve"> = .046, </w:t>
      </w:r>
      <w:r>
        <w:rPr>
          <w:rFonts w:ascii="Arial" w:hAnsi="Arial"/>
          <w:i/>
          <w:sz w:val="24"/>
        </w:rPr>
        <w:sym w:font="Symbol" w:char="F068"/>
      </w:r>
      <w:r>
        <w:rPr>
          <w:rFonts w:ascii="Arial" w:hAnsi="Arial"/>
          <w:i/>
          <w:sz w:val="24"/>
          <w:vertAlign w:val="superscript"/>
        </w:rPr>
        <w:t>2</w:t>
      </w:r>
      <w:r>
        <w:rPr>
          <w:rFonts w:ascii="Arial" w:hAnsi="Arial"/>
          <w:sz w:val="24"/>
        </w:rPr>
        <w:t xml:space="preserve"> = .03.  In this group the 10 mg treatment aggravated the patients' illness, but larger doses were </w:t>
      </w:r>
      <w:r>
        <w:rPr>
          <w:rFonts w:ascii="Arial" w:hAnsi="Arial"/>
          <w:sz w:val="24"/>
        </w:rPr>
        <w:lastRenderedPageBreak/>
        <w:t xml:space="preserve">effective in reducing symptoms, with effectiveness a linear function of dosage.  Among patients with diagnosis C, there was a very strong and significant linear effect of dosage </w:t>
      </w:r>
      <w:r>
        <w:rPr>
          <w:rFonts w:ascii="Arial" w:hAnsi="Arial"/>
          <w:i/>
          <w:sz w:val="24"/>
        </w:rPr>
        <w:t>F</w:t>
      </w:r>
      <w:r>
        <w:rPr>
          <w:rFonts w:ascii="Arial" w:hAnsi="Arial"/>
          <w:sz w:val="24"/>
        </w:rPr>
        <w:t xml:space="preserve">(1, 96) = 44.59, </w:t>
      </w:r>
      <w:r>
        <w:rPr>
          <w:rFonts w:ascii="Arial" w:hAnsi="Arial"/>
          <w:i/>
          <w:sz w:val="24"/>
        </w:rPr>
        <w:t>p</w:t>
      </w:r>
      <w:r>
        <w:rPr>
          <w:rFonts w:ascii="Arial" w:hAnsi="Arial"/>
          <w:sz w:val="24"/>
        </w:rPr>
        <w:t xml:space="preserve"> &lt; .001, </w:t>
      </w:r>
      <w:r>
        <w:rPr>
          <w:rFonts w:ascii="Arial" w:hAnsi="Arial"/>
          <w:i/>
          <w:sz w:val="24"/>
        </w:rPr>
        <w:sym w:font="Symbol" w:char="F068"/>
      </w:r>
      <w:r>
        <w:rPr>
          <w:rFonts w:ascii="Arial" w:hAnsi="Arial"/>
          <w:i/>
          <w:sz w:val="24"/>
          <w:vertAlign w:val="superscript"/>
        </w:rPr>
        <w:t>2</w:t>
      </w:r>
      <w:r>
        <w:rPr>
          <w:rFonts w:ascii="Arial" w:hAnsi="Arial"/>
          <w:sz w:val="24"/>
        </w:rPr>
        <w:t xml:space="preserve"> = .31, and a small but significant quadratic trend, </w:t>
      </w:r>
      <w:r>
        <w:rPr>
          <w:rFonts w:ascii="Arial" w:hAnsi="Arial"/>
          <w:i/>
          <w:sz w:val="24"/>
        </w:rPr>
        <w:t>F</w:t>
      </w:r>
      <w:r>
        <w:rPr>
          <w:rFonts w:ascii="Arial" w:hAnsi="Arial"/>
          <w:sz w:val="24"/>
        </w:rPr>
        <w:t xml:space="preserve">(1, 96) = 4.29, </w:t>
      </w:r>
      <w:r>
        <w:rPr>
          <w:rFonts w:ascii="Arial" w:hAnsi="Arial"/>
          <w:i/>
          <w:sz w:val="24"/>
        </w:rPr>
        <w:t>p</w:t>
      </w:r>
      <w:r>
        <w:rPr>
          <w:rFonts w:ascii="Arial" w:hAnsi="Arial"/>
          <w:sz w:val="24"/>
        </w:rPr>
        <w:t xml:space="preserve"> =.041, </w:t>
      </w:r>
      <w:r>
        <w:rPr>
          <w:rFonts w:ascii="Arial" w:hAnsi="Arial"/>
          <w:i/>
          <w:sz w:val="24"/>
        </w:rPr>
        <w:sym w:font="Symbol" w:char="F068"/>
      </w:r>
      <w:r>
        <w:rPr>
          <w:rFonts w:ascii="Arial" w:hAnsi="Arial"/>
          <w:i/>
          <w:sz w:val="24"/>
          <w:vertAlign w:val="superscript"/>
        </w:rPr>
        <w:t>2</w:t>
      </w:r>
      <w:r>
        <w:rPr>
          <w:rFonts w:ascii="Arial" w:hAnsi="Arial"/>
          <w:sz w:val="24"/>
        </w:rPr>
        <w:t xml:space="preserve"> = .03.  For these patients, every increase in dosage was accompanied by a decrease in symptoms.</w:t>
      </w:r>
    </w:p>
    <w:p w:rsidR="0061488A" w:rsidRDefault="0061488A">
      <w:pPr>
        <w:pStyle w:val="Heading1"/>
        <w:tabs>
          <w:tab w:val="center" w:pos="4410"/>
        </w:tabs>
      </w:pPr>
      <w:r>
        <w:tab/>
        <w:t>Table 2:  Trend Analysis</w:t>
      </w:r>
    </w:p>
    <w:tbl>
      <w:tblPr>
        <w:tblW w:w="0" w:type="auto"/>
        <w:jc w:val="center"/>
        <w:tblLayout w:type="fixed"/>
        <w:tblLook w:val="0000" w:firstRow="0" w:lastRow="0" w:firstColumn="0" w:lastColumn="0" w:noHBand="0" w:noVBand="0"/>
      </w:tblPr>
      <w:tblGrid>
        <w:gridCol w:w="1544"/>
        <w:gridCol w:w="720"/>
        <w:gridCol w:w="900"/>
        <w:gridCol w:w="900"/>
        <w:gridCol w:w="643"/>
      </w:tblGrid>
      <w:tr w:rsidR="0061488A">
        <w:trPr>
          <w:jc w:val="center"/>
        </w:trPr>
        <w:tc>
          <w:tcPr>
            <w:tcW w:w="1544" w:type="dxa"/>
            <w:tcBorders>
              <w:top w:val="single" w:sz="4" w:space="0" w:color="auto"/>
              <w:bottom w:val="single" w:sz="4" w:space="0" w:color="auto"/>
            </w:tcBorders>
          </w:tcPr>
          <w:p w:rsidR="0061488A" w:rsidRDefault="0061488A">
            <w:pPr>
              <w:tabs>
                <w:tab w:val="left" w:pos="3168"/>
              </w:tabs>
              <w:rPr>
                <w:rFonts w:ascii="Arial" w:hAnsi="Arial"/>
                <w:sz w:val="24"/>
              </w:rPr>
            </w:pPr>
            <w:r>
              <w:rPr>
                <w:rFonts w:ascii="Arial" w:hAnsi="Arial"/>
                <w:sz w:val="24"/>
              </w:rPr>
              <w:t>Effect</w:t>
            </w:r>
          </w:p>
        </w:tc>
        <w:tc>
          <w:tcPr>
            <w:tcW w:w="720" w:type="dxa"/>
            <w:tcBorders>
              <w:top w:val="single" w:sz="4" w:space="0" w:color="auto"/>
              <w:bottom w:val="single" w:sz="4" w:space="0" w:color="auto"/>
            </w:tcBorders>
          </w:tcPr>
          <w:p w:rsidR="0061488A" w:rsidRDefault="0061488A">
            <w:pPr>
              <w:tabs>
                <w:tab w:val="left" w:pos="3168"/>
              </w:tabs>
              <w:jc w:val="center"/>
              <w:rPr>
                <w:rFonts w:ascii="Arial" w:hAnsi="Arial"/>
                <w:i/>
                <w:sz w:val="24"/>
              </w:rPr>
            </w:pPr>
            <w:r>
              <w:rPr>
                <w:rFonts w:ascii="Arial" w:hAnsi="Arial"/>
                <w:i/>
                <w:sz w:val="24"/>
              </w:rPr>
              <w:t>df</w:t>
            </w:r>
          </w:p>
        </w:tc>
        <w:tc>
          <w:tcPr>
            <w:tcW w:w="900" w:type="dxa"/>
            <w:tcBorders>
              <w:top w:val="single" w:sz="4" w:space="0" w:color="auto"/>
              <w:bottom w:val="single" w:sz="4" w:space="0" w:color="auto"/>
            </w:tcBorders>
          </w:tcPr>
          <w:p w:rsidR="0061488A" w:rsidRDefault="0061488A">
            <w:pPr>
              <w:pStyle w:val="Heading2"/>
            </w:pPr>
            <w:r>
              <w:t>F</w:t>
            </w:r>
          </w:p>
        </w:tc>
        <w:tc>
          <w:tcPr>
            <w:tcW w:w="900" w:type="dxa"/>
            <w:tcBorders>
              <w:top w:val="single" w:sz="4" w:space="0" w:color="auto"/>
              <w:bottom w:val="single" w:sz="4" w:space="0" w:color="auto"/>
            </w:tcBorders>
          </w:tcPr>
          <w:p w:rsidR="0061488A" w:rsidRDefault="0061488A">
            <w:pPr>
              <w:tabs>
                <w:tab w:val="left" w:pos="3168"/>
              </w:tabs>
              <w:jc w:val="center"/>
              <w:rPr>
                <w:rFonts w:ascii="Arial" w:hAnsi="Arial"/>
                <w:i/>
                <w:sz w:val="24"/>
              </w:rPr>
            </w:pPr>
            <w:r>
              <w:rPr>
                <w:rFonts w:ascii="Arial" w:hAnsi="Arial"/>
                <w:i/>
                <w:sz w:val="24"/>
              </w:rPr>
              <w:t>p</w:t>
            </w:r>
          </w:p>
        </w:tc>
        <w:tc>
          <w:tcPr>
            <w:tcW w:w="643" w:type="dxa"/>
            <w:tcBorders>
              <w:top w:val="single" w:sz="4" w:space="0" w:color="auto"/>
              <w:bottom w:val="single" w:sz="4" w:space="0" w:color="auto"/>
            </w:tcBorders>
          </w:tcPr>
          <w:p w:rsidR="0061488A" w:rsidRDefault="0061488A">
            <w:pPr>
              <w:tabs>
                <w:tab w:val="left" w:pos="3168"/>
              </w:tabs>
              <w:jc w:val="center"/>
              <w:rPr>
                <w:rFonts w:ascii="Arial" w:hAnsi="Arial"/>
                <w:i/>
                <w:sz w:val="24"/>
                <w:vertAlign w:val="superscript"/>
              </w:rPr>
            </w:pPr>
            <w:r>
              <w:rPr>
                <w:rFonts w:ascii="Arial" w:hAnsi="Arial"/>
                <w:i/>
                <w:sz w:val="24"/>
              </w:rPr>
              <w:sym w:font="Symbol" w:char="F068"/>
            </w:r>
            <w:r>
              <w:rPr>
                <w:rFonts w:ascii="Arial" w:hAnsi="Arial"/>
                <w:i/>
                <w:sz w:val="24"/>
                <w:vertAlign w:val="superscript"/>
              </w:rPr>
              <w:t>2</w:t>
            </w:r>
          </w:p>
        </w:tc>
      </w:tr>
      <w:tr w:rsidR="0061488A">
        <w:trPr>
          <w:jc w:val="center"/>
        </w:trPr>
        <w:tc>
          <w:tcPr>
            <w:tcW w:w="1544" w:type="dxa"/>
          </w:tcPr>
          <w:p w:rsidR="0061488A" w:rsidRDefault="0061488A">
            <w:pPr>
              <w:pStyle w:val="Heading1"/>
              <w:tabs>
                <w:tab w:val="left" w:pos="266"/>
                <w:tab w:val="left" w:pos="3168"/>
              </w:tabs>
            </w:pPr>
            <w:r>
              <w:t>Diagnosis</w:t>
            </w:r>
          </w:p>
        </w:tc>
        <w:tc>
          <w:tcPr>
            <w:tcW w:w="720" w:type="dxa"/>
          </w:tcPr>
          <w:p w:rsidR="0061488A" w:rsidRDefault="0061488A">
            <w:pPr>
              <w:pStyle w:val="Heading1"/>
              <w:tabs>
                <w:tab w:val="decimal" w:pos="342"/>
                <w:tab w:val="left" w:pos="3168"/>
              </w:tabs>
            </w:pPr>
            <w:r>
              <w:tab/>
              <w:t>2</w:t>
            </w:r>
          </w:p>
        </w:tc>
        <w:tc>
          <w:tcPr>
            <w:tcW w:w="900" w:type="dxa"/>
          </w:tcPr>
          <w:p w:rsidR="0061488A" w:rsidRDefault="0061488A">
            <w:pPr>
              <w:pStyle w:val="Heading1"/>
              <w:tabs>
                <w:tab w:val="decimal" w:pos="252"/>
                <w:tab w:val="left" w:pos="3168"/>
              </w:tabs>
            </w:pPr>
            <w:r>
              <w:tab/>
              <w:t>3.50</w:t>
            </w:r>
          </w:p>
        </w:tc>
        <w:tc>
          <w:tcPr>
            <w:tcW w:w="900" w:type="dxa"/>
          </w:tcPr>
          <w:p w:rsidR="0061488A" w:rsidRDefault="0061488A">
            <w:pPr>
              <w:pStyle w:val="Heading1"/>
              <w:tabs>
                <w:tab w:val="decimal" w:pos="162"/>
                <w:tab w:val="left" w:pos="3168"/>
              </w:tabs>
            </w:pPr>
            <w:r>
              <w:tab/>
              <w:t>.031</w:t>
            </w:r>
          </w:p>
        </w:tc>
        <w:tc>
          <w:tcPr>
            <w:tcW w:w="643" w:type="dxa"/>
          </w:tcPr>
          <w:p w:rsidR="0061488A" w:rsidRDefault="0061488A">
            <w:pPr>
              <w:pStyle w:val="Heading1"/>
              <w:tabs>
                <w:tab w:val="left" w:pos="3168"/>
              </w:tabs>
            </w:pPr>
            <w:r>
              <w:t>.02</w:t>
            </w:r>
          </w:p>
        </w:tc>
      </w:tr>
      <w:tr w:rsidR="0061488A">
        <w:trPr>
          <w:jc w:val="center"/>
        </w:trPr>
        <w:tc>
          <w:tcPr>
            <w:tcW w:w="1544" w:type="dxa"/>
          </w:tcPr>
          <w:p w:rsidR="0061488A" w:rsidRDefault="0061488A">
            <w:pPr>
              <w:tabs>
                <w:tab w:val="left" w:pos="266"/>
                <w:tab w:val="left" w:pos="3168"/>
              </w:tabs>
              <w:rPr>
                <w:rFonts w:ascii="Arial" w:hAnsi="Arial"/>
                <w:sz w:val="24"/>
              </w:rPr>
            </w:pPr>
            <w:r>
              <w:rPr>
                <w:rFonts w:ascii="Arial" w:hAnsi="Arial"/>
                <w:sz w:val="24"/>
              </w:rPr>
              <w:t>Dose</w:t>
            </w:r>
          </w:p>
        </w:tc>
        <w:tc>
          <w:tcPr>
            <w:tcW w:w="720" w:type="dxa"/>
          </w:tcPr>
          <w:p w:rsidR="0061488A" w:rsidRDefault="0061488A">
            <w:pPr>
              <w:tabs>
                <w:tab w:val="decimal" w:pos="342"/>
                <w:tab w:val="left" w:pos="3168"/>
              </w:tabs>
              <w:rPr>
                <w:rFonts w:ascii="Arial" w:hAnsi="Arial"/>
                <w:sz w:val="24"/>
              </w:rPr>
            </w:pPr>
            <w:r>
              <w:rPr>
                <w:rFonts w:ascii="Arial" w:hAnsi="Arial"/>
                <w:sz w:val="24"/>
              </w:rPr>
              <w:tab/>
              <w:t>4</w:t>
            </w:r>
          </w:p>
        </w:tc>
        <w:tc>
          <w:tcPr>
            <w:tcW w:w="900" w:type="dxa"/>
          </w:tcPr>
          <w:p w:rsidR="0061488A" w:rsidRDefault="0061488A">
            <w:pPr>
              <w:tabs>
                <w:tab w:val="decimal" w:pos="252"/>
                <w:tab w:val="left" w:pos="3168"/>
              </w:tabs>
              <w:rPr>
                <w:rFonts w:ascii="Arial" w:hAnsi="Arial"/>
                <w:sz w:val="24"/>
              </w:rPr>
            </w:pPr>
            <w:r>
              <w:rPr>
                <w:rFonts w:ascii="Arial" w:hAnsi="Arial"/>
                <w:sz w:val="24"/>
              </w:rPr>
              <w:tab/>
              <w:t>11.60</w:t>
            </w:r>
          </w:p>
        </w:tc>
        <w:tc>
          <w:tcPr>
            <w:tcW w:w="900" w:type="dxa"/>
          </w:tcPr>
          <w:p w:rsidR="0061488A" w:rsidRDefault="0061488A">
            <w:pPr>
              <w:tabs>
                <w:tab w:val="decimal" w:pos="162"/>
                <w:tab w:val="left" w:pos="3168"/>
              </w:tabs>
              <w:rPr>
                <w:rFonts w:ascii="Arial" w:hAnsi="Arial"/>
                <w:sz w:val="24"/>
              </w:rPr>
            </w:pPr>
            <w:r>
              <w:rPr>
                <w:rFonts w:ascii="Arial" w:hAnsi="Arial"/>
                <w:sz w:val="24"/>
              </w:rPr>
              <w:tab/>
              <w:t>&lt; .001</w:t>
            </w:r>
          </w:p>
        </w:tc>
        <w:tc>
          <w:tcPr>
            <w:tcW w:w="643" w:type="dxa"/>
          </w:tcPr>
          <w:p w:rsidR="0061488A" w:rsidRDefault="0061488A">
            <w:pPr>
              <w:tabs>
                <w:tab w:val="left" w:pos="3168"/>
              </w:tabs>
              <w:rPr>
                <w:rFonts w:ascii="Arial" w:hAnsi="Arial"/>
                <w:sz w:val="24"/>
              </w:rPr>
            </w:pPr>
            <w:r>
              <w:rPr>
                <w:rFonts w:ascii="Arial" w:hAnsi="Arial"/>
                <w:sz w:val="24"/>
              </w:rPr>
              <w:t>.12</w:t>
            </w:r>
          </w:p>
        </w:tc>
      </w:tr>
      <w:tr w:rsidR="0061488A">
        <w:trPr>
          <w:jc w:val="center"/>
        </w:trPr>
        <w:tc>
          <w:tcPr>
            <w:tcW w:w="1544" w:type="dxa"/>
          </w:tcPr>
          <w:p w:rsidR="0061488A" w:rsidRDefault="0061488A">
            <w:pPr>
              <w:tabs>
                <w:tab w:val="left" w:pos="266"/>
                <w:tab w:val="left" w:pos="3168"/>
              </w:tabs>
              <w:rPr>
                <w:rFonts w:ascii="Arial" w:hAnsi="Arial"/>
                <w:sz w:val="24"/>
              </w:rPr>
            </w:pPr>
            <w:r>
              <w:rPr>
                <w:rFonts w:ascii="Arial" w:hAnsi="Arial"/>
                <w:sz w:val="24"/>
              </w:rPr>
              <w:tab/>
              <w:t>Linear</w:t>
            </w:r>
          </w:p>
        </w:tc>
        <w:tc>
          <w:tcPr>
            <w:tcW w:w="720" w:type="dxa"/>
          </w:tcPr>
          <w:p w:rsidR="0061488A" w:rsidRDefault="0061488A">
            <w:pPr>
              <w:tabs>
                <w:tab w:val="decimal" w:pos="342"/>
                <w:tab w:val="left" w:pos="3168"/>
              </w:tabs>
              <w:rPr>
                <w:rFonts w:ascii="Arial" w:hAnsi="Arial"/>
                <w:sz w:val="24"/>
              </w:rPr>
            </w:pPr>
            <w:r>
              <w:rPr>
                <w:rFonts w:ascii="Arial" w:hAnsi="Arial"/>
                <w:sz w:val="24"/>
              </w:rPr>
              <w:tab/>
              <w:t>1</w:t>
            </w:r>
          </w:p>
        </w:tc>
        <w:tc>
          <w:tcPr>
            <w:tcW w:w="900" w:type="dxa"/>
          </w:tcPr>
          <w:p w:rsidR="0061488A" w:rsidRDefault="0061488A">
            <w:pPr>
              <w:tabs>
                <w:tab w:val="decimal" w:pos="252"/>
                <w:tab w:val="left" w:pos="3168"/>
              </w:tabs>
              <w:rPr>
                <w:rFonts w:ascii="Arial" w:hAnsi="Arial"/>
                <w:sz w:val="24"/>
              </w:rPr>
            </w:pPr>
            <w:r>
              <w:rPr>
                <w:rFonts w:ascii="Arial" w:hAnsi="Arial"/>
                <w:sz w:val="24"/>
              </w:rPr>
              <w:tab/>
              <w:t>40.59</w:t>
            </w:r>
          </w:p>
        </w:tc>
        <w:tc>
          <w:tcPr>
            <w:tcW w:w="900" w:type="dxa"/>
          </w:tcPr>
          <w:p w:rsidR="0061488A" w:rsidRDefault="0061488A">
            <w:pPr>
              <w:tabs>
                <w:tab w:val="decimal" w:pos="162"/>
                <w:tab w:val="left" w:pos="3168"/>
              </w:tabs>
              <w:rPr>
                <w:rFonts w:ascii="Arial" w:hAnsi="Arial"/>
                <w:sz w:val="24"/>
              </w:rPr>
            </w:pPr>
            <w:r>
              <w:rPr>
                <w:rFonts w:ascii="Arial" w:hAnsi="Arial"/>
                <w:sz w:val="24"/>
              </w:rPr>
              <w:tab/>
              <w:t>&lt; .001</w:t>
            </w:r>
          </w:p>
        </w:tc>
        <w:tc>
          <w:tcPr>
            <w:tcW w:w="643" w:type="dxa"/>
          </w:tcPr>
          <w:p w:rsidR="0061488A" w:rsidRDefault="0061488A">
            <w:pPr>
              <w:tabs>
                <w:tab w:val="left" w:pos="3168"/>
              </w:tabs>
              <w:rPr>
                <w:rFonts w:ascii="Arial" w:hAnsi="Arial"/>
                <w:sz w:val="24"/>
              </w:rPr>
            </w:pPr>
            <w:r>
              <w:rPr>
                <w:rFonts w:ascii="Arial" w:hAnsi="Arial"/>
                <w:sz w:val="24"/>
              </w:rPr>
              <w:t>.10</w:t>
            </w:r>
          </w:p>
        </w:tc>
      </w:tr>
      <w:tr w:rsidR="0061488A">
        <w:trPr>
          <w:jc w:val="center"/>
        </w:trPr>
        <w:tc>
          <w:tcPr>
            <w:tcW w:w="1544" w:type="dxa"/>
          </w:tcPr>
          <w:p w:rsidR="0061488A" w:rsidRDefault="0061488A">
            <w:pPr>
              <w:tabs>
                <w:tab w:val="left" w:pos="266"/>
                <w:tab w:val="left" w:pos="3168"/>
              </w:tabs>
              <w:rPr>
                <w:rFonts w:ascii="Arial" w:hAnsi="Arial"/>
                <w:sz w:val="24"/>
              </w:rPr>
            </w:pPr>
            <w:r>
              <w:rPr>
                <w:rFonts w:ascii="Arial" w:hAnsi="Arial"/>
                <w:sz w:val="24"/>
              </w:rPr>
              <w:tab/>
              <w:t>Quadratic</w:t>
            </w:r>
          </w:p>
        </w:tc>
        <w:tc>
          <w:tcPr>
            <w:tcW w:w="720" w:type="dxa"/>
          </w:tcPr>
          <w:p w:rsidR="0061488A" w:rsidRDefault="0061488A">
            <w:pPr>
              <w:tabs>
                <w:tab w:val="decimal" w:pos="342"/>
                <w:tab w:val="left" w:pos="3168"/>
              </w:tabs>
              <w:rPr>
                <w:rFonts w:ascii="Arial" w:hAnsi="Arial"/>
                <w:sz w:val="24"/>
              </w:rPr>
            </w:pPr>
            <w:r>
              <w:rPr>
                <w:rFonts w:ascii="Arial" w:hAnsi="Arial"/>
                <w:sz w:val="24"/>
              </w:rPr>
              <w:tab/>
              <w:t>1</w:t>
            </w:r>
          </w:p>
        </w:tc>
        <w:tc>
          <w:tcPr>
            <w:tcW w:w="900" w:type="dxa"/>
          </w:tcPr>
          <w:p w:rsidR="0061488A" w:rsidRDefault="0061488A">
            <w:pPr>
              <w:tabs>
                <w:tab w:val="decimal" w:pos="252"/>
                <w:tab w:val="left" w:pos="3168"/>
              </w:tabs>
              <w:rPr>
                <w:rFonts w:ascii="Arial" w:hAnsi="Arial"/>
                <w:sz w:val="24"/>
              </w:rPr>
            </w:pPr>
            <w:r>
              <w:rPr>
                <w:rFonts w:ascii="Arial" w:hAnsi="Arial"/>
                <w:sz w:val="24"/>
              </w:rPr>
              <w:tab/>
              <w:t>5.53</w:t>
            </w:r>
          </w:p>
        </w:tc>
        <w:tc>
          <w:tcPr>
            <w:tcW w:w="900" w:type="dxa"/>
          </w:tcPr>
          <w:p w:rsidR="0061488A" w:rsidRDefault="0061488A">
            <w:pPr>
              <w:tabs>
                <w:tab w:val="decimal" w:pos="162"/>
                <w:tab w:val="left" w:pos="3168"/>
              </w:tabs>
              <w:rPr>
                <w:rFonts w:ascii="Arial" w:hAnsi="Arial"/>
                <w:sz w:val="24"/>
              </w:rPr>
            </w:pPr>
            <w:r>
              <w:rPr>
                <w:rFonts w:ascii="Arial" w:hAnsi="Arial"/>
                <w:sz w:val="24"/>
              </w:rPr>
              <w:tab/>
              <w:t>.019</w:t>
            </w:r>
          </w:p>
        </w:tc>
        <w:tc>
          <w:tcPr>
            <w:tcW w:w="643" w:type="dxa"/>
          </w:tcPr>
          <w:p w:rsidR="0061488A" w:rsidRDefault="0061488A">
            <w:pPr>
              <w:tabs>
                <w:tab w:val="left" w:pos="3168"/>
              </w:tabs>
              <w:rPr>
                <w:rFonts w:ascii="Arial" w:hAnsi="Arial"/>
                <w:sz w:val="24"/>
              </w:rPr>
            </w:pPr>
            <w:r>
              <w:rPr>
                <w:rFonts w:ascii="Arial" w:hAnsi="Arial"/>
                <w:sz w:val="24"/>
              </w:rPr>
              <w:t>.02</w:t>
            </w:r>
          </w:p>
        </w:tc>
      </w:tr>
      <w:tr w:rsidR="0061488A">
        <w:trPr>
          <w:jc w:val="center"/>
        </w:trPr>
        <w:tc>
          <w:tcPr>
            <w:tcW w:w="1544" w:type="dxa"/>
          </w:tcPr>
          <w:p w:rsidR="0061488A" w:rsidRDefault="0061488A">
            <w:pPr>
              <w:tabs>
                <w:tab w:val="left" w:pos="266"/>
                <w:tab w:val="left" w:pos="3168"/>
              </w:tabs>
              <w:rPr>
                <w:rFonts w:ascii="Arial" w:hAnsi="Arial"/>
                <w:sz w:val="24"/>
              </w:rPr>
            </w:pPr>
            <w:r>
              <w:rPr>
                <w:rFonts w:ascii="Arial" w:hAnsi="Arial"/>
                <w:sz w:val="24"/>
              </w:rPr>
              <w:tab/>
              <w:t>Cubic</w:t>
            </w:r>
          </w:p>
        </w:tc>
        <w:tc>
          <w:tcPr>
            <w:tcW w:w="720" w:type="dxa"/>
          </w:tcPr>
          <w:p w:rsidR="0061488A" w:rsidRDefault="0061488A">
            <w:pPr>
              <w:tabs>
                <w:tab w:val="decimal" w:pos="342"/>
                <w:tab w:val="left" w:pos="3168"/>
              </w:tabs>
              <w:rPr>
                <w:rFonts w:ascii="Arial" w:hAnsi="Arial"/>
                <w:sz w:val="24"/>
              </w:rPr>
            </w:pPr>
            <w:r>
              <w:rPr>
                <w:rFonts w:ascii="Arial" w:hAnsi="Arial"/>
                <w:sz w:val="24"/>
              </w:rPr>
              <w:tab/>
              <w:t>1</w:t>
            </w:r>
          </w:p>
        </w:tc>
        <w:tc>
          <w:tcPr>
            <w:tcW w:w="900" w:type="dxa"/>
          </w:tcPr>
          <w:p w:rsidR="0061488A" w:rsidRDefault="0061488A">
            <w:pPr>
              <w:tabs>
                <w:tab w:val="decimal" w:pos="252"/>
                <w:tab w:val="left" w:pos="3168"/>
              </w:tabs>
              <w:rPr>
                <w:rFonts w:ascii="Arial" w:hAnsi="Arial"/>
                <w:sz w:val="24"/>
              </w:rPr>
            </w:pPr>
            <w:r>
              <w:rPr>
                <w:rFonts w:ascii="Arial" w:hAnsi="Arial"/>
                <w:sz w:val="24"/>
              </w:rPr>
              <w:tab/>
              <w:t>0.26</w:t>
            </w:r>
          </w:p>
        </w:tc>
        <w:tc>
          <w:tcPr>
            <w:tcW w:w="900" w:type="dxa"/>
          </w:tcPr>
          <w:p w:rsidR="0061488A" w:rsidRDefault="0061488A">
            <w:pPr>
              <w:tabs>
                <w:tab w:val="decimal" w:pos="162"/>
                <w:tab w:val="left" w:pos="3168"/>
              </w:tabs>
              <w:rPr>
                <w:rFonts w:ascii="Arial" w:hAnsi="Arial"/>
                <w:sz w:val="24"/>
              </w:rPr>
            </w:pPr>
            <w:r>
              <w:rPr>
                <w:rFonts w:ascii="Arial" w:hAnsi="Arial"/>
                <w:sz w:val="24"/>
              </w:rPr>
              <w:tab/>
              <w:t>.612</w:t>
            </w:r>
          </w:p>
        </w:tc>
        <w:tc>
          <w:tcPr>
            <w:tcW w:w="643" w:type="dxa"/>
          </w:tcPr>
          <w:p w:rsidR="0061488A" w:rsidRDefault="0061488A">
            <w:pPr>
              <w:tabs>
                <w:tab w:val="left" w:pos="3168"/>
              </w:tabs>
              <w:rPr>
                <w:rFonts w:ascii="Arial" w:hAnsi="Arial"/>
                <w:sz w:val="24"/>
              </w:rPr>
            </w:pPr>
            <w:r>
              <w:rPr>
                <w:rFonts w:ascii="Arial" w:hAnsi="Arial"/>
                <w:sz w:val="24"/>
              </w:rPr>
              <w:t>.00</w:t>
            </w:r>
          </w:p>
        </w:tc>
      </w:tr>
      <w:tr w:rsidR="0061488A">
        <w:trPr>
          <w:jc w:val="center"/>
        </w:trPr>
        <w:tc>
          <w:tcPr>
            <w:tcW w:w="1544" w:type="dxa"/>
          </w:tcPr>
          <w:p w:rsidR="0061488A" w:rsidRDefault="0061488A">
            <w:pPr>
              <w:tabs>
                <w:tab w:val="left" w:pos="266"/>
                <w:tab w:val="left" w:pos="3168"/>
              </w:tabs>
              <w:rPr>
                <w:rFonts w:ascii="Arial" w:hAnsi="Arial"/>
                <w:sz w:val="24"/>
              </w:rPr>
            </w:pPr>
            <w:r>
              <w:rPr>
                <w:rFonts w:ascii="Arial" w:hAnsi="Arial"/>
                <w:sz w:val="24"/>
              </w:rPr>
              <w:tab/>
              <w:t>Quartic</w:t>
            </w:r>
          </w:p>
        </w:tc>
        <w:tc>
          <w:tcPr>
            <w:tcW w:w="720" w:type="dxa"/>
          </w:tcPr>
          <w:p w:rsidR="0061488A" w:rsidRDefault="0061488A">
            <w:pPr>
              <w:tabs>
                <w:tab w:val="decimal" w:pos="342"/>
                <w:tab w:val="left" w:pos="3168"/>
              </w:tabs>
              <w:rPr>
                <w:rFonts w:ascii="Arial" w:hAnsi="Arial"/>
                <w:sz w:val="24"/>
              </w:rPr>
            </w:pPr>
            <w:r>
              <w:rPr>
                <w:rFonts w:ascii="Arial" w:hAnsi="Arial"/>
                <w:sz w:val="24"/>
              </w:rPr>
              <w:tab/>
              <w:t>1</w:t>
            </w:r>
          </w:p>
        </w:tc>
        <w:tc>
          <w:tcPr>
            <w:tcW w:w="900" w:type="dxa"/>
          </w:tcPr>
          <w:p w:rsidR="0061488A" w:rsidRDefault="0061488A">
            <w:pPr>
              <w:tabs>
                <w:tab w:val="decimal" w:pos="252"/>
                <w:tab w:val="left" w:pos="3168"/>
              </w:tabs>
              <w:rPr>
                <w:rFonts w:ascii="Arial" w:hAnsi="Arial"/>
                <w:sz w:val="24"/>
              </w:rPr>
            </w:pPr>
            <w:r>
              <w:rPr>
                <w:rFonts w:ascii="Arial" w:hAnsi="Arial"/>
                <w:sz w:val="24"/>
              </w:rPr>
              <w:tab/>
              <w:t>0.00</w:t>
            </w:r>
          </w:p>
        </w:tc>
        <w:tc>
          <w:tcPr>
            <w:tcW w:w="900" w:type="dxa"/>
          </w:tcPr>
          <w:p w:rsidR="0061488A" w:rsidRDefault="0061488A">
            <w:pPr>
              <w:tabs>
                <w:tab w:val="decimal" w:pos="162"/>
                <w:tab w:val="left" w:pos="3168"/>
              </w:tabs>
              <w:rPr>
                <w:rFonts w:ascii="Arial" w:hAnsi="Arial"/>
                <w:sz w:val="24"/>
              </w:rPr>
            </w:pPr>
            <w:r>
              <w:rPr>
                <w:rFonts w:ascii="Arial" w:hAnsi="Arial"/>
                <w:sz w:val="24"/>
              </w:rPr>
              <w:tab/>
              <w:t>.958</w:t>
            </w:r>
          </w:p>
        </w:tc>
        <w:tc>
          <w:tcPr>
            <w:tcW w:w="643" w:type="dxa"/>
          </w:tcPr>
          <w:p w:rsidR="0061488A" w:rsidRDefault="0061488A">
            <w:pPr>
              <w:tabs>
                <w:tab w:val="left" w:pos="3168"/>
              </w:tabs>
              <w:rPr>
                <w:rFonts w:ascii="Arial" w:hAnsi="Arial"/>
                <w:sz w:val="24"/>
              </w:rPr>
            </w:pPr>
            <w:r>
              <w:rPr>
                <w:rFonts w:ascii="Arial" w:hAnsi="Arial"/>
                <w:sz w:val="24"/>
              </w:rPr>
              <w:t>.00</w:t>
            </w:r>
          </w:p>
        </w:tc>
      </w:tr>
      <w:tr w:rsidR="0061488A">
        <w:trPr>
          <w:jc w:val="center"/>
        </w:trPr>
        <w:tc>
          <w:tcPr>
            <w:tcW w:w="1544" w:type="dxa"/>
          </w:tcPr>
          <w:p w:rsidR="0061488A" w:rsidRDefault="0061488A">
            <w:pPr>
              <w:tabs>
                <w:tab w:val="left" w:pos="266"/>
                <w:tab w:val="left" w:pos="3168"/>
              </w:tabs>
              <w:rPr>
                <w:rFonts w:ascii="Arial" w:hAnsi="Arial"/>
                <w:sz w:val="24"/>
              </w:rPr>
            </w:pPr>
            <w:r>
              <w:rPr>
                <w:rFonts w:ascii="Arial" w:hAnsi="Arial"/>
                <w:sz w:val="24"/>
              </w:rPr>
              <w:t>Interaction</w:t>
            </w:r>
          </w:p>
        </w:tc>
        <w:tc>
          <w:tcPr>
            <w:tcW w:w="720" w:type="dxa"/>
          </w:tcPr>
          <w:p w:rsidR="0061488A" w:rsidRDefault="0061488A">
            <w:pPr>
              <w:tabs>
                <w:tab w:val="decimal" w:pos="342"/>
                <w:tab w:val="left" w:pos="3168"/>
              </w:tabs>
              <w:rPr>
                <w:rFonts w:ascii="Arial" w:hAnsi="Arial"/>
                <w:sz w:val="24"/>
              </w:rPr>
            </w:pPr>
            <w:r>
              <w:rPr>
                <w:rFonts w:ascii="Arial" w:hAnsi="Arial"/>
                <w:sz w:val="24"/>
              </w:rPr>
              <w:tab/>
              <w:t>8</w:t>
            </w:r>
          </w:p>
        </w:tc>
        <w:tc>
          <w:tcPr>
            <w:tcW w:w="900" w:type="dxa"/>
          </w:tcPr>
          <w:p w:rsidR="0061488A" w:rsidRDefault="0061488A">
            <w:pPr>
              <w:tabs>
                <w:tab w:val="decimal" w:pos="252"/>
                <w:tab w:val="left" w:pos="3168"/>
              </w:tabs>
              <w:rPr>
                <w:rFonts w:ascii="Arial" w:hAnsi="Arial"/>
                <w:sz w:val="24"/>
              </w:rPr>
            </w:pPr>
            <w:r>
              <w:rPr>
                <w:rFonts w:ascii="Arial" w:hAnsi="Arial"/>
                <w:sz w:val="24"/>
              </w:rPr>
              <w:tab/>
              <w:t>6.67</w:t>
            </w:r>
          </w:p>
        </w:tc>
        <w:tc>
          <w:tcPr>
            <w:tcW w:w="900" w:type="dxa"/>
          </w:tcPr>
          <w:p w:rsidR="0061488A" w:rsidRDefault="0061488A">
            <w:pPr>
              <w:tabs>
                <w:tab w:val="decimal" w:pos="162"/>
                <w:tab w:val="left" w:pos="3168"/>
              </w:tabs>
              <w:rPr>
                <w:rFonts w:ascii="Arial" w:hAnsi="Arial"/>
                <w:sz w:val="24"/>
              </w:rPr>
            </w:pPr>
            <w:r>
              <w:rPr>
                <w:rFonts w:ascii="Arial" w:hAnsi="Arial"/>
                <w:sz w:val="24"/>
              </w:rPr>
              <w:tab/>
              <w:t>&lt; .001</w:t>
            </w:r>
          </w:p>
        </w:tc>
        <w:tc>
          <w:tcPr>
            <w:tcW w:w="643" w:type="dxa"/>
          </w:tcPr>
          <w:p w:rsidR="0061488A" w:rsidRDefault="0061488A">
            <w:pPr>
              <w:tabs>
                <w:tab w:val="left" w:pos="3168"/>
              </w:tabs>
              <w:rPr>
                <w:rFonts w:ascii="Arial" w:hAnsi="Arial"/>
                <w:sz w:val="24"/>
              </w:rPr>
            </w:pPr>
            <w:r>
              <w:rPr>
                <w:rFonts w:ascii="Arial" w:hAnsi="Arial"/>
                <w:sz w:val="24"/>
              </w:rPr>
              <w:t>.14</w:t>
            </w:r>
          </w:p>
        </w:tc>
      </w:tr>
      <w:tr w:rsidR="0061488A">
        <w:trPr>
          <w:jc w:val="center"/>
        </w:trPr>
        <w:tc>
          <w:tcPr>
            <w:tcW w:w="1544" w:type="dxa"/>
          </w:tcPr>
          <w:p w:rsidR="0061488A" w:rsidRDefault="0061488A">
            <w:pPr>
              <w:tabs>
                <w:tab w:val="left" w:pos="266"/>
                <w:tab w:val="left" w:pos="3168"/>
              </w:tabs>
              <w:rPr>
                <w:rFonts w:ascii="Arial" w:hAnsi="Arial"/>
                <w:sz w:val="24"/>
              </w:rPr>
            </w:pPr>
            <w:r>
              <w:rPr>
                <w:rFonts w:ascii="Arial" w:hAnsi="Arial"/>
                <w:sz w:val="24"/>
              </w:rPr>
              <w:tab/>
              <w:t>Linear</w:t>
            </w:r>
          </w:p>
        </w:tc>
        <w:tc>
          <w:tcPr>
            <w:tcW w:w="720" w:type="dxa"/>
          </w:tcPr>
          <w:p w:rsidR="0061488A" w:rsidRDefault="0061488A">
            <w:pPr>
              <w:tabs>
                <w:tab w:val="decimal" w:pos="342"/>
                <w:tab w:val="left" w:pos="3168"/>
              </w:tabs>
              <w:rPr>
                <w:rFonts w:ascii="Arial" w:hAnsi="Arial"/>
                <w:sz w:val="24"/>
              </w:rPr>
            </w:pPr>
            <w:r>
              <w:rPr>
                <w:rFonts w:ascii="Arial" w:hAnsi="Arial"/>
                <w:sz w:val="24"/>
              </w:rPr>
              <w:tab/>
              <w:t>2</w:t>
            </w:r>
          </w:p>
        </w:tc>
        <w:tc>
          <w:tcPr>
            <w:tcW w:w="900" w:type="dxa"/>
          </w:tcPr>
          <w:p w:rsidR="0061488A" w:rsidRDefault="0061488A">
            <w:pPr>
              <w:tabs>
                <w:tab w:val="decimal" w:pos="252"/>
                <w:tab w:val="left" w:pos="3168"/>
              </w:tabs>
              <w:rPr>
                <w:rFonts w:ascii="Arial" w:hAnsi="Arial"/>
                <w:sz w:val="24"/>
              </w:rPr>
            </w:pPr>
            <w:r>
              <w:rPr>
                <w:rFonts w:ascii="Arial" w:hAnsi="Arial"/>
                <w:sz w:val="24"/>
              </w:rPr>
              <w:tab/>
              <w:t>13.27</w:t>
            </w:r>
          </w:p>
        </w:tc>
        <w:tc>
          <w:tcPr>
            <w:tcW w:w="900" w:type="dxa"/>
          </w:tcPr>
          <w:p w:rsidR="0061488A" w:rsidRDefault="0061488A">
            <w:pPr>
              <w:tabs>
                <w:tab w:val="decimal" w:pos="162"/>
                <w:tab w:val="left" w:pos="3168"/>
              </w:tabs>
              <w:rPr>
                <w:rFonts w:ascii="Arial" w:hAnsi="Arial"/>
                <w:sz w:val="24"/>
              </w:rPr>
            </w:pPr>
            <w:r>
              <w:rPr>
                <w:rFonts w:ascii="Arial" w:hAnsi="Arial"/>
                <w:sz w:val="24"/>
              </w:rPr>
              <w:tab/>
              <w:t>&lt; .001</w:t>
            </w:r>
          </w:p>
        </w:tc>
        <w:tc>
          <w:tcPr>
            <w:tcW w:w="643" w:type="dxa"/>
          </w:tcPr>
          <w:p w:rsidR="0061488A" w:rsidRDefault="0061488A">
            <w:pPr>
              <w:tabs>
                <w:tab w:val="left" w:pos="3168"/>
              </w:tabs>
              <w:rPr>
                <w:rFonts w:ascii="Arial" w:hAnsi="Arial"/>
                <w:sz w:val="24"/>
              </w:rPr>
            </w:pPr>
            <w:r>
              <w:rPr>
                <w:rFonts w:ascii="Arial" w:hAnsi="Arial"/>
                <w:sz w:val="24"/>
              </w:rPr>
              <w:t>.07</w:t>
            </w:r>
          </w:p>
        </w:tc>
      </w:tr>
      <w:tr w:rsidR="0061488A">
        <w:trPr>
          <w:jc w:val="center"/>
        </w:trPr>
        <w:tc>
          <w:tcPr>
            <w:tcW w:w="1544" w:type="dxa"/>
          </w:tcPr>
          <w:p w:rsidR="0061488A" w:rsidRDefault="0061488A">
            <w:pPr>
              <w:tabs>
                <w:tab w:val="left" w:pos="266"/>
                <w:tab w:val="left" w:pos="3168"/>
              </w:tabs>
              <w:rPr>
                <w:rFonts w:ascii="Arial" w:hAnsi="Arial"/>
                <w:sz w:val="24"/>
              </w:rPr>
            </w:pPr>
            <w:r>
              <w:rPr>
                <w:rFonts w:ascii="Arial" w:hAnsi="Arial"/>
                <w:sz w:val="24"/>
              </w:rPr>
              <w:tab/>
              <w:t>Quadratic</w:t>
            </w:r>
          </w:p>
        </w:tc>
        <w:tc>
          <w:tcPr>
            <w:tcW w:w="720" w:type="dxa"/>
          </w:tcPr>
          <w:p w:rsidR="0061488A" w:rsidRDefault="0061488A">
            <w:pPr>
              <w:tabs>
                <w:tab w:val="decimal" w:pos="342"/>
                <w:tab w:val="left" w:pos="3168"/>
              </w:tabs>
              <w:rPr>
                <w:rFonts w:ascii="Arial" w:hAnsi="Arial"/>
                <w:sz w:val="24"/>
              </w:rPr>
            </w:pPr>
            <w:r>
              <w:rPr>
                <w:rFonts w:ascii="Arial" w:hAnsi="Arial"/>
                <w:sz w:val="24"/>
              </w:rPr>
              <w:tab/>
              <w:t>2</w:t>
            </w:r>
          </w:p>
        </w:tc>
        <w:tc>
          <w:tcPr>
            <w:tcW w:w="900" w:type="dxa"/>
          </w:tcPr>
          <w:p w:rsidR="0061488A" w:rsidRDefault="0061488A">
            <w:pPr>
              <w:tabs>
                <w:tab w:val="decimal" w:pos="252"/>
                <w:tab w:val="left" w:pos="3168"/>
              </w:tabs>
              <w:rPr>
                <w:rFonts w:ascii="Arial" w:hAnsi="Arial"/>
                <w:sz w:val="24"/>
              </w:rPr>
            </w:pPr>
            <w:r>
              <w:rPr>
                <w:rFonts w:ascii="Arial" w:hAnsi="Arial"/>
                <w:sz w:val="24"/>
              </w:rPr>
              <w:tab/>
              <w:t>10.05</w:t>
            </w:r>
          </w:p>
        </w:tc>
        <w:tc>
          <w:tcPr>
            <w:tcW w:w="900" w:type="dxa"/>
          </w:tcPr>
          <w:p w:rsidR="0061488A" w:rsidRDefault="0061488A">
            <w:pPr>
              <w:tabs>
                <w:tab w:val="decimal" w:pos="162"/>
                <w:tab w:val="left" w:pos="3168"/>
              </w:tabs>
              <w:rPr>
                <w:rFonts w:ascii="Arial" w:hAnsi="Arial"/>
                <w:sz w:val="24"/>
              </w:rPr>
            </w:pPr>
            <w:r>
              <w:rPr>
                <w:rFonts w:ascii="Arial" w:hAnsi="Arial"/>
                <w:sz w:val="24"/>
              </w:rPr>
              <w:tab/>
              <w:t>&lt; .001</w:t>
            </w:r>
          </w:p>
        </w:tc>
        <w:tc>
          <w:tcPr>
            <w:tcW w:w="643" w:type="dxa"/>
          </w:tcPr>
          <w:p w:rsidR="0061488A" w:rsidRDefault="0061488A">
            <w:pPr>
              <w:tabs>
                <w:tab w:val="left" w:pos="3168"/>
              </w:tabs>
              <w:rPr>
                <w:rFonts w:ascii="Arial" w:hAnsi="Arial"/>
                <w:sz w:val="24"/>
              </w:rPr>
            </w:pPr>
            <w:r>
              <w:rPr>
                <w:rFonts w:ascii="Arial" w:hAnsi="Arial"/>
                <w:sz w:val="24"/>
              </w:rPr>
              <w:t>.05</w:t>
            </w:r>
          </w:p>
        </w:tc>
      </w:tr>
      <w:tr w:rsidR="0061488A">
        <w:trPr>
          <w:jc w:val="center"/>
        </w:trPr>
        <w:tc>
          <w:tcPr>
            <w:tcW w:w="1544" w:type="dxa"/>
          </w:tcPr>
          <w:p w:rsidR="0061488A" w:rsidRDefault="0061488A">
            <w:pPr>
              <w:tabs>
                <w:tab w:val="left" w:pos="266"/>
                <w:tab w:val="left" w:pos="3168"/>
              </w:tabs>
              <w:rPr>
                <w:rFonts w:ascii="Arial" w:hAnsi="Arial"/>
                <w:sz w:val="24"/>
              </w:rPr>
            </w:pPr>
            <w:r>
              <w:rPr>
                <w:rFonts w:ascii="Arial" w:hAnsi="Arial"/>
                <w:sz w:val="24"/>
              </w:rPr>
              <w:tab/>
              <w:t>Cubic</w:t>
            </w:r>
          </w:p>
        </w:tc>
        <w:tc>
          <w:tcPr>
            <w:tcW w:w="720" w:type="dxa"/>
          </w:tcPr>
          <w:p w:rsidR="0061488A" w:rsidRDefault="0061488A">
            <w:pPr>
              <w:tabs>
                <w:tab w:val="decimal" w:pos="342"/>
                <w:tab w:val="left" w:pos="3168"/>
              </w:tabs>
              <w:rPr>
                <w:rFonts w:ascii="Arial" w:hAnsi="Arial"/>
                <w:sz w:val="24"/>
              </w:rPr>
            </w:pPr>
            <w:r>
              <w:rPr>
                <w:rFonts w:ascii="Arial" w:hAnsi="Arial"/>
                <w:sz w:val="24"/>
              </w:rPr>
              <w:tab/>
              <w:t>2</w:t>
            </w:r>
          </w:p>
        </w:tc>
        <w:tc>
          <w:tcPr>
            <w:tcW w:w="900" w:type="dxa"/>
          </w:tcPr>
          <w:p w:rsidR="0061488A" w:rsidRDefault="0061488A">
            <w:pPr>
              <w:tabs>
                <w:tab w:val="decimal" w:pos="252"/>
                <w:tab w:val="left" w:pos="3168"/>
              </w:tabs>
              <w:rPr>
                <w:rFonts w:ascii="Arial" w:hAnsi="Arial"/>
                <w:sz w:val="24"/>
              </w:rPr>
            </w:pPr>
            <w:r>
              <w:rPr>
                <w:rFonts w:ascii="Arial" w:hAnsi="Arial"/>
                <w:sz w:val="24"/>
              </w:rPr>
              <w:tab/>
              <w:t>3.12</w:t>
            </w:r>
          </w:p>
        </w:tc>
        <w:tc>
          <w:tcPr>
            <w:tcW w:w="900" w:type="dxa"/>
          </w:tcPr>
          <w:p w:rsidR="0061488A" w:rsidRDefault="0061488A">
            <w:pPr>
              <w:tabs>
                <w:tab w:val="decimal" w:pos="162"/>
                <w:tab w:val="left" w:pos="3168"/>
              </w:tabs>
              <w:rPr>
                <w:rFonts w:ascii="Arial" w:hAnsi="Arial"/>
                <w:sz w:val="24"/>
              </w:rPr>
            </w:pPr>
            <w:r>
              <w:rPr>
                <w:rFonts w:ascii="Arial" w:hAnsi="Arial"/>
                <w:sz w:val="24"/>
              </w:rPr>
              <w:tab/>
              <w:t>.046</w:t>
            </w:r>
          </w:p>
        </w:tc>
        <w:tc>
          <w:tcPr>
            <w:tcW w:w="643" w:type="dxa"/>
          </w:tcPr>
          <w:p w:rsidR="0061488A" w:rsidRDefault="0061488A">
            <w:pPr>
              <w:tabs>
                <w:tab w:val="left" w:pos="3168"/>
              </w:tabs>
              <w:rPr>
                <w:rFonts w:ascii="Arial" w:hAnsi="Arial"/>
                <w:sz w:val="24"/>
              </w:rPr>
            </w:pPr>
            <w:r>
              <w:rPr>
                <w:rFonts w:ascii="Arial" w:hAnsi="Arial"/>
                <w:sz w:val="24"/>
              </w:rPr>
              <w:t>.02</w:t>
            </w:r>
          </w:p>
        </w:tc>
      </w:tr>
      <w:tr w:rsidR="0061488A">
        <w:trPr>
          <w:jc w:val="center"/>
        </w:trPr>
        <w:tc>
          <w:tcPr>
            <w:tcW w:w="1544" w:type="dxa"/>
          </w:tcPr>
          <w:p w:rsidR="0061488A" w:rsidRDefault="0061488A">
            <w:pPr>
              <w:tabs>
                <w:tab w:val="left" w:pos="266"/>
                <w:tab w:val="left" w:pos="3168"/>
              </w:tabs>
              <w:rPr>
                <w:rFonts w:ascii="Arial" w:hAnsi="Arial"/>
                <w:sz w:val="24"/>
              </w:rPr>
            </w:pPr>
            <w:r>
              <w:rPr>
                <w:rFonts w:ascii="Arial" w:hAnsi="Arial"/>
                <w:sz w:val="24"/>
              </w:rPr>
              <w:tab/>
              <w:t>Quartic</w:t>
            </w:r>
          </w:p>
        </w:tc>
        <w:tc>
          <w:tcPr>
            <w:tcW w:w="720" w:type="dxa"/>
          </w:tcPr>
          <w:p w:rsidR="0061488A" w:rsidRDefault="0061488A">
            <w:pPr>
              <w:tabs>
                <w:tab w:val="decimal" w:pos="342"/>
                <w:tab w:val="left" w:pos="3168"/>
              </w:tabs>
              <w:rPr>
                <w:rFonts w:ascii="Arial" w:hAnsi="Arial"/>
                <w:sz w:val="24"/>
              </w:rPr>
            </w:pPr>
            <w:r>
              <w:rPr>
                <w:rFonts w:ascii="Arial" w:hAnsi="Arial"/>
                <w:sz w:val="24"/>
              </w:rPr>
              <w:tab/>
              <w:t>2</w:t>
            </w:r>
          </w:p>
        </w:tc>
        <w:tc>
          <w:tcPr>
            <w:tcW w:w="900" w:type="dxa"/>
          </w:tcPr>
          <w:p w:rsidR="0061488A" w:rsidRDefault="0061488A">
            <w:pPr>
              <w:tabs>
                <w:tab w:val="decimal" w:pos="252"/>
                <w:tab w:val="left" w:pos="3168"/>
              </w:tabs>
              <w:rPr>
                <w:rFonts w:ascii="Arial" w:hAnsi="Arial"/>
                <w:sz w:val="24"/>
              </w:rPr>
            </w:pPr>
            <w:r>
              <w:rPr>
                <w:rFonts w:ascii="Arial" w:hAnsi="Arial"/>
                <w:sz w:val="24"/>
              </w:rPr>
              <w:tab/>
              <w:t>0.23</w:t>
            </w:r>
          </w:p>
        </w:tc>
        <w:tc>
          <w:tcPr>
            <w:tcW w:w="900" w:type="dxa"/>
          </w:tcPr>
          <w:p w:rsidR="0061488A" w:rsidRDefault="0061488A">
            <w:pPr>
              <w:tabs>
                <w:tab w:val="decimal" w:pos="162"/>
                <w:tab w:val="left" w:pos="3168"/>
              </w:tabs>
              <w:rPr>
                <w:rFonts w:ascii="Arial" w:hAnsi="Arial"/>
                <w:sz w:val="24"/>
              </w:rPr>
            </w:pPr>
            <w:r>
              <w:rPr>
                <w:rFonts w:ascii="Arial" w:hAnsi="Arial"/>
                <w:sz w:val="24"/>
              </w:rPr>
              <w:tab/>
              <w:t>.79</w:t>
            </w:r>
          </w:p>
        </w:tc>
        <w:tc>
          <w:tcPr>
            <w:tcW w:w="643" w:type="dxa"/>
          </w:tcPr>
          <w:p w:rsidR="0061488A" w:rsidRDefault="0061488A">
            <w:pPr>
              <w:tabs>
                <w:tab w:val="left" w:pos="3168"/>
              </w:tabs>
              <w:rPr>
                <w:rFonts w:ascii="Arial" w:hAnsi="Arial"/>
                <w:sz w:val="24"/>
              </w:rPr>
            </w:pPr>
            <w:r>
              <w:rPr>
                <w:rFonts w:ascii="Arial" w:hAnsi="Arial"/>
                <w:sz w:val="24"/>
              </w:rPr>
              <w:t>.00</w:t>
            </w:r>
          </w:p>
        </w:tc>
      </w:tr>
      <w:tr w:rsidR="0061488A">
        <w:trPr>
          <w:jc w:val="center"/>
        </w:trPr>
        <w:tc>
          <w:tcPr>
            <w:tcW w:w="1544" w:type="dxa"/>
            <w:tcBorders>
              <w:bottom w:val="single" w:sz="4" w:space="0" w:color="auto"/>
            </w:tcBorders>
          </w:tcPr>
          <w:p w:rsidR="0061488A" w:rsidRDefault="0061488A">
            <w:pPr>
              <w:tabs>
                <w:tab w:val="left" w:pos="266"/>
                <w:tab w:val="left" w:pos="3168"/>
              </w:tabs>
              <w:rPr>
                <w:rFonts w:ascii="Arial" w:hAnsi="Arial"/>
                <w:sz w:val="24"/>
              </w:rPr>
            </w:pPr>
            <w:r>
              <w:rPr>
                <w:rFonts w:ascii="Arial" w:hAnsi="Arial"/>
                <w:sz w:val="24"/>
              </w:rPr>
              <w:t>Error</w:t>
            </w:r>
          </w:p>
        </w:tc>
        <w:tc>
          <w:tcPr>
            <w:tcW w:w="720" w:type="dxa"/>
            <w:tcBorders>
              <w:bottom w:val="single" w:sz="4" w:space="0" w:color="auto"/>
            </w:tcBorders>
          </w:tcPr>
          <w:p w:rsidR="0061488A" w:rsidRDefault="0061488A">
            <w:pPr>
              <w:tabs>
                <w:tab w:val="decimal" w:pos="342"/>
                <w:tab w:val="left" w:pos="3168"/>
              </w:tabs>
              <w:rPr>
                <w:rFonts w:ascii="Arial" w:hAnsi="Arial"/>
                <w:sz w:val="24"/>
              </w:rPr>
            </w:pPr>
            <w:r>
              <w:rPr>
                <w:rFonts w:ascii="Arial" w:hAnsi="Arial"/>
                <w:sz w:val="24"/>
              </w:rPr>
              <w:t>285</w:t>
            </w:r>
          </w:p>
        </w:tc>
        <w:tc>
          <w:tcPr>
            <w:tcW w:w="900" w:type="dxa"/>
            <w:tcBorders>
              <w:bottom w:val="single" w:sz="4" w:space="0" w:color="auto"/>
            </w:tcBorders>
          </w:tcPr>
          <w:p w:rsidR="0061488A" w:rsidRDefault="0061488A">
            <w:pPr>
              <w:tabs>
                <w:tab w:val="left" w:pos="3168"/>
              </w:tabs>
              <w:rPr>
                <w:rFonts w:ascii="Arial" w:hAnsi="Arial"/>
                <w:sz w:val="24"/>
              </w:rPr>
            </w:pPr>
          </w:p>
        </w:tc>
        <w:tc>
          <w:tcPr>
            <w:tcW w:w="900" w:type="dxa"/>
            <w:tcBorders>
              <w:bottom w:val="single" w:sz="4" w:space="0" w:color="auto"/>
            </w:tcBorders>
          </w:tcPr>
          <w:p w:rsidR="0061488A" w:rsidRDefault="0061488A">
            <w:pPr>
              <w:tabs>
                <w:tab w:val="left" w:pos="3168"/>
              </w:tabs>
              <w:rPr>
                <w:rFonts w:ascii="Arial" w:hAnsi="Arial"/>
                <w:sz w:val="24"/>
              </w:rPr>
            </w:pPr>
          </w:p>
        </w:tc>
        <w:tc>
          <w:tcPr>
            <w:tcW w:w="643" w:type="dxa"/>
            <w:tcBorders>
              <w:bottom w:val="single" w:sz="4" w:space="0" w:color="auto"/>
            </w:tcBorders>
          </w:tcPr>
          <w:p w:rsidR="0061488A" w:rsidRDefault="0061488A">
            <w:pPr>
              <w:tabs>
                <w:tab w:val="left" w:pos="3168"/>
              </w:tabs>
              <w:rPr>
                <w:rFonts w:ascii="Arial" w:hAnsi="Arial"/>
                <w:sz w:val="24"/>
              </w:rPr>
            </w:pPr>
          </w:p>
        </w:tc>
      </w:tr>
    </w:tbl>
    <w:p w:rsidR="0061488A" w:rsidRDefault="0061488A">
      <w:pPr>
        <w:rPr>
          <w:rFonts w:ascii="Arial" w:hAnsi="Arial"/>
          <w:sz w:val="24"/>
        </w:rPr>
      </w:pPr>
    </w:p>
    <w:p w:rsidR="0061488A" w:rsidRDefault="00C15789">
      <w:pPr>
        <w:rPr>
          <w:rFonts w:ascii="Arial" w:hAnsi="Arial"/>
          <w:sz w:val="24"/>
        </w:rPr>
      </w:pPr>
      <w:r>
        <w:rPr>
          <w:rFonts w:ascii="Arial" w:hAnsi="Arial"/>
          <w:noProof/>
          <w:sz w:val="24"/>
        </w:rPr>
        <w:drawing>
          <wp:inline distT="0" distB="0" distL="0" distR="0">
            <wp:extent cx="5475829" cy="4159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67757"/>
                    </a:xfrm>
                    <a:prstGeom prst="rect">
                      <a:avLst/>
                    </a:prstGeom>
                    <a:noFill/>
                    <a:ln>
                      <a:noFill/>
                    </a:ln>
                  </pic:spPr>
                </pic:pic>
              </a:graphicData>
            </a:graphic>
          </wp:inline>
        </w:drawing>
      </w:r>
    </w:p>
    <w:p w:rsidR="0061488A" w:rsidRDefault="0061488A">
      <w:pPr>
        <w:rPr>
          <w:rFonts w:ascii="Arial" w:hAnsi="Arial"/>
          <w:sz w:val="24"/>
        </w:rPr>
      </w:pPr>
    </w:p>
    <w:p w:rsidR="0061488A" w:rsidRDefault="0061488A">
      <w:pPr>
        <w:jc w:val="center"/>
        <w:rPr>
          <w:rFonts w:ascii="Arial" w:hAnsi="Arial"/>
          <w:sz w:val="24"/>
        </w:rPr>
      </w:pPr>
      <w:r>
        <w:rPr>
          <w:rFonts w:ascii="Arial" w:hAnsi="Arial"/>
          <w:snapToGrid w:val="0"/>
          <w:sz w:val="24"/>
        </w:rPr>
        <w:t>Copyright 20</w:t>
      </w:r>
      <w:r w:rsidR="007C46C0">
        <w:rPr>
          <w:rFonts w:ascii="Arial" w:hAnsi="Arial"/>
          <w:snapToGrid w:val="0"/>
          <w:sz w:val="24"/>
        </w:rPr>
        <w:t>11</w:t>
      </w:r>
      <w:r>
        <w:rPr>
          <w:rFonts w:ascii="Arial" w:hAnsi="Arial"/>
          <w:snapToGrid w:val="0"/>
          <w:sz w:val="24"/>
        </w:rPr>
        <w:t>, Karl L. Wuensch - All rights reserved.</w:t>
      </w:r>
    </w:p>
    <w:sectPr w:rsidR="0061488A">
      <w:footerReference w:type="first" r:id="rId11"/>
      <w:pgSz w:w="12240" w:h="15840"/>
      <w:pgMar w:top="1440" w:right="1800" w:bottom="1440" w:left="1800" w:header="720" w:footer="10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310" w:rsidRDefault="00C16310">
      <w:r>
        <w:separator/>
      </w:r>
    </w:p>
  </w:endnote>
  <w:endnote w:type="continuationSeparator" w:id="0">
    <w:p w:rsidR="00C16310" w:rsidRDefault="00C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88A" w:rsidRDefault="0061488A">
    <w:pPr>
      <w:pStyle w:val="Footer"/>
      <w:jc w:val="right"/>
      <w:rPr>
        <w:rFonts w:ascii="Arial" w:hAnsi="Arial" w:cs="Arial"/>
        <w:sz w:val="22"/>
      </w:rPr>
    </w:pPr>
    <w:r>
      <w:rPr>
        <w:rFonts w:ascii="Arial" w:hAnsi="Arial" w:cs="Arial"/>
        <w:sz w:val="22"/>
      </w:rPr>
      <w:t>Trend2.doc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310" w:rsidRDefault="00C16310">
      <w:r>
        <w:separator/>
      </w:r>
    </w:p>
  </w:footnote>
  <w:footnote w:type="continuationSeparator" w:id="0">
    <w:p w:rsidR="00C16310" w:rsidRDefault="00C16310">
      <w:r>
        <w:continuationSeparator/>
      </w:r>
    </w:p>
  </w:footnote>
  <w:footnote w:id="1">
    <w:p w:rsidR="0061488A" w:rsidRDefault="0061488A">
      <w:pPr>
        <w:pStyle w:val="Footer"/>
        <w:rPr>
          <w:rFonts w:ascii="Arial" w:hAnsi="Arial"/>
          <w:sz w:val="22"/>
        </w:rPr>
      </w:pPr>
      <w:r>
        <w:rPr>
          <w:rStyle w:val="FootnoteReference"/>
          <w:rFonts w:ascii="Arial" w:hAnsi="Arial"/>
          <w:sz w:val="22"/>
        </w:rPr>
        <w:sym w:font="Symbol" w:char="F0E3"/>
      </w:r>
      <w:r>
        <w:rPr>
          <w:rFonts w:ascii="Arial" w:hAnsi="Arial"/>
          <w:sz w:val="22"/>
        </w:rPr>
        <w:t xml:space="preserve"> </w:t>
      </w:r>
      <w:r>
        <w:rPr>
          <w:rFonts w:ascii="Arial" w:hAnsi="Arial"/>
          <w:snapToGrid w:val="0"/>
          <w:sz w:val="22"/>
        </w:rPr>
        <w:t>Copyright 20</w:t>
      </w:r>
      <w:r w:rsidR="007C46C0">
        <w:rPr>
          <w:rFonts w:ascii="Arial" w:hAnsi="Arial"/>
          <w:snapToGrid w:val="0"/>
          <w:sz w:val="22"/>
        </w:rPr>
        <w:t>11</w:t>
      </w:r>
      <w:r>
        <w:rPr>
          <w:rFonts w:ascii="Arial" w:hAnsi="Arial"/>
          <w:snapToGrid w:val="0"/>
          <w:sz w:val="22"/>
        </w:rPr>
        <w:t>, Karl L. Wuensch - All rights reserved.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A0F"/>
    <w:rsid w:val="001C1B37"/>
    <w:rsid w:val="0020722A"/>
    <w:rsid w:val="004D4655"/>
    <w:rsid w:val="0061488A"/>
    <w:rsid w:val="00745454"/>
    <w:rsid w:val="007C46C0"/>
    <w:rsid w:val="00853A23"/>
    <w:rsid w:val="00934125"/>
    <w:rsid w:val="00A02F60"/>
    <w:rsid w:val="00C15789"/>
    <w:rsid w:val="00C16310"/>
    <w:rsid w:val="00CC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sz w:val="24"/>
    </w:rPr>
  </w:style>
  <w:style w:type="paragraph" w:styleId="Heading2">
    <w:name w:val="heading 2"/>
    <w:basedOn w:val="Normal"/>
    <w:next w:val="Normal"/>
    <w:qFormat/>
    <w:pPr>
      <w:keepNext/>
      <w:tabs>
        <w:tab w:val="left" w:pos="3168"/>
      </w:tabs>
      <w:jc w:val="center"/>
      <w:outlineLvl w:val="1"/>
    </w:pPr>
    <w:rPr>
      <w:rFonts w:ascii="Arial" w:hAnsi="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BodyText">
    <w:name w:val="Body Text"/>
    <w:basedOn w:val="Normal"/>
    <w:rPr>
      <w:rFonts w:ascii="Arial" w:hAnsi="Arial"/>
      <w:sz w:val="24"/>
    </w:rPr>
  </w:style>
  <w:style w:type="character" w:styleId="Hyperlink">
    <w:name w:val="Hyperlink"/>
    <w:basedOn w:val="DefaultParagraphFont"/>
    <w:uiPriority w:val="99"/>
    <w:unhideWhenUsed/>
    <w:rsid w:val="007C46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sz w:val="24"/>
    </w:rPr>
  </w:style>
  <w:style w:type="paragraph" w:styleId="Heading2">
    <w:name w:val="heading 2"/>
    <w:basedOn w:val="Normal"/>
    <w:next w:val="Normal"/>
    <w:qFormat/>
    <w:pPr>
      <w:keepNext/>
      <w:tabs>
        <w:tab w:val="left" w:pos="3168"/>
      </w:tabs>
      <w:jc w:val="center"/>
      <w:outlineLvl w:val="1"/>
    </w:pPr>
    <w:rPr>
      <w:rFonts w:ascii="Arial" w:hAnsi="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BodyText">
    <w:name w:val="Body Text"/>
    <w:basedOn w:val="Normal"/>
    <w:rPr>
      <w:rFonts w:ascii="Arial" w:hAnsi="Arial"/>
      <w:sz w:val="24"/>
    </w:rPr>
  </w:style>
  <w:style w:type="character" w:styleId="Hyperlink">
    <w:name w:val="Hyperlink"/>
    <w:basedOn w:val="DefaultParagraphFont"/>
    <w:uiPriority w:val="99"/>
    <w:unhideWhenUsed/>
    <w:rsid w:val="007C46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re.ecu.edu/psyc/wuenschk/StatHelp/Excel-InteractionPlot.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re.ecu.edu/psyc/wuenschk/SAS/SAS-Programs.ht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www.parapluesch.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TWO-WAY INDEPENDENT SAMPLES TREND ANALYSIS</vt:lpstr>
    </vt:vector>
  </TitlesOfParts>
  <Company> </Company>
  <LinksUpToDate>false</LinksUpToDate>
  <CharactersWithSpaces>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TWO-WAY INDEPENDENT SAMPLES TREND ANALYSIS</dc:title>
  <dc:subject/>
  <dc:creator>Karl L. Wuensch</dc:creator>
  <cp:keywords/>
  <cp:lastModifiedBy>Karl L. Wuensch</cp:lastModifiedBy>
  <cp:revision>4</cp:revision>
  <cp:lastPrinted>2001-06-08T19:03:00Z</cp:lastPrinted>
  <dcterms:created xsi:type="dcterms:W3CDTF">2011-01-29T02:27:00Z</dcterms:created>
  <dcterms:modified xsi:type="dcterms:W3CDTF">2011-01-29T03:28:00Z</dcterms:modified>
</cp:coreProperties>
</file>