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1589609c02b4fd64295085df9228942218c21f0"/>
    <w:p>
      <w:pPr>
        <w:pStyle w:val="Heading1"/>
      </w:pPr>
      <w:r>
        <w:t xml:space="preserve">AgentAcademy: Infrastructure for Human-Agent Research Networks in the Social Sciences</w:t>
      </w:r>
    </w:p>
    <w:p>
      <w:pPr>
        <w:pStyle w:val="FirstParagraph"/>
      </w:pPr>
      <w:r>
        <w:rPr>
          <w:bCs/>
          <w:b/>
        </w:rPr>
        <w:t xml:space="preserve">Concept for NSF HNDS-I | PI: Wayne Xu, University of Massachusetts Amherst</w:t>
      </w:r>
    </w:p>
    <w:p>
      <w:r>
        <w:pict>
          <v:rect style="width:0;height:1.5pt" o:hralign="center" o:hrstd="t" o:hr="t"/>
        </w:pict>
      </w:r>
    </w:p>
    <w:bookmarkStart w:id="20" w:name="the-problem"/>
    <w:p>
      <w:pPr>
        <w:pStyle w:val="Heading2"/>
      </w:pPr>
      <w:r>
        <w:t xml:space="preserve">The Problem</w:t>
      </w:r>
    </w:p>
    <w:p>
      <w:pPr>
        <w:pStyle w:val="FirstParagraph"/>
      </w:pPr>
      <w:r>
        <w:t xml:space="preserve">AI agents are transforming social science research. Researchers increasingly deploy autonomous AI systems that read documents, code qualitative data, detect patterns, and generate interpretations. Yet this transformation is happening without shared infrastructure:</w:t>
      </w:r>
    </w:p>
    <w:p>
      <w:pPr>
        <w:numPr>
          <w:ilvl w:val="0"/>
          <w:numId w:val="1001"/>
        </w:numPr>
        <w:pStyle w:val="Compact"/>
      </w:pPr>
      <w:r>
        <w:t xml:space="preserve">Each lab builds isolated workflows that cannot be validated against others</w:t>
      </w:r>
    </w:p>
    <w:p>
      <w:pPr>
        <w:numPr>
          <w:ilvl w:val="0"/>
          <w:numId w:val="1001"/>
        </w:numPr>
        <w:pStyle w:val="Compact"/>
      </w:pPr>
      <w:r>
        <w:t xml:space="preserve">No benchmarks exist for evaluating AI agent performance on social science tasks</w:t>
      </w:r>
      <w:r>
        <w:br/>
      </w:r>
    </w:p>
    <w:p>
      <w:pPr>
        <w:numPr>
          <w:ilvl w:val="0"/>
          <w:numId w:val="1001"/>
        </w:numPr>
        <w:pStyle w:val="Compact"/>
      </w:pPr>
      <w:r>
        <w:t xml:space="preserve">Errors made by one team’s AI repeat across the field</w:t>
      </w:r>
    </w:p>
    <w:p>
      <w:pPr>
        <w:numPr>
          <w:ilvl w:val="0"/>
          <w:numId w:val="1001"/>
        </w:numPr>
        <w:pStyle w:val="Compact"/>
      </w:pPr>
      <w:r>
        <w:t xml:space="preserve">No standards govern how humans and AI agents should collaborate in research</w:t>
      </w:r>
    </w:p>
    <w:p>
      <w:pPr>
        <w:pStyle w:val="FirstParagraph"/>
      </w:pPr>
      <w:r>
        <w:rPr>
          <w:bCs/>
          <w:b/>
        </w:rPr>
        <w:t xml:space="preserve">Social scientists are adopting AI agents faster than the field can develop protocols for ensuring reliability.</w:t>
      </w:r>
    </w:p>
    <w:p>
      <w:r>
        <w:pict>
          <v:rect style="width:0;height:1.5pt" o:hralign="center" o:hrstd="t" o:hr="t"/>
        </w:pict>
      </w:r>
    </w:p>
    <w:bookmarkEnd w:id="20"/>
    <w:bookmarkStart w:id="21" w:name="the-solution-agentacademy"/>
    <w:p>
      <w:pPr>
        <w:pStyle w:val="Heading2"/>
      </w:pPr>
      <w:r>
        <w:t xml:space="preserve">The Solution: AgentAcademy</w:t>
      </w:r>
    </w:p>
    <w:p>
      <w:pPr>
        <w:pStyle w:val="FirstParagraph"/>
      </w:pPr>
      <w:r>
        <w:rPr>
          <w:bCs/>
          <w:b/>
        </w:rPr>
        <w:t xml:space="preserve">AgentAcademy</w:t>
      </w:r>
      <w:r>
        <w:t xml:space="preserve"> </w:t>
      </w:r>
      <w:r>
        <w:t xml:space="preserve">is infrastructure for a global network of social scientists and their AI research agents. It enables:</w:t>
      </w:r>
    </w:p>
    <w:tbl>
      <w:tblPr>
        <w:tblStyle w:val="Table"/>
        <w:tblW w:type="pct" w:w="5000"/>
        <w:tblLook w:firstRow="1" w:lastRow="0" w:firstColumn="0" w:lastColumn="0" w:noHBand="0" w:noVBand="0" w:val="0020"/>
        <w:jc w:val="start"/>
      </w:tblPr>
      <w:tblGrid>
        <w:gridCol w:w="4148"/>
        <w:gridCol w:w="3771"/>
      </w:tblGrid>
      <w:tr>
        <w:trPr>
          <w:tblHeader w:val="true"/>
        </w:trPr>
        <w:tc>
          <w:tcPr/>
          <w:p>
            <w:pPr>
              <w:pStyle w:val="Compact"/>
              <w:jc w:val="left"/>
            </w:pPr>
            <w:r>
              <w:t xml:space="preserve">Component</w:t>
            </w:r>
          </w:p>
        </w:tc>
        <w:tc>
          <w:tcPr/>
          <w:p>
            <w:pPr>
              <w:pStyle w:val="Compact"/>
              <w:jc w:val="left"/>
            </w:pPr>
            <w:r>
              <w:t xml:space="preserve">Function</w:t>
            </w:r>
          </w:p>
        </w:tc>
      </w:tr>
      <w:tr>
        <w:tc>
          <w:tcPr/>
          <w:p>
            <w:pPr>
              <w:pStyle w:val="Compact"/>
              <w:jc w:val="left"/>
            </w:pPr>
            <w:r>
              <w:rPr>
                <w:bCs/>
                <w:b/>
              </w:rPr>
              <w:t xml:space="preserve">Agent Registry</w:t>
            </w:r>
          </w:p>
        </w:tc>
        <w:tc>
          <w:tcPr/>
          <w:p>
            <w:pPr>
              <w:pStyle w:val="Compact"/>
              <w:jc w:val="left"/>
            </w:pPr>
            <w:r>
              <w:t xml:space="preserve">Researchers register AI agents with documented capabilities and performance</w:t>
            </w:r>
          </w:p>
        </w:tc>
      </w:tr>
      <w:tr>
        <w:tc>
          <w:tcPr/>
          <w:p>
            <w:pPr>
              <w:pStyle w:val="Compact"/>
              <w:jc w:val="left"/>
            </w:pPr>
            <w:r>
              <w:rPr>
                <w:bCs/>
                <w:b/>
              </w:rPr>
              <w:t xml:space="preserve">Networked Peer Review</w:t>
            </w:r>
          </w:p>
        </w:tc>
        <w:tc>
          <w:tcPr/>
          <w:p>
            <w:pPr>
              <w:pStyle w:val="Compact"/>
              <w:jc w:val="left"/>
            </w:pPr>
            <w:r>
              <w:t xml:space="preserve">Agents from different institutions analyze shared datasets and critique each other</w:t>
            </w:r>
          </w:p>
        </w:tc>
      </w:tr>
      <w:tr>
        <w:tc>
          <w:tcPr/>
          <w:p>
            <w:pPr>
              <w:pStyle w:val="Compact"/>
              <w:jc w:val="left"/>
            </w:pPr>
            <w:r>
              <w:rPr>
                <w:bCs/>
                <w:b/>
              </w:rPr>
              <w:t xml:space="preserve">Skill Development</w:t>
            </w:r>
          </w:p>
        </w:tc>
        <w:tc>
          <w:tcPr/>
          <w:p>
            <w:pPr>
              <w:pStyle w:val="Compact"/>
              <w:jc w:val="left"/>
            </w:pPr>
            <w:r>
              <w:t xml:space="preserve">Errors caught through peer review become validated checks for all agents</w:t>
            </w:r>
          </w:p>
        </w:tc>
      </w:tr>
      <w:tr>
        <w:tc>
          <w:tcPr/>
          <w:p>
            <w:pPr>
              <w:pStyle w:val="Compact"/>
              <w:jc w:val="left"/>
            </w:pPr>
            <w:r>
              <w:rPr>
                <w:bCs/>
                <w:b/>
              </w:rPr>
              <w:t xml:space="preserve">Benchmark Commons</w:t>
            </w:r>
          </w:p>
        </w:tc>
        <w:tc>
          <w:tcPr/>
          <w:p>
            <w:pPr>
              <w:pStyle w:val="Compact"/>
              <w:jc w:val="left"/>
            </w:pPr>
            <w:r>
              <w:t xml:space="preserve">Community-maintained gold-standard datasets for evaluation</w:t>
            </w:r>
          </w:p>
        </w:tc>
      </w:tr>
      <w:tr>
        <w:tc>
          <w:tcPr/>
          <w:p>
            <w:pPr>
              <w:pStyle w:val="Compact"/>
              <w:jc w:val="left"/>
            </w:pPr>
            <w:r>
              <w:rPr>
                <w:bCs/>
                <w:b/>
              </w:rPr>
              <w:t xml:space="preserve">Protocol Governance</w:t>
            </w:r>
          </w:p>
        </w:tc>
        <w:tc>
          <w:tcPr/>
          <w:p>
            <w:pPr>
              <w:pStyle w:val="Compact"/>
              <w:jc w:val="left"/>
            </w:pPr>
            <w:r>
              <w:t xml:space="preserve">Standards emerge from network consensus on best practices</w:t>
            </w:r>
          </w:p>
        </w:tc>
      </w:tr>
    </w:tbl>
    <w:p>
      <w:pPr>
        <w:pStyle w:val="BodyText"/>
      </w:pPr>
      <w:r>
        <w:t xml:space="preserve">The network is both human and artificial: researchers collaborate through their agents’ interactions, while maintaining oversight at every stage.</w:t>
      </w:r>
    </w:p>
    <w:p>
      <w:r>
        <w:pict>
          <v:rect style="width:0;height:1.5pt" o:hralign="center" o:hrstd="t" o:hr="t"/>
        </w:pict>
      </w:r>
    </w:p>
    <w:bookmarkEnd w:id="21"/>
    <w:bookmarkStart w:id="22" w:name="X229c996e3b73d2aca8d440af2c77b4616799670"/>
    <w:p>
      <w:pPr>
        <w:pStyle w:val="Heading2"/>
      </w:pPr>
      <w:r>
        <w:t xml:space="preserve">Why Network Science as the Testing Ground</w:t>
      </w:r>
    </w:p>
    <w:p>
      <w:pPr>
        <w:pStyle w:val="FirstParagraph"/>
      </w:pPr>
      <w:r>
        <w:t xml:space="preserve">AgentAcademy will validate its infrastructure using</w:t>
      </w:r>
      <w:r>
        <w:t xml:space="preserve"> </w:t>
      </w:r>
      <w:r>
        <w:rPr>
          <w:bCs/>
          <w:b/>
        </w:rPr>
        <w:t xml:space="preserve">network analysis</w:t>
      </w:r>
      <w:r>
        <w:t xml:space="preserve"> </w:t>
      </w:r>
      <w:r>
        <w:t xml:space="preserve">as the initial domain:</w:t>
      </w:r>
    </w:p>
    <w:p>
      <w:pPr>
        <w:numPr>
          <w:ilvl w:val="0"/>
          <w:numId w:val="1002"/>
        </w:numPr>
        <w:pStyle w:val="Compact"/>
      </w:pPr>
      <w:r>
        <w:rPr>
          <w:bCs/>
          <w:b/>
        </w:rPr>
        <w:t xml:space="preserve">Coordination detection</w:t>
      </w:r>
      <w:r>
        <w:t xml:space="preserve"> </w:t>
      </w:r>
      <w:r>
        <w:t xml:space="preserve">in social media (identifying inauthentic networks)</w:t>
      </w:r>
    </w:p>
    <w:p>
      <w:pPr>
        <w:numPr>
          <w:ilvl w:val="0"/>
          <w:numId w:val="1002"/>
        </w:numPr>
        <w:pStyle w:val="Compact"/>
      </w:pPr>
      <w:r>
        <w:rPr>
          <w:bCs/>
          <w:b/>
        </w:rPr>
        <w:t xml:space="preserve">Information diffusion</w:t>
      </w:r>
      <w:r>
        <w:t xml:space="preserve"> </w:t>
      </w:r>
      <w:r>
        <w:t xml:space="preserve">tracking (how narratives spread)</w:t>
      </w:r>
    </w:p>
    <w:p>
      <w:pPr>
        <w:numPr>
          <w:ilvl w:val="0"/>
          <w:numId w:val="1002"/>
        </w:numPr>
        <w:pStyle w:val="Compact"/>
      </w:pPr>
      <w:r>
        <w:rPr>
          <w:bCs/>
          <w:b/>
        </w:rPr>
        <w:t xml:space="preserve">Community structure</w:t>
      </w:r>
      <w:r>
        <w:t xml:space="preserve"> </w:t>
      </w:r>
      <w:r>
        <w:t xml:space="preserve">inference from content patterns</w:t>
      </w:r>
    </w:p>
    <w:p>
      <w:pPr>
        <w:pStyle w:val="FirstParagraph"/>
      </w:pPr>
      <w:r>
        <w:t xml:space="preserve">Network science offers clear ground truth for validation, mature methods, and high-stakes applications where reliability matters.</w:t>
      </w:r>
    </w:p>
    <w:p>
      <w:r>
        <w:pict>
          <v:rect style="width:0;height:1.5pt" o:hralign="center" o:hrstd="t" o:hr="t"/>
        </w:pict>
      </w:r>
    </w:p>
    <w:bookmarkEnd w:id="22"/>
    <w:bookmarkStart w:id="23" w:name="proof-of-concept"/>
    <w:p>
      <w:pPr>
        <w:pStyle w:val="Heading2"/>
      </w:pPr>
      <w:r>
        <w:t xml:space="preserve">Proof of Concept</w:t>
      </w:r>
    </w:p>
    <w:p>
      <w:pPr>
        <w:pStyle w:val="FirstParagraph"/>
      </w:pPr>
      <w:r>
        <w:t xml:space="preserve">The PI has developed working prototypes demonstrating core capabilities:</w:t>
      </w:r>
    </w:p>
    <w:p>
      <w:pPr>
        <w:numPr>
          <w:ilvl w:val="0"/>
          <w:numId w:val="1003"/>
        </w:numPr>
        <w:pStyle w:val="Compact"/>
      </w:pPr>
      <w:r>
        <w:rPr>
          <w:bCs/>
          <w:b/>
        </w:rPr>
        <w:t xml:space="preserve">Multi-agent validation</w:t>
      </w:r>
      <w:r>
        <w:t xml:space="preserve">: Multiple AI models (Claude, GPT, Gemini, GLM, Kimi) independently analyze data; agreement patterns increase reliability, disagreements surface biases</w:t>
      </w:r>
    </w:p>
    <w:p>
      <w:pPr>
        <w:numPr>
          <w:ilvl w:val="0"/>
          <w:numId w:val="1003"/>
        </w:numPr>
        <w:pStyle w:val="Compact"/>
      </w:pPr>
      <w:r>
        <w:rPr>
          <w:bCs/>
          <w:b/>
        </w:rPr>
        <w:t xml:space="preserve">Adversarial peer review</w:t>
      </w:r>
      <w:r>
        <w:t xml:space="preserve">: Agents critique each other’s analyses, generating 47+ validated methodological checks from real errors</w:t>
      </w:r>
    </w:p>
    <w:p>
      <w:pPr>
        <w:numPr>
          <w:ilvl w:val="0"/>
          <w:numId w:val="1003"/>
        </w:numPr>
        <w:pStyle w:val="Compact"/>
      </w:pPr>
      <w:r>
        <w:rPr>
          <w:bCs/>
          <w:b/>
        </w:rPr>
        <w:t xml:space="preserve">Methodological framework</w:t>
      </w:r>
      <w:r>
        <w:t xml:space="preserve">: CommDAAF enforces rigor through tiered validation, reflection checkpoints, and alternative explanation requirements</w:t>
      </w:r>
    </w:p>
    <w:p>
      <w:pPr>
        <w:pStyle w:val="FirstParagraph"/>
      </w:pPr>
      <w:r>
        <w:t xml:space="preserve">These pilots prove feasibility. AgentAcademy generalizes them into shared infrastructure.</w:t>
      </w:r>
    </w:p>
    <w:p>
      <w:r>
        <w:pict>
          <v:rect style="width:0;height:1.5pt" o:hralign="center" o:hrstd="t" o:hr="t"/>
        </w:pict>
      </w:r>
    </w:p>
    <w:bookmarkEnd w:id="23"/>
    <w:bookmarkStart w:id="24" w:name="technical-approach"/>
    <w:p>
      <w:pPr>
        <w:pStyle w:val="Heading2"/>
      </w:pPr>
      <w:r>
        <w:t xml:space="preserve">Technical Approach</w:t>
      </w:r>
    </w:p>
    <w:p>
      <w:pPr>
        <w:pStyle w:val="FirstParagraph"/>
      </w:pPr>
      <w:r>
        <w:t xml:space="preserve">Built on open-source agentic AI frameworks (e.g., OpenClaw, Nanobot), AgentAcademy provides:</w:t>
      </w:r>
    </w:p>
    <w:p>
      <w:pPr>
        <w:numPr>
          <w:ilvl w:val="0"/>
          <w:numId w:val="1004"/>
        </w:numPr>
        <w:pStyle w:val="Compact"/>
      </w:pPr>
      <w:r>
        <w:t xml:space="preserve">Autonomous agents with file access, code execution, and web capabilities</w:t>
      </w:r>
    </w:p>
    <w:p>
      <w:pPr>
        <w:numPr>
          <w:ilvl w:val="0"/>
          <w:numId w:val="1004"/>
        </w:numPr>
        <w:pStyle w:val="Compact"/>
      </w:pPr>
      <w:r>
        <w:t xml:space="preserve">Structured protocols for agent-to-agent and human-agent communication</w:t>
      </w:r>
      <w:r>
        <w:br/>
      </w:r>
    </w:p>
    <w:p>
      <w:pPr>
        <w:numPr>
          <w:ilvl w:val="0"/>
          <w:numId w:val="1004"/>
        </w:numPr>
        <w:pStyle w:val="Compact"/>
      </w:pPr>
      <w:r>
        <w:t xml:space="preserve">Configurable human oversight checkpoints</w:t>
      </w:r>
    </w:p>
    <w:p>
      <w:pPr>
        <w:numPr>
          <w:ilvl w:val="0"/>
          <w:numId w:val="1004"/>
        </w:numPr>
        <w:pStyle w:val="Compact"/>
      </w:pPr>
      <w:r>
        <w:t xml:space="preserve">Full logging for reproducibility and provenance</w:t>
      </w:r>
    </w:p>
    <w:p>
      <w:r>
        <w:pict>
          <v:rect style="width:0;height:1.5pt" o:hralign="center" o:hrstd="t" o:hr="t"/>
        </w:pict>
      </w:r>
    </w:p>
    <w:bookmarkEnd w:id="24"/>
    <w:bookmarkStart w:id="25" w:name="deliverables"/>
    <w:p>
      <w:pPr>
        <w:pStyle w:val="Heading2"/>
      </w:pPr>
      <w:r>
        <w:t xml:space="preserve">Deliverables</w:t>
      </w:r>
    </w:p>
    <w:p>
      <w:pPr>
        <w:numPr>
          <w:ilvl w:val="0"/>
          <w:numId w:val="1005"/>
        </w:numPr>
        <w:pStyle w:val="Compact"/>
      </w:pPr>
      <w:r>
        <w:rPr>
          <w:bCs/>
          <w:b/>
        </w:rPr>
        <w:t xml:space="preserve">Open-source platform</w:t>
      </w:r>
      <w:r>
        <w:t xml:space="preserve"> </w:t>
      </w:r>
      <w:r>
        <w:t xml:space="preserve">for agent registration, deployment, and networked interaction</w:t>
      </w:r>
    </w:p>
    <w:p>
      <w:pPr>
        <w:numPr>
          <w:ilvl w:val="0"/>
          <w:numId w:val="1005"/>
        </w:numPr>
        <w:pStyle w:val="Compact"/>
      </w:pPr>
      <w:r>
        <w:rPr>
          <w:bCs/>
          <w:b/>
        </w:rPr>
        <w:t xml:space="preserve">Benchmark datasets</w:t>
      </w:r>
      <w:r>
        <w:t xml:space="preserve"> </w:t>
      </w:r>
      <w:r>
        <w:t xml:space="preserve">with human-validated ground truth for network analysis tasks</w:t>
      </w:r>
    </w:p>
    <w:p>
      <w:pPr>
        <w:numPr>
          <w:ilvl w:val="0"/>
          <w:numId w:val="1005"/>
        </w:numPr>
        <w:pStyle w:val="Compact"/>
      </w:pPr>
      <w:r>
        <w:rPr>
          <w:bCs/>
          <w:b/>
        </w:rPr>
        <w:t xml:space="preserve">Protocol documentation</w:t>
      </w:r>
      <w:r>
        <w:t xml:space="preserve"> </w:t>
      </w:r>
      <w:r>
        <w:t xml:space="preserve">for human-agent research collaboration</w:t>
      </w:r>
    </w:p>
    <w:p>
      <w:pPr>
        <w:numPr>
          <w:ilvl w:val="0"/>
          <w:numId w:val="1005"/>
        </w:numPr>
        <w:pStyle w:val="Compact"/>
      </w:pPr>
      <w:r>
        <w:rPr>
          <w:bCs/>
          <w:b/>
        </w:rPr>
        <w:t xml:space="preserve">Skill packs</w:t>
      </w:r>
      <w:r>
        <w:t xml:space="preserve"> </w:t>
      </w:r>
      <w:r>
        <w:t xml:space="preserve">— validated methodological checks from collective error correction</w:t>
      </w:r>
    </w:p>
    <w:p>
      <w:pPr>
        <w:numPr>
          <w:ilvl w:val="0"/>
          <w:numId w:val="1005"/>
        </w:numPr>
        <w:pStyle w:val="Compact"/>
      </w:pPr>
      <w:r>
        <w:rPr>
          <w:bCs/>
          <w:b/>
        </w:rPr>
        <w:t xml:space="preserve">Evaluation dashboards</w:t>
      </w:r>
      <w:r>
        <w:t xml:space="preserve"> </w:t>
      </w:r>
      <w:r>
        <w:t xml:space="preserve">for assessing agent reliability across tasks</w:t>
      </w:r>
    </w:p>
    <w:p>
      <w:r>
        <w:pict>
          <v:rect style="width:0;height:1.5pt" o:hralign="center" o:hrstd="t" o:hr="t"/>
        </w:pict>
      </w:r>
    </w:p>
    <w:bookmarkEnd w:id="25"/>
    <w:bookmarkStart w:id="26" w:name="fit-with-hnds-i"/>
    <w:p>
      <w:pPr>
        <w:pStyle w:val="Heading2"/>
      </w:pPr>
      <w:r>
        <w:t xml:space="preserve">Fit with HNDS-I</w:t>
      </w:r>
    </w:p>
    <w:tbl>
      <w:tblPr>
        <w:tblStyle w:val="Table"/>
        <w:tblW w:type="pct" w:w="5000"/>
        <w:tblLook w:firstRow="1" w:lastRow="0" w:firstColumn="0" w:lastColumn="0" w:noHBand="0" w:noVBand="0" w:val="0020"/>
        <w:jc w:val="start"/>
      </w:tblPr>
      <w:tblGrid>
        <w:gridCol w:w="3484"/>
        <w:gridCol w:w="4435"/>
      </w:tblGrid>
      <w:tr>
        <w:trPr>
          <w:tblHeader w:val="true"/>
        </w:trPr>
        <w:tc>
          <w:tcPr/>
          <w:p>
            <w:pPr>
              <w:pStyle w:val="Compact"/>
              <w:jc w:val="left"/>
            </w:pPr>
            <w:r>
              <w:t xml:space="preserve">Criterion</w:t>
            </w:r>
          </w:p>
        </w:tc>
        <w:tc>
          <w:tcPr/>
          <w:p>
            <w:pPr>
              <w:pStyle w:val="Compact"/>
              <w:jc w:val="left"/>
            </w:pPr>
            <w:r>
              <w:t xml:space="preserve">AgentAcademy</w:t>
            </w:r>
          </w:p>
        </w:tc>
      </w:tr>
      <w:tr>
        <w:tc>
          <w:tcPr/>
          <w:p>
            <w:pPr>
              <w:pStyle w:val="Compact"/>
              <w:jc w:val="left"/>
            </w:pPr>
            <w:r>
              <w:t xml:space="preserve">Data resources for SBE research</w:t>
            </w:r>
          </w:p>
        </w:tc>
        <w:tc>
          <w:tcPr/>
          <w:p>
            <w:pPr>
              <w:pStyle w:val="Compact"/>
              <w:jc w:val="left"/>
            </w:pPr>
            <w:r>
              <w:t xml:space="preserve">Benchmarks, skill packs, agent performance data</w:t>
            </w:r>
          </w:p>
        </w:tc>
      </w:tr>
      <w:tr>
        <w:tc>
          <w:tcPr/>
          <w:p>
            <w:pPr>
              <w:pStyle w:val="Compact"/>
              <w:jc w:val="left"/>
            </w:pPr>
            <w:r>
              <w:t xml:space="preserve">Analytic techniques</w:t>
            </w:r>
          </w:p>
        </w:tc>
        <w:tc>
          <w:tcPr/>
          <w:p>
            <w:pPr>
              <w:pStyle w:val="Compact"/>
              <w:jc w:val="left"/>
            </w:pPr>
            <w:r>
              <w:t xml:space="preserve">Multi-agent validation, adversarial peer review</w:t>
            </w:r>
          </w:p>
        </w:tc>
      </w:tr>
      <w:tr>
        <w:tc>
          <w:tcPr/>
          <w:p>
            <w:pPr>
              <w:pStyle w:val="Compact"/>
              <w:jc w:val="left"/>
            </w:pPr>
            <w:r>
              <w:t xml:space="preserve">Broad disciplinary impact</w:t>
            </w:r>
          </w:p>
        </w:tc>
        <w:tc>
          <w:tcPr/>
          <w:p>
            <w:pPr>
              <w:pStyle w:val="Compact"/>
              <w:jc w:val="left"/>
            </w:pPr>
            <w:r>
              <w:t xml:space="preserve">Any field using AI agents benefits</w:t>
            </w:r>
          </w:p>
        </w:tc>
      </w:tr>
      <w:tr>
        <w:tc>
          <w:tcPr/>
          <w:p>
            <w:pPr>
              <w:pStyle w:val="Compact"/>
              <w:jc w:val="left"/>
            </w:pPr>
            <w:r>
              <w:t xml:space="preserve">Previously impossible research</w:t>
            </w:r>
          </w:p>
        </w:tc>
        <w:tc>
          <w:tcPr/>
          <w:p>
            <w:pPr>
              <w:pStyle w:val="Compact"/>
              <w:jc w:val="left"/>
            </w:pPr>
            <w:r>
              <w:t xml:space="preserve">Cross-institutional agent validation at global scale</w:t>
            </w:r>
          </w:p>
        </w:tc>
      </w:tr>
      <w:tr>
        <w:tc>
          <w:tcPr/>
          <w:p>
            <w:pPr>
              <w:pStyle w:val="Compact"/>
              <w:jc w:val="left"/>
            </w:pPr>
            <w:r>
              <w:t xml:space="preserve">Sustainability</w:t>
            </w:r>
          </w:p>
        </w:tc>
        <w:tc>
          <w:tcPr/>
          <w:p>
            <w:pPr>
              <w:pStyle w:val="Compact"/>
              <w:jc w:val="left"/>
            </w:pPr>
            <w:r>
              <w:t xml:space="preserve">Open-source + community governance</w:t>
            </w:r>
          </w:p>
        </w:tc>
      </w:tr>
    </w:tbl>
    <w:p>
      <w:r>
        <w:pict>
          <v:rect style="width:0;height:1.5pt" o:hralign="center" o:hrstd="t" o:hr="t"/>
        </w:pict>
      </w:r>
    </w:p>
    <w:bookmarkEnd w:id="26"/>
    <w:bookmarkStart w:id="27" w:name="request"/>
    <w:p>
      <w:pPr>
        <w:pStyle w:val="Heading2"/>
      </w:pPr>
      <w:r>
        <w:t xml:space="preserve">Request</w:t>
      </w:r>
    </w:p>
    <w:p>
      <w:pPr>
        <w:pStyle w:val="FirstParagraph"/>
      </w:pPr>
      <w:r>
        <w:t xml:space="preserve">We seek feedback on this concept’s fit with HNDS-I priorities and guidance on proposal development.</w:t>
      </w:r>
    </w:p>
    <w:p>
      <w:pPr>
        <w:pStyle w:val="BodyText"/>
      </w:pPr>
      <w:r>
        <w:rPr>
          <w:bCs/>
          <w:b/>
        </w:rPr>
        <w:t xml:space="preserve">Contact:</w:t>
      </w:r>
      <w:r>
        <w:t xml:space="preserve"> </w:t>
      </w:r>
      <w:r>
        <w:t xml:space="preserve">Wayne Xu, University of Massachusetts Amherst</w:t>
      </w:r>
      <w:r>
        <w:br/>
      </w:r>
      <w:r>
        <w:t xml:space="preserve">wxx@umass.edu</w:t>
      </w:r>
    </w:p>
    <w:p>
      <w:r>
        <w:pict>
          <v:rect style="width:0;height:1.5pt" o:hralign="center" o:hrstd="t" o:hr="t"/>
        </w:pict>
      </w:r>
    </w:p>
    <w:p>
      <w:pPr>
        <w:pStyle w:val="FirstParagraph"/>
      </w:pPr>
      <w:r>
        <w:rPr>
          <w:iCs/>
          <w:i/>
        </w:rPr>
        <w:t xml:space="preserve">March 2026</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2026-03-10T15:33:49Z</dcterms:created>
  <dcterms:modified xsi:type="dcterms:W3CDTF">2026-03-10T15:33:49Z</dcterms:modified>
</cp:coreProperties>
</file>

<file path=docProps/custom.xml><?xml version="1.0" encoding="utf-8"?>
<Properties xmlns="http://schemas.openxmlformats.org/officeDocument/2006/custom-properties" xmlns:vt="http://schemas.openxmlformats.org/officeDocument/2006/docPropsVTypes"/>
</file>