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SquadVault Core Engine – Technical Specification</w:t>
      </w:r>
    </w:p>
    <w:p>
      <w:r>
        <w:t>Canonical Platform Architecture &amp; Execution Guide (v1.0)</w:t>
        <w:br/>
      </w:r>
    </w:p>
    <w:p>
      <w:r>
        <w:rPr>
          <w:b/>
        </w:rPr>
        <w:t xml:space="preserve">Audience: </w:t>
      </w:r>
      <w:r>
        <w:t>Engineering, Technical Advisors, Product Leadership</w:t>
        <w:br/>
      </w:r>
      <w:r>
        <w:rPr>
          <w:b/>
        </w:rPr>
        <w:t xml:space="preserve">Canonical Status: </w:t>
      </w:r>
      <w:r>
        <w:t>Authoritative source of truth for the SquadVault platform</w:t>
        <w:br/>
      </w:r>
      <w:r>
        <w:rPr>
          <w:b/>
        </w:rPr>
        <w:t xml:space="preserve">Status: </w:t>
      </w:r>
      <w:r>
        <w:t>Benchmark-Quality Canonical Specification</w:t>
        <w:br/>
      </w:r>
    </w:p>
    <w:p>
      <w:r>
        <w:br/>
      </w:r>
    </w:p>
    <w:p>
      <w:pPr>
        <w:pStyle w:val="Heading1"/>
      </w:pPr>
      <w:r>
        <w:t>1. Introduction &amp; Governance</w:t>
      </w:r>
    </w:p>
    <w:p>
      <w:r>
        <w:t>This document defines the SquadVault Core Engine. It governs platform-wide architecture, memory, narrative, tone, trust, and module boundaries. All modules consume Core services and may not redefine or bypass Core responsibilities.</w:t>
        <w:br/>
        <w:br/>
        <w:t>Governance Rules:</w:t>
        <w:br/>
        <w:t>- This document is the authoritative reference for Core Engine behavior</w:t>
        <w:br/>
        <w:t>- Changes require versioning and architectural review</w:t>
        <w:br/>
        <w:t>- Business narratives may reference but not duplicate this specification</w:t>
      </w:r>
    </w:p>
    <w:p>
      <w:pPr>
        <w:pStyle w:val="Heading1"/>
      </w:pPr>
      <w:r>
        <w:t>2. One-Page System Narrative (End-to-End)</w:t>
      </w:r>
    </w:p>
    <w:p>
      <w:r>
        <w:t>SquadVault operates as a memory-first system. Domain events are normalized by modules, ingested as immutable MemoryEvents, stored longitudinally, enriched with historical context, modulated by governed tone directives, assembled into narratives, validated for safety, persisted as versioned artifacts, and surfaced through controlled UX surfaces.</w:t>
        <w:br/>
        <w:br/>
        <w:t>System Invariants:</w:t>
        <w:br/>
        <w:t>- Facts are immutable; narratives are derived</w:t>
        <w:br/>
        <w:t>- Tone is governed, not improvised</w:t>
        <w:br/>
        <w:t>- Human approval gates publication</w:t>
        <w:br/>
        <w:t>- Monetization attaches to memory depth, not usage</w:t>
      </w:r>
    </w:p>
    <w:p>
      <w:pPr>
        <w:pStyle w:val="Heading1"/>
      </w:pPr>
      <w:r>
        <w:t>3. Canonical Glossary of Terms</w:t>
      </w:r>
    </w:p>
    <w:p>
      <w:r>
        <w:t>Core Engine: Domain-agnostic platform layer governing memory, narrative, tone, and trust.</w:t>
        <w:br/>
        <w:t>Module: Domain-specific extension that supplies schemas and UX but does not own memory.</w:t>
        <w:br/>
        <w:t>MemoryEvent: Immutable, append-only factual record.</w:t>
        <w:br/>
        <w:t>Artifact: Versioned narrative output derived from MemoryEvents.</w:t>
        <w:br/>
        <w:t>Tone Engine™: System enforcing group-level cultural consistency.</w:t>
        <w:br/>
        <w:t>Narrative Assembly Pipeline: Structured process converting memory into narrative artifacts.</w:t>
      </w:r>
    </w:p>
    <w:p>
      <w:pPr>
        <w:pStyle w:val="Heading1"/>
      </w:pPr>
      <w:r>
        <w:t>4. Identity &amp; Group Model</w:t>
      </w:r>
    </w:p>
    <w:p>
      <w:r>
        <w:t>The Core Engine models identity at the group level. Groups own memory, tone profiles, and artifacts. Members are persistent entities mapped by modules. Individual personalization is out of scope for MVP.</w:t>
      </w:r>
    </w:p>
    <w:p>
      <w:pPr>
        <w:pStyle w:val="Heading1"/>
      </w:pPr>
      <w:r>
        <w:t>5. Memory Engine – Longitudinal Storage</w:t>
      </w:r>
    </w:p>
    <w:p>
      <w:r>
        <w:t>The Memory Engine stores append-only MemoryEvents. No inference, prediction, or interpretation occurs at storage time. Historical retrieval supports narrative context enrichment.</w:t>
      </w:r>
    </w:p>
    <w:p>
      <w:pPr>
        <w:pStyle w:val="Heading1"/>
      </w:pPr>
      <w:r>
        <w:t>6. Tone Engine™ – Cultural Modulation</w:t>
      </w:r>
    </w:p>
    <w:p>
      <w:r>
        <w:t>The Tone Engine™ produces tone directives based on group history and configuration. Tone evolves slowly, is predictable, and is constrained by safety policies.</w:t>
      </w:r>
    </w:p>
    <w:p>
      <w:pPr>
        <w:pStyle w:val="Heading1"/>
      </w:pPr>
      <w:r>
        <w:t>7. Narrative Assembly Pipeline</w:t>
      </w:r>
    </w:p>
    <w:p>
      <w:r>
        <w:t>Narratives are generated through deterministic stages: event selection, context enrichment, tone application, generation, validation, and persistence. All outputs are traceable to source events.</w:t>
      </w:r>
    </w:p>
    <w:p>
      <w:pPr>
        <w:pStyle w:val="Heading1"/>
      </w:pPr>
      <w:r>
        <w:t>8. Failure Modes &amp; Expected System Behavior (MVP)</w:t>
      </w:r>
    </w:p>
    <w:p>
      <w:r>
        <w:t>The system prefers conservative behavior under ambiguity. Late data results in explicit acknowledgment. Edits produce versions. Safety overrides creativity. Silence is preferred over fabrication.</w:t>
      </w:r>
    </w:p>
    <w:p>
      <w:pPr>
        <w:pStyle w:val="Heading1"/>
      </w:pPr>
      <w:r>
        <w:t>9. Human-in-the-Loop Control Model (MVP)</w:t>
      </w:r>
    </w:p>
    <w:p>
      <w:r>
        <w:t>AI assists but never publishes autonomously. Humans approve publication, edits, regeneration, tone changes, and monetization-triggered actions.</w:t>
      </w:r>
    </w:p>
    <w:p>
      <w:pPr>
        <w:pStyle w:val="Heading1"/>
      </w:pPr>
      <w:r>
        <w:t>10. MVP Scope Lock (Core Engine)</w:t>
      </w:r>
    </w:p>
    <w:p>
      <w:r>
        <w:t>Included: group identity, memory storage, narrative generation, tone governance.</w:t>
        <w:br/>
        <w:t>Excluded: personalization, real-time systems, prediction, autonomous action.</w:t>
      </w:r>
    </w:p>
    <w:p>
      <w:pPr>
        <w:pStyle w:val="Heading1"/>
      </w:pPr>
      <w:r>
        <w:t>11. Change Management &amp; Versioning</w:t>
      </w:r>
    </w:p>
    <w:p>
      <w:r>
        <w:t>Changes follow semantic versioning. Breaking changes require migration notes. Backward compatibility is preserved whenever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