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IRP &amp; Development Playbook — Authority Clarification Addendum</w:t>
      </w:r>
    </w:p>
    <w:p>
      <w:r>
        <w:br/>
        <w:t>Status: CANONICAL CLARIFICATION</w:t>
        <w:br/>
        <w:t>Applies To:</w:t>
        <w:br/>
        <w:t>• Implementation Readiness Package (IRP)</w:t>
        <w:br/>
        <w:t>• Development Playbook (MVP)</w:t>
        <w:br/>
        <w:br/>
        <w:t>Clarification:</w:t>
        <w:br/>
        <w:br/>
        <w:t>The Implementation Readiness Package (IRP) governs the transition from</w:t>
        <w:br/>
        <w:t>canonical documentation into an executable build plan.</w:t>
        <w:br/>
        <w:br/>
        <w:t>Once active development is underway and IRP prerequisites are satisfied,</w:t>
        <w:br/>
        <w:t>day-to-day execution MUST defer to the Development Playbook (MVP).</w:t>
        <w:br/>
        <w:br/>
        <w:t>The Development Playbook governs:</w:t>
        <w:br/>
        <w:t>• Daily build discipline</w:t>
        <w:br/>
        <w:t>• Verification loops</w:t>
        <w:br/>
        <w:t>• Lock points</w:t>
        <w:br/>
        <w:t>• Exit criteria</w:t>
        <w:br/>
        <w:br/>
        <w:t>This clarification exists to eliminate ambiguity, not to introduce new rules.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