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5A2" w14:textId="77777777" w:rsidR="001B4C63" w:rsidRDefault="001B4C63" w:rsidP="001B4C63">
      <w:pPr>
        <w:pStyle w:val="a3"/>
        <w:numPr>
          <w:ilvl w:val="0"/>
          <w:numId w:val="1"/>
        </w:numPr>
        <w:ind w:firstLineChars="0"/>
        <w:rPr>
          <w:b/>
          <w:bCs/>
          <w:sz w:val="32"/>
          <w:szCs w:val="36"/>
        </w:rPr>
      </w:pPr>
      <w:r w:rsidRPr="001F1F65">
        <w:rPr>
          <w:rFonts w:hint="eastAsia"/>
          <w:b/>
          <w:bCs/>
          <w:sz w:val="32"/>
          <w:szCs w:val="36"/>
        </w:rPr>
        <w:t>证券投资学概论</w:t>
      </w:r>
    </w:p>
    <w:p w14:paraId="269BDD3D" w14:textId="7CBC223C" w:rsidR="00BE3131" w:rsidRDefault="00BE3131" w:rsidP="001B4C63">
      <w:pPr>
        <w:rPr>
          <w:b/>
          <w:bCs/>
        </w:rPr>
      </w:pPr>
      <w:r>
        <w:rPr>
          <w:noProof/>
        </w:rPr>
        <w:drawing>
          <wp:inline distT="0" distB="0" distL="0" distR="0" wp14:anchorId="6D99BAF4" wp14:editId="7EA1FA1B">
            <wp:extent cx="4929545" cy="2583180"/>
            <wp:effectExtent l="0" t="0" r="4445" b="7620"/>
            <wp:docPr id="79939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1200" name=""/>
                    <pic:cNvPicPr/>
                  </pic:nvPicPr>
                  <pic:blipFill rotWithShape="1">
                    <a:blip r:embed="rId7"/>
                    <a:srcRect b="22292"/>
                    <a:stretch/>
                  </pic:blipFill>
                  <pic:spPr bwMode="auto">
                    <a:xfrm>
                      <a:off x="0" y="0"/>
                      <a:ext cx="4936940" cy="2587055"/>
                    </a:xfrm>
                    <a:prstGeom prst="rect">
                      <a:avLst/>
                    </a:prstGeom>
                    <a:ln>
                      <a:noFill/>
                    </a:ln>
                    <a:extLst>
                      <a:ext uri="{53640926-AAD7-44D8-BBD7-CCE9431645EC}">
                        <a14:shadowObscured xmlns:a14="http://schemas.microsoft.com/office/drawing/2010/main"/>
                      </a:ext>
                    </a:extLst>
                  </pic:spPr>
                </pic:pic>
              </a:graphicData>
            </a:graphic>
          </wp:inline>
        </w:drawing>
      </w:r>
    </w:p>
    <w:p w14:paraId="587A4BC9" w14:textId="1B9C5BBC" w:rsidR="003B5307" w:rsidRDefault="003B5307" w:rsidP="001B4C63">
      <w:pPr>
        <w:rPr>
          <w:b/>
          <w:bCs/>
        </w:rPr>
      </w:pPr>
      <w:r>
        <w:rPr>
          <w:rFonts w:hint="eastAsia"/>
          <w:b/>
          <w:bCs/>
        </w:rPr>
        <w:t>2</w:t>
      </w:r>
      <w:r>
        <w:rPr>
          <w:b/>
          <w:bCs/>
        </w:rPr>
        <w:t xml:space="preserve">0 </w:t>
      </w:r>
      <w:r>
        <w:rPr>
          <w:rFonts w:hint="eastAsia"/>
          <w:b/>
          <w:bCs/>
        </w:rPr>
        <w:t xml:space="preserve">单选 </w:t>
      </w:r>
      <w:r>
        <w:rPr>
          <w:b/>
          <w:bCs/>
        </w:rPr>
        <w:t xml:space="preserve"> </w:t>
      </w:r>
      <w:r w:rsidR="001D4B1E">
        <w:rPr>
          <w:b/>
          <w:bCs/>
        </w:rPr>
        <w:t>55</w:t>
      </w:r>
      <w:r w:rsidR="001D4B1E">
        <w:rPr>
          <w:rFonts w:hint="eastAsia"/>
          <w:b/>
          <w:bCs/>
        </w:rPr>
        <w:t>简答</w:t>
      </w:r>
      <w:r w:rsidR="002668D0">
        <w:rPr>
          <w:rFonts w:hint="eastAsia"/>
          <w:b/>
          <w:bCs/>
        </w:rPr>
        <w:t>（5道）</w:t>
      </w:r>
      <w:r w:rsidR="001D4B1E">
        <w:rPr>
          <w:rFonts w:hint="eastAsia"/>
          <w:b/>
          <w:bCs/>
        </w:rPr>
        <w:t xml:space="preserve"> </w:t>
      </w:r>
      <w:r w:rsidR="001D4B1E">
        <w:rPr>
          <w:b/>
          <w:bCs/>
        </w:rPr>
        <w:t>25</w:t>
      </w:r>
      <w:r>
        <w:rPr>
          <w:rFonts w:hint="eastAsia"/>
          <w:b/>
          <w:bCs/>
        </w:rPr>
        <w:t>论述</w:t>
      </w:r>
      <w:r w:rsidR="009E71C2">
        <w:rPr>
          <w:rFonts w:hint="eastAsia"/>
          <w:b/>
          <w:bCs/>
        </w:rPr>
        <w:t>（二选一）</w:t>
      </w:r>
      <w:r>
        <w:rPr>
          <w:rFonts w:hint="eastAsia"/>
          <w:b/>
          <w:bCs/>
        </w:rPr>
        <w:t xml:space="preserve"> </w:t>
      </w:r>
    </w:p>
    <w:p w14:paraId="00A2579E" w14:textId="36FA5C86" w:rsidR="001B0256" w:rsidRPr="002E6A76" w:rsidRDefault="001B0256" w:rsidP="001B4C63">
      <w:pPr>
        <w:rPr>
          <w:b/>
          <w:bCs/>
        </w:rPr>
      </w:pPr>
      <w:r w:rsidRPr="002E6A76">
        <w:rPr>
          <w:rFonts w:ascii="Open Sans" w:hAnsi="Open Sans" w:cs="Open Sans"/>
          <w:b/>
          <w:bCs/>
          <w:color w:val="333333"/>
          <w:shd w:val="clear" w:color="auto" w:fill="FFFFFF"/>
        </w:rPr>
        <w:t>基本上是只要记住老李</w:t>
      </w:r>
      <w:r w:rsidRPr="002E6A76">
        <w:rPr>
          <w:rFonts w:ascii="Open Sans" w:hAnsi="Open Sans" w:cs="Open Sans"/>
          <w:b/>
          <w:bCs/>
          <w:color w:val="333333"/>
          <w:shd w:val="clear" w:color="auto" w:fill="FFFFFF"/>
        </w:rPr>
        <w:t>ppt</w:t>
      </w:r>
      <w:r w:rsidRPr="002E6A76">
        <w:rPr>
          <w:rFonts w:ascii="Open Sans" w:hAnsi="Open Sans" w:cs="Open Sans"/>
          <w:b/>
          <w:bCs/>
          <w:color w:val="333333"/>
          <w:shd w:val="clear" w:color="auto" w:fill="FFFFFF"/>
        </w:rPr>
        <w:t>上的内容就够了</w:t>
      </w:r>
    </w:p>
    <w:p w14:paraId="63BB5246" w14:textId="1975D508" w:rsidR="003B5307" w:rsidRPr="00D72BC4" w:rsidRDefault="00A3093C" w:rsidP="001B4C63">
      <w:pPr>
        <w:rPr>
          <w:b/>
          <w:bCs/>
          <w:highlight w:val="yellow"/>
        </w:rPr>
      </w:pPr>
      <w:r>
        <w:rPr>
          <w:rFonts w:hint="eastAsia"/>
          <w:b/>
          <w:bCs/>
          <w:highlight w:val="yellow"/>
        </w:rPr>
        <w:t>一个</w:t>
      </w:r>
      <w:r w:rsidR="00C70FCB" w:rsidRPr="00BF27D4">
        <w:rPr>
          <w:rFonts w:hint="eastAsia"/>
          <w:b/>
          <w:bCs/>
          <w:highlight w:val="yellow"/>
        </w:rPr>
        <w:t>核心:</w:t>
      </w:r>
      <w:r w:rsidR="003B5307" w:rsidRPr="00BF27D4">
        <w:rPr>
          <w:rFonts w:hint="eastAsia"/>
          <w:b/>
          <w:bCs/>
          <w:highlight w:val="yellow"/>
        </w:rPr>
        <w:t>估值（绝对和相对）</w:t>
      </w:r>
      <w:r w:rsidR="00157310" w:rsidRPr="00BF27D4">
        <w:rPr>
          <w:rFonts w:hint="eastAsia"/>
          <w:b/>
          <w:bCs/>
          <w:highlight w:val="yellow"/>
        </w:rPr>
        <w:t>，两个</w:t>
      </w:r>
      <w:r w:rsidR="00A14FDA">
        <w:rPr>
          <w:rFonts w:hint="eastAsia"/>
          <w:b/>
          <w:bCs/>
          <w:highlight w:val="yellow"/>
        </w:rPr>
        <w:t>分析</w:t>
      </w:r>
      <w:r w:rsidR="00157310" w:rsidRPr="00BF27D4">
        <w:rPr>
          <w:rFonts w:hint="eastAsia"/>
          <w:b/>
          <w:bCs/>
          <w:highlight w:val="yellow"/>
        </w:rPr>
        <w:t>（基本分析和技术分析）</w:t>
      </w:r>
      <w:r w:rsidR="00242309" w:rsidRPr="00BF27D4">
        <w:rPr>
          <w:rFonts w:hint="eastAsia"/>
          <w:b/>
          <w:bCs/>
          <w:highlight w:val="yellow"/>
        </w:rPr>
        <w:t>，</w:t>
      </w:r>
      <w:r w:rsidR="0032124C" w:rsidRPr="00BF27D4">
        <w:rPr>
          <w:rFonts w:hint="eastAsia"/>
          <w:b/>
          <w:bCs/>
          <w:highlight w:val="yellow"/>
        </w:rPr>
        <w:t>三大驱动</w:t>
      </w:r>
      <w:r w:rsidR="00D17581" w:rsidRPr="00BF27D4">
        <w:rPr>
          <w:rFonts w:hint="eastAsia"/>
          <w:b/>
          <w:bCs/>
          <w:highlight w:val="yellow"/>
        </w:rPr>
        <w:t>，</w:t>
      </w:r>
      <w:r w:rsidR="00F1587A" w:rsidRPr="00D72BC4">
        <w:rPr>
          <w:rFonts w:hint="eastAsia"/>
          <w:b/>
          <w:bCs/>
          <w:highlight w:val="yellow"/>
        </w:rPr>
        <w:t>四大理论（行为金融，C</w:t>
      </w:r>
      <w:r w:rsidR="00F1587A" w:rsidRPr="00D72BC4">
        <w:rPr>
          <w:b/>
          <w:bCs/>
          <w:highlight w:val="yellow"/>
        </w:rPr>
        <w:t xml:space="preserve">APM, </w:t>
      </w:r>
      <w:r w:rsidR="00F1587A" w:rsidRPr="00D72BC4">
        <w:rPr>
          <w:rFonts w:hint="eastAsia"/>
          <w:b/>
          <w:bCs/>
          <w:highlight w:val="yellow"/>
        </w:rPr>
        <w:t>资产组合，有效市场</w:t>
      </w:r>
    </w:p>
    <w:p w14:paraId="775E66F6" w14:textId="20959A70" w:rsidR="0032124C" w:rsidRDefault="006005FE" w:rsidP="001B4C63">
      <w:pPr>
        <w:rPr>
          <w:rFonts w:ascii="Open Sans" w:hAnsi="Open Sans" w:cs="Open Sans"/>
          <w:color w:val="333333"/>
          <w:shd w:val="clear" w:color="auto" w:fill="FFFFFF"/>
        </w:rPr>
      </w:pPr>
      <w:r>
        <w:rPr>
          <w:rFonts w:ascii="Open Sans" w:hAnsi="Open Sans" w:cs="Open Sans"/>
          <w:color w:val="333333"/>
          <w:shd w:val="clear" w:color="auto" w:fill="FFFFFF"/>
        </w:rPr>
        <w:t>ROE</w:t>
      </w:r>
      <w:r>
        <w:rPr>
          <w:rFonts w:ascii="Open Sans" w:hAnsi="Open Sans" w:cs="Open Sans"/>
          <w:color w:val="333333"/>
          <w:shd w:val="clear" w:color="auto" w:fill="FFFFFF"/>
        </w:rPr>
        <w:t>和估值应该就是老李最喜欢考的东西</w:t>
      </w:r>
    </w:p>
    <w:p w14:paraId="265285FE" w14:textId="46EB29CE" w:rsidR="00D16B85" w:rsidRDefault="00D16B85" w:rsidP="001B4C63">
      <w:pPr>
        <w:rPr>
          <w:rFonts w:ascii="Open Sans" w:hAnsi="Open Sans" w:cs="Open Sans"/>
          <w:color w:val="333333"/>
          <w:shd w:val="clear" w:color="auto" w:fill="FFFFFF"/>
        </w:rPr>
      </w:pPr>
    </w:p>
    <w:p w14:paraId="46AF9715" w14:textId="16DEBBC1" w:rsidR="00D16B85" w:rsidRDefault="00A03606" w:rsidP="001B4C63">
      <w:pPr>
        <w:rPr>
          <w:b/>
          <w:bCs/>
        </w:rPr>
      </w:pPr>
      <w:r>
        <w:rPr>
          <w:rFonts w:hint="eastAsia"/>
          <w:b/>
          <w:bCs/>
        </w:rPr>
        <w:t>汪炜说</w:t>
      </w:r>
      <w:r>
        <w:rPr>
          <w:b/>
          <w:bCs/>
        </w:rPr>
        <w:t xml:space="preserve"> </w:t>
      </w:r>
      <w:r>
        <w:rPr>
          <w:rFonts w:hint="eastAsia"/>
          <w:b/>
          <w:bCs/>
        </w:rPr>
        <w:t>金融的核心是风险</w:t>
      </w:r>
    </w:p>
    <w:p w14:paraId="0D9B14DA" w14:textId="0B008F26" w:rsidR="00A03606" w:rsidRDefault="00A03606" w:rsidP="001B4C63">
      <w:pPr>
        <w:rPr>
          <w:b/>
          <w:bCs/>
        </w:rPr>
      </w:pPr>
    </w:p>
    <w:p w14:paraId="1F8C97C4" w14:textId="5DBB6853" w:rsidR="00CD1F46" w:rsidRDefault="009F1627" w:rsidP="001B4C63">
      <w:pPr>
        <w:rPr>
          <w:b/>
          <w:bCs/>
        </w:rPr>
      </w:pPr>
      <w:r w:rsidRPr="006F7211">
        <w:rPr>
          <w:rFonts w:hint="eastAsia"/>
          <w:b/>
          <w:bCs/>
          <w:highlight w:val="green"/>
        </w:rPr>
        <w:t>套利机会存在，市场没有均衡</w:t>
      </w:r>
    </w:p>
    <w:p w14:paraId="7325CB0E" w14:textId="0D8C9737" w:rsidR="00B8235E" w:rsidRPr="00DF411E" w:rsidRDefault="001B4C63" w:rsidP="001B4C63">
      <w:pPr>
        <w:rPr>
          <w:b/>
          <w:bCs/>
        </w:rPr>
      </w:pPr>
      <w:r w:rsidRPr="00DF411E">
        <w:rPr>
          <w:rFonts w:hint="eastAsia"/>
          <w:b/>
          <w:bCs/>
        </w:rPr>
        <w:t>第一节   证券的概念及特征</w:t>
      </w:r>
    </w:p>
    <w:p w14:paraId="22655547" w14:textId="77777777" w:rsidR="001B4C63" w:rsidRPr="00DF411E" w:rsidRDefault="001B4C63" w:rsidP="001B4C63">
      <w:pPr>
        <w:rPr>
          <w:b/>
          <w:bCs/>
        </w:rPr>
      </w:pPr>
      <w:r w:rsidRPr="00DF411E">
        <w:rPr>
          <w:rFonts w:hint="eastAsia"/>
          <w:b/>
          <w:bCs/>
        </w:rPr>
        <w:t>二.证券的分类</w:t>
      </w:r>
    </w:p>
    <w:p w14:paraId="261CFD1E" w14:textId="5D7AFFE4" w:rsidR="001B4C63" w:rsidRPr="00DF411E" w:rsidRDefault="001B4C63" w:rsidP="001B4C63">
      <w:pPr>
        <w:rPr>
          <w:rFonts w:hint="eastAsia"/>
          <w:bCs/>
        </w:rPr>
      </w:pPr>
      <w:r w:rsidRPr="00462CD8">
        <w:rPr>
          <w:b/>
          <w:bCs/>
          <w:color w:val="FF0000"/>
        </w:rPr>
        <w:t>1.有价证券</w:t>
      </w:r>
      <w:r w:rsidR="00B8235E" w:rsidRPr="00DF411E">
        <w:rPr>
          <w:rFonts w:hint="eastAsia"/>
          <w:b/>
          <w:bCs/>
        </w:rPr>
        <w:t>：</w:t>
      </w:r>
      <w:r w:rsidRPr="00DF411E">
        <w:rPr>
          <w:bCs/>
        </w:rPr>
        <w:t>标有票面金额、证明持有人有权按期取得一定收入并可转让（买卖）的所有权或债权的凭证</w:t>
      </w:r>
    </w:p>
    <w:p w14:paraId="412740FD" w14:textId="77777777" w:rsidR="001B4C63" w:rsidRPr="00DF411E" w:rsidRDefault="001B4C63" w:rsidP="001B4C63">
      <w:pPr>
        <w:rPr>
          <w:b/>
        </w:rPr>
      </w:pPr>
      <w:r w:rsidRPr="00DF411E">
        <w:rPr>
          <w:rFonts w:hint="eastAsia"/>
          <w:b/>
          <w:bCs/>
        </w:rPr>
        <w:t>有价证券的分类</w:t>
      </w:r>
    </w:p>
    <w:p w14:paraId="19F502A1" w14:textId="31302A09" w:rsidR="001B4C63" w:rsidRPr="00DF411E" w:rsidRDefault="00B8235E" w:rsidP="001B4C63">
      <w:r w:rsidRPr="00DF411E">
        <w:t xml:space="preserve">   </w:t>
      </w:r>
      <w:r w:rsidR="001B4C63" w:rsidRPr="00DF411E">
        <w:t>（1）</w:t>
      </w:r>
      <w:r w:rsidR="001B4C63" w:rsidRPr="00D472F0">
        <w:rPr>
          <w:b/>
          <w:bCs/>
        </w:rPr>
        <w:t>商品（货物）证券</w:t>
      </w:r>
    </w:p>
    <w:p w14:paraId="6772905C" w14:textId="0F36DDFE" w:rsidR="001B4C63" w:rsidRPr="00DF411E" w:rsidRDefault="00B8235E" w:rsidP="001B4C63">
      <w:r w:rsidRPr="00DF411E">
        <w:t xml:space="preserve">   </w:t>
      </w:r>
      <w:r w:rsidR="001B4C63" w:rsidRPr="00DF411E">
        <w:t>（2）</w:t>
      </w:r>
      <w:r w:rsidR="001B4C63" w:rsidRPr="00D472F0">
        <w:rPr>
          <w:b/>
          <w:bCs/>
        </w:rPr>
        <w:t>货币证券</w:t>
      </w:r>
    </w:p>
    <w:p w14:paraId="28AB9B4F" w14:textId="1E836115" w:rsidR="001B4C63" w:rsidRPr="00DF411E" w:rsidRDefault="00B8235E" w:rsidP="001B4C63">
      <w:r w:rsidRPr="00DF411E">
        <w:t xml:space="preserve">   </w:t>
      </w:r>
      <w:r w:rsidR="001B4C63" w:rsidRPr="00DF411E">
        <w:t>（3）</w:t>
      </w:r>
      <w:r w:rsidR="001B4C63" w:rsidRPr="00D472F0">
        <w:rPr>
          <w:b/>
          <w:bCs/>
        </w:rPr>
        <w:t>资本证券</w:t>
      </w:r>
      <w:r w:rsidR="001B4C63" w:rsidRPr="00DF411E">
        <w:t>——其标的物也是一定的货币额，但其侧重点是对一定的本金及其所带来的收益的请求权。</w:t>
      </w:r>
      <w:r w:rsidR="001B4C63" w:rsidRPr="00DF411E">
        <w:rPr>
          <w:rFonts w:hint="eastAsia"/>
          <w:b/>
          <w:bCs/>
        </w:rPr>
        <w:t>资本证券是由金融投资活动而产生的一定</w:t>
      </w:r>
      <w:r w:rsidR="001B4C63" w:rsidRPr="00B76016">
        <w:rPr>
          <w:rFonts w:hint="eastAsia"/>
          <w:b/>
          <w:bCs/>
          <w:color w:val="FF0000"/>
        </w:rPr>
        <w:t>收益的请求权</w:t>
      </w:r>
      <w:r w:rsidR="001B4C63" w:rsidRPr="00DF411E">
        <w:rPr>
          <w:rFonts w:hint="eastAsia"/>
          <w:b/>
          <w:bCs/>
        </w:rPr>
        <w:t>。</w:t>
      </w:r>
    </w:p>
    <w:p w14:paraId="5A71FFE9" w14:textId="455470C6" w:rsidR="001B4C63" w:rsidRPr="00DF411E" w:rsidRDefault="001B4C63" w:rsidP="001B4C63">
      <w:r w:rsidRPr="00DF411E">
        <w:rPr>
          <w:rFonts w:hint="eastAsia"/>
        </w:rPr>
        <w:t>特别说明：</w:t>
      </w:r>
      <w:r w:rsidRPr="00DF411E">
        <w:rPr>
          <w:rFonts w:hint="eastAsia"/>
          <w:b/>
          <w:bCs/>
        </w:rPr>
        <w:t>有价证券（主要是指资本证券）是</w:t>
      </w:r>
      <w:r w:rsidRPr="00B76016">
        <w:rPr>
          <w:rFonts w:hint="eastAsia"/>
          <w:b/>
          <w:bCs/>
          <w:color w:val="F4B083" w:themeColor="accent2" w:themeTint="99"/>
        </w:rPr>
        <w:t>虚拟资本</w:t>
      </w:r>
      <w:r w:rsidRPr="00DF411E">
        <w:rPr>
          <w:rFonts w:hint="eastAsia"/>
          <w:b/>
          <w:bCs/>
        </w:rPr>
        <w:t>的一种形式（虚拟资本是独立于实际资本之外的一种资本形式）</w:t>
      </w:r>
      <w:r w:rsidRPr="00DF411E">
        <w:rPr>
          <w:rFonts w:hint="eastAsia"/>
        </w:rPr>
        <w:t xml:space="preserve">      </w:t>
      </w:r>
    </w:p>
    <w:p w14:paraId="502B51ED" w14:textId="28A0D9A1" w:rsidR="0025539D" w:rsidRPr="00DF411E" w:rsidRDefault="00762864" w:rsidP="00762864">
      <w:r w:rsidRPr="00DF411E">
        <w:rPr>
          <w:b/>
        </w:rPr>
        <w:t>2</w:t>
      </w:r>
      <w:r w:rsidRPr="00DF411E">
        <w:rPr>
          <w:b/>
          <w:bCs/>
        </w:rPr>
        <w:t>.凭证证券</w:t>
      </w:r>
      <w:r w:rsidR="00EC3AE5" w:rsidRPr="00DF411E">
        <w:rPr>
          <w:rFonts w:hint="eastAsia"/>
          <w:b/>
        </w:rPr>
        <w:t>：</w:t>
      </w:r>
      <w:r w:rsidRPr="00DF411E">
        <w:t>不能使持有人或者第三人取得收入、不代表经济权利的法律凭证。</w:t>
      </w:r>
      <w:r w:rsidR="0025539D">
        <w:rPr>
          <w:rFonts w:hint="eastAsia"/>
        </w:rPr>
        <w:t>不能买卖，比如</w:t>
      </w:r>
      <w:r w:rsidR="0025539D" w:rsidRPr="00E31028">
        <w:rPr>
          <w:rFonts w:hint="eastAsia"/>
          <w:color w:val="F4B083" w:themeColor="accent2" w:themeTint="99"/>
        </w:rPr>
        <w:t>土地凭证</w:t>
      </w:r>
    </w:p>
    <w:p w14:paraId="045523AF" w14:textId="77777777" w:rsidR="00762864" w:rsidRPr="00DF411E" w:rsidRDefault="00762864" w:rsidP="00762864">
      <w:r w:rsidRPr="00DF411E">
        <w:rPr>
          <w:rFonts w:hint="eastAsia"/>
          <w:b/>
          <w:bCs/>
        </w:rPr>
        <w:t>三.证券的特征</w:t>
      </w:r>
    </w:p>
    <w:p w14:paraId="6F7CE59E" w14:textId="187E002B" w:rsidR="00762864" w:rsidRPr="00D04965" w:rsidRDefault="001B4C63" w:rsidP="00762864">
      <w:pPr>
        <w:rPr>
          <w:rFonts w:hint="eastAsia"/>
          <w:b/>
          <w:bCs/>
        </w:rPr>
      </w:pPr>
      <w:r w:rsidRPr="00DF411E">
        <w:rPr>
          <w:rFonts w:hint="eastAsia"/>
          <w:b/>
          <w:bCs/>
        </w:rPr>
        <w:t>第二节   投资与投机</w:t>
      </w:r>
    </w:p>
    <w:p w14:paraId="47FE13E9" w14:textId="77777777" w:rsidR="00762864" w:rsidRPr="00DF411E" w:rsidRDefault="00762864" w:rsidP="00762864">
      <w:r w:rsidRPr="00DF411E">
        <w:rPr>
          <w:rFonts w:hint="eastAsia"/>
          <w:b/>
          <w:bCs/>
        </w:rPr>
        <w:t>二.投资的三要素</w:t>
      </w:r>
    </w:p>
    <w:p w14:paraId="794EB406" w14:textId="55F73F09" w:rsidR="00762864" w:rsidRPr="00DF411E" w:rsidRDefault="00762864" w:rsidP="00762864">
      <w:r w:rsidRPr="00DF411E">
        <w:t>1.</w:t>
      </w:r>
      <w:r w:rsidRPr="00D04965">
        <w:rPr>
          <w:b/>
          <w:bCs/>
        </w:rPr>
        <w:t>收益</w:t>
      </w:r>
      <w:r w:rsidRPr="00DF411E">
        <w:t>——股息、</w:t>
      </w:r>
      <w:r w:rsidRPr="006C3777">
        <w:rPr>
          <w:b/>
          <w:bCs/>
        </w:rPr>
        <w:t>红利、</w:t>
      </w:r>
      <w:r w:rsidRPr="00DF411E">
        <w:t>利息、买卖价差。收益的主要源泉是</w:t>
      </w:r>
      <w:r w:rsidRPr="000E352F">
        <w:rPr>
          <w:b/>
          <w:bCs/>
        </w:rPr>
        <w:t>资本增值</w:t>
      </w:r>
      <w:r w:rsidR="000E352F">
        <w:rPr>
          <w:rFonts w:hint="eastAsia"/>
        </w:rPr>
        <w:t>、</w:t>
      </w:r>
      <w:r w:rsidR="000E352F" w:rsidRPr="006C3777">
        <w:rPr>
          <w:rFonts w:hint="eastAsia"/>
          <w:b/>
          <w:bCs/>
        </w:rPr>
        <w:t>资本利得</w:t>
      </w:r>
      <w:r w:rsidR="000E352F">
        <w:rPr>
          <w:rFonts w:hint="eastAsia"/>
        </w:rPr>
        <w:t>（投机和价差）</w:t>
      </w:r>
      <w:r w:rsidRPr="00DF411E">
        <w:t>。</w:t>
      </w:r>
    </w:p>
    <w:p w14:paraId="5B5D36F9" w14:textId="5147F50D" w:rsidR="00762864" w:rsidRPr="00DF411E" w:rsidRDefault="00762864" w:rsidP="00762864">
      <w:pPr>
        <w:rPr>
          <w:rFonts w:hint="eastAsia"/>
        </w:rPr>
      </w:pPr>
      <w:r w:rsidRPr="00DF411E">
        <w:t>2.</w:t>
      </w:r>
      <w:r w:rsidRPr="00D04965">
        <w:rPr>
          <w:b/>
          <w:bCs/>
        </w:rPr>
        <w:t>风险</w:t>
      </w:r>
    </w:p>
    <w:p w14:paraId="2212E4C5" w14:textId="5090D8F3" w:rsidR="00762864" w:rsidRPr="00DF411E" w:rsidRDefault="00762864" w:rsidP="00762864">
      <w:pPr>
        <w:rPr>
          <w:rFonts w:hint="eastAsia"/>
        </w:rPr>
      </w:pPr>
      <w:r w:rsidRPr="00DF411E">
        <w:lastRenderedPageBreak/>
        <w:t>3.</w:t>
      </w:r>
      <w:r w:rsidRPr="00D04965">
        <w:rPr>
          <w:b/>
          <w:bCs/>
        </w:rPr>
        <w:t>期限</w:t>
      </w:r>
      <w:r w:rsidRPr="00DF411E">
        <w:t>——投资的时间的长短、区间</w:t>
      </w:r>
    </w:p>
    <w:p w14:paraId="49DF2C23" w14:textId="77777777" w:rsidR="00762864" w:rsidRPr="00DF411E" w:rsidRDefault="00762864" w:rsidP="00762864">
      <w:pPr>
        <w:rPr>
          <w:b/>
        </w:rPr>
      </w:pPr>
      <w:r w:rsidRPr="00DF411E">
        <w:rPr>
          <w:rFonts w:hint="eastAsia"/>
          <w:b/>
        </w:rPr>
        <w:t>三.投机的含义及其与投资的区别</w:t>
      </w:r>
    </w:p>
    <w:p w14:paraId="38F19223" w14:textId="49994DEB" w:rsidR="001B4C63" w:rsidRPr="00DF411E" w:rsidRDefault="00762864" w:rsidP="001B4C63">
      <w:r w:rsidRPr="00DF411E">
        <w:rPr>
          <w:b/>
        </w:rPr>
        <w:t>1.</w:t>
      </w:r>
      <w:r w:rsidRPr="006C74D8">
        <w:rPr>
          <w:b/>
          <w:color w:val="C45911" w:themeColor="accent2" w:themeShade="BF"/>
        </w:rPr>
        <w:t>投机</w:t>
      </w:r>
      <w:r w:rsidRPr="00DF411E">
        <w:rPr>
          <w:b/>
        </w:rPr>
        <w:t>的含义</w:t>
      </w:r>
      <w:r w:rsidR="00286E89" w:rsidRPr="00DF411E">
        <w:rPr>
          <w:rFonts w:hint="eastAsia"/>
          <w:b/>
        </w:rPr>
        <w:t>：</w:t>
      </w:r>
      <w:r w:rsidRPr="00DF411E">
        <w:rPr>
          <w:rFonts w:hint="eastAsia"/>
        </w:rPr>
        <w:t>追求</w:t>
      </w:r>
      <w:r w:rsidRPr="00E9259A">
        <w:rPr>
          <w:rFonts w:hint="eastAsia"/>
          <w:b/>
          <w:bCs/>
          <w:u w:val="single"/>
        </w:rPr>
        <w:t>可能存在的买卖差</w:t>
      </w:r>
      <w:r w:rsidRPr="006C74D8">
        <w:rPr>
          <w:rFonts w:hint="eastAsia"/>
          <w:u w:val="single"/>
        </w:rPr>
        <w:t>价</w:t>
      </w:r>
    </w:p>
    <w:p w14:paraId="268018F7" w14:textId="77777777" w:rsidR="00762864" w:rsidRPr="00DF411E" w:rsidRDefault="00762864" w:rsidP="00762864">
      <w:r w:rsidRPr="00DF411E">
        <w:rPr>
          <w:b/>
          <w:bCs/>
        </w:rPr>
        <w:t>2.投资与投机的区别主要体现在以下几个方面：</w:t>
      </w:r>
    </w:p>
    <w:p w14:paraId="1B4A83D0" w14:textId="77777777" w:rsidR="00762864" w:rsidRPr="00DF411E" w:rsidRDefault="00762864" w:rsidP="00286E89">
      <w:pPr>
        <w:ind w:firstLineChars="200" w:firstLine="420"/>
      </w:pPr>
      <w:r w:rsidRPr="00DF411E">
        <w:t>(1)</w:t>
      </w:r>
      <w:r w:rsidR="00286E89" w:rsidRPr="00DF411E">
        <w:rPr>
          <w:rFonts w:hint="eastAsia"/>
        </w:rPr>
        <w:t>.</w:t>
      </w:r>
      <w:r w:rsidRPr="00DF411E">
        <w:t>从是否重视证券的</w:t>
      </w:r>
      <w:r w:rsidRPr="00E9259A">
        <w:rPr>
          <w:b/>
          <w:bCs/>
        </w:rPr>
        <w:t>真实价值</w:t>
      </w:r>
      <w:r w:rsidRPr="00DF411E">
        <w:t>上区分。</w:t>
      </w:r>
    </w:p>
    <w:p w14:paraId="14AF925D" w14:textId="77777777" w:rsidR="00762864" w:rsidRPr="00DF411E" w:rsidRDefault="00762864" w:rsidP="00286E89">
      <w:pPr>
        <w:ind w:firstLineChars="200" w:firstLine="420"/>
      </w:pPr>
      <w:r w:rsidRPr="00DF411E">
        <w:t>(2)</w:t>
      </w:r>
      <w:r w:rsidR="00286E89" w:rsidRPr="00DF411E">
        <w:t>.</w:t>
      </w:r>
      <w:r w:rsidRPr="00DF411E">
        <w:t>从操作所需</w:t>
      </w:r>
      <w:r w:rsidRPr="00E9259A">
        <w:rPr>
          <w:b/>
          <w:bCs/>
        </w:rPr>
        <w:t>时间长短</w:t>
      </w:r>
      <w:r w:rsidRPr="00DF411E">
        <w:t>上区分。</w:t>
      </w:r>
    </w:p>
    <w:p w14:paraId="2E8EBE6C" w14:textId="77777777" w:rsidR="00762864" w:rsidRPr="00DF411E" w:rsidRDefault="00762864" w:rsidP="00286E89">
      <w:pPr>
        <w:ind w:firstLineChars="200" w:firstLine="420"/>
      </w:pPr>
      <w:r w:rsidRPr="00DF411E">
        <w:t>(3)</w:t>
      </w:r>
      <w:r w:rsidR="00286E89" w:rsidRPr="00DF411E">
        <w:t>.</w:t>
      </w:r>
      <w:r w:rsidRPr="00DF411E">
        <w:t>从投资者可能承受的</w:t>
      </w:r>
      <w:r w:rsidRPr="00E9259A">
        <w:rPr>
          <w:b/>
          <w:bCs/>
        </w:rPr>
        <w:t>风险大小</w:t>
      </w:r>
      <w:r w:rsidRPr="00DF411E">
        <w:t>上区分。</w:t>
      </w:r>
    </w:p>
    <w:p w14:paraId="352BF766" w14:textId="77777777" w:rsidR="00762864" w:rsidRPr="00DF411E" w:rsidRDefault="00762864" w:rsidP="00762864">
      <w:r w:rsidRPr="006C74D8">
        <w:rPr>
          <w:b/>
          <w:bCs/>
          <w:color w:val="538135" w:themeColor="accent6" w:themeShade="BF"/>
        </w:rPr>
        <w:t>投资</w:t>
      </w:r>
      <w:r w:rsidRPr="00DF411E">
        <w:rPr>
          <w:b/>
          <w:bCs/>
        </w:rPr>
        <w:t>的核心在于</w:t>
      </w:r>
      <w:r w:rsidRPr="006C74D8">
        <w:rPr>
          <w:b/>
          <w:bCs/>
          <w:color w:val="4472C4" w:themeColor="accent1"/>
        </w:rPr>
        <w:t>寻找真实的价值</w:t>
      </w:r>
      <w:r w:rsidRPr="00DF411E">
        <w:rPr>
          <w:b/>
          <w:bCs/>
        </w:rPr>
        <w:t>。投资重质，关键在于了解上市公司的质地。</w:t>
      </w:r>
    </w:p>
    <w:p w14:paraId="72BEC670" w14:textId="77777777" w:rsidR="00762864" w:rsidRPr="00DF411E" w:rsidRDefault="00762864" w:rsidP="001B4C63">
      <w:r w:rsidRPr="006C74D8">
        <w:rPr>
          <w:b/>
          <w:bCs/>
          <w:color w:val="538135" w:themeColor="accent6" w:themeShade="BF"/>
        </w:rPr>
        <w:t>投机</w:t>
      </w:r>
      <w:r w:rsidRPr="00DF411E">
        <w:rPr>
          <w:b/>
          <w:bCs/>
        </w:rPr>
        <w:t>的核心在于</w:t>
      </w:r>
      <w:r w:rsidRPr="006C74D8">
        <w:rPr>
          <w:b/>
          <w:bCs/>
          <w:color w:val="4472C4" w:themeColor="accent1"/>
        </w:rPr>
        <w:t>把握市场的机会</w:t>
      </w:r>
      <w:r w:rsidRPr="00DF411E">
        <w:rPr>
          <w:b/>
          <w:bCs/>
        </w:rPr>
        <w:t>。投机重势，关键在于把握市场趋势。</w:t>
      </w:r>
    </w:p>
    <w:p w14:paraId="1BCFB458" w14:textId="1A44DD9A" w:rsidR="001B4C63" w:rsidRPr="00DF411E" w:rsidRDefault="001B4C63" w:rsidP="001B4C63">
      <w:pPr>
        <w:rPr>
          <w:b/>
          <w:bCs/>
        </w:rPr>
      </w:pPr>
      <w:r w:rsidRPr="00DF411E">
        <w:rPr>
          <w:rFonts w:hint="eastAsia"/>
          <w:b/>
          <w:bCs/>
        </w:rPr>
        <w:t>第三节   证券投资的</w:t>
      </w:r>
      <w:r w:rsidRPr="004C5664">
        <w:rPr>
          <w:rFonts w:hint="eastAsia"/>
          <w:b/>
          <w:bCs/>
          <w:color w:val="FF0000"/>
        </w:rPr>
        <w:t>风险</w:t>
      </w:r>
      <w:r w:rsidR="00AE5C96">
        <w:rPr>
          <w:rFonts w:hint="eastAsia"/>
          <w:b/>
          <w:bCs/>
          <w:color w:val="FF0000"/>
        </w:rPr>
        <w:t xml:space="preserve"> </w:t>
      </w:r>
      <w:r w:rsidR="00AE5C96" w:rsidRPr="00AE5C96">
        <w:rPr>
          <w:rFonts w:hint="eastAsia"/>
          <w:b/>
          <w:bCs/>
          <w:color w:val="FF0000"/>
          <w:highlight w:val="cyan"/>
        </w:rPr>
        <w:t>必考</w:t>
      </w:r>
    </w:p>
    <w:p w14:paraId="508A55DA" w14:textId="5EA1AF3B" w:rsidR="008048F9" w:rsidRPr="007B1246" w:rsidRDefault="00481A92" w:rsidP="00762864">
      <w:r>
        <w:rPr>
          <w:rFonts w:hint="eastAsia"/>
        </w:rPr>
        <w:t>风险以预期收益的方差来表现</w:t>
      </w:r>
    </w:p>
    <w:p w14:paraId="0A465EFA" w14:textId="3235AF14" w:rsidR="00762864" w:rsidRPr="00DF411E" w:rsidRDefault="00762864" w:rsidP="00762864">
      <w:r w:rsidRPr="00DF411E">
        <w:rPr>
          <w:rFonts w:hint="eastAsia"/>
          <w:b/>
          <w:bCs/>
        </w:rPr>
        <w:t>一.</w:t>
      </w:r>
      <w:r w:rsidRPr="00AE38D8">
        <w:rPr>
          <w:rFonts w:hint="eastAsia"/>
          <w:b/>
          <w:bCs/>
          <w:color w:val="538135" w:themeColor="accent6" w:themeShade="BF"/>
        </w:rPr>
        <w:t>系统风险</w:t>
      </w:r>
      <w:r w:rsidR="00A905A1" w:rsidRPr="00DF411E">
        <w:rPr>
          <w:rFonts w:hint="eastAsia"/>
          <w:b/>
        </w:rPr>
        <w:t>：</w:t>
      </w:r>
      <w:r w:rsidRPr="00DF411E">
        <w:rPr>
          <w:rFonts w:hint="eastAsia"/>
        </w:rPr>
        <w:t>全局性的对证券市场上</w:t>
      </w:r>
      <w:r w:rsidRPr="00794EA2">
        <w:rPr>
          <w:rFonts w:hint="eastAsia"/>
          <w:u w:val="single"/>
        </w:rPr>
        <w:t>所有品种（全部证券）都会产生影响的风险</w:t>
      </w:r>
      <w:r w:rsidRPr="00DF411E">
        <w:rPr>
          <w:rFonts w:hint="eastAsia"/>
        </w:rPr>
        <w:t>。如：</w:t>
      </w:r>
      <w:r w:rsidRPr="00154532">
        <w:rPr>
          <w:rFonts w:hint="eastAsia"/>
          <w:b/>
          <w:bCs/>
          <w:highlight w:val="cyan"/>
        </w:rPr>
        <w:t>利率</w:t>
      </w:r>
      <w:r w:rsidRPr="00DF411E">
        <w:rPr>
          <w:rFonts w:hint="eastAsia"/>
        </w:rPr>
        <w:t>风险、</w:t>
      </w:r>
      <w:r w:rsidRPr="009C3957">
        <w:rPr>
          <w:rFonts w:hint="eastAsia"/>
          <w:highlight w:val="yellow"/>
        </w:rPr>
        <w:t>购买力风险</w:t>
      </w:r>
      <w:r w:rsidRPr="00DF411E">
        <w:rPr>
          <w:rFonts w:hint="eastAsia"/>
        </w:rPr>
        <w:t>、政策风险、经济周期性波动风险等。</w:t>
      </w:r>
    </w:p>
    <w:p w14:paraId="48B6497A" w14:textId="65F8A120" w:rsidR="00762864" w:rsidRPr="00DF411E" w:rsidRDefault="00762864" w:rsidP="00762864">
      <w:r w:rsidRPr="00DF411E">
        <w:rPr>
          <w:rFonts w:hint="eastAsia"/>
          <w:b/>
          <w:bCs/>
        </w:rPr>
        <w:t>二.</w:t>
      </w:r>
      <w:r w:rsidRPr="00AE38D8">
        <w:rPr>
          <w:rFonts w:hint="eastAsia"/>
          <w:b/>
          <w:bCs/>
          <w:color w:val="538135" w:themeColor="accent6" w:themeShade="BF"/>
        </w:rPr>
        <w:t>非系统性风险</w:t>
      </w:r>
      <w:r w:rsidR="00A905A1" w:rsidRPr="00DF411E">
        <w:rPr>
          <w:rFonts w:hint="eastAsia"/>
          <w:b/>
          <w:bCs/>
        </w:rPr>
        <w:t>：</w:t>
      </w:r>
      <w:r w:rsidRPr="00DF411E">
        <w:rPr>
          <w:rFonts w:hint="eastAsia"/>
        </w:rPr>
        <w:t>也称为个别风险，是</w:t>
      </w:r>
      <w:r w:rsidRPr="00794EA2">
        <w:rPr>
          <w:rFonts w:hint="eastAsia"/>
          <w:u w:val="single"/>
        </w:rPr>
        <w:t>只作用于单个证券</w:t>
      </w:r>
      <w:r w:rsidRPr="00DF411E">
        <w:rPr>
          <w:rFonts w:hint="eastAsia"/>
        </w:rPr>
        <w:t>的风险。如：</w:t>
      </w:r>
      <w:r w:rsidRPr="009C3957">
        <w:rPr>
          <w:rFonts w:hint="eastAsia"/>
          <w:highlight w:val="yellow"/>
        </w:rPr>
        <w:t>经营风险、财务风险、</w:t>
      </w:r>
      <w:r w:rsidRPr="009C3957">
        <w:rPr>
          <w:rFonts w:hint="eastAsia"/>
          <w:b/>
          <w:bCs/>
          <w:highlight w:val="yellow"/>
        </w:rPr>
        <w:t>流动</w:t>
      </w:r>
      <w:r w:rsidRPr="009C3957">
        <w:rPr>
          <w:rFonts w:hint="eastAsia"/>
          <w:highlight w:val="yellow"/>
        </w:rPr>
        <w:t>风险、违约风险等</w:t>
      </w:r>
      <w:r w:rsidRPr="00DF411E">
        <w:rPr>
          <w:rFonts w:hint="eastAsia"/>
        </w:rPr>
        <w:t>。</w:t>
      </w:r>
      <w:r w:rsidR="00177B37" w:rsidRPr="00481A92">
        <w:rPr>
          <w:rFonts w:hint="eastAsia"/>
          <w:b/>
          <w:bCs/>
        </w:rPr>
        <w:t>组合可以规避非系统风险</w:t>
      </w:r>
    </w:p>
    <w:p w14:paraId="142DB10E" w14:textId="77777777" w:rsidR="00762864" w:rsidRPr="00DF411E" w:rsidRDefault="00762864" w:rsidP="00762864">
      <w:r w:rsidRPr="00EC7B40">
        <w:rPr>
          <w:rFonts w:hint="eastAsia"/>
          <w:b/>
          <w:bCs/>
          <w:highlight w:val="cyan"/>
        </w:rPr>
        <w:t>三.风险与收益之间的关系</w:t>
      </w:r>
      <w:r w:rsidRPr="00DF411E">
        <w:t xml:space="preserve"> </w:t>
      </w:r>
    </w:p>
    <w:p w14:paraId="67415924" w14:textId="77777777" w:rsidR="00D04965" w:rsidRDefault="00762864" w:rsidP="0015267F">
      <w:pPr>
        <w:ind w:firstLine="420"/>
        <w:rPr>
          <w:shd w:val="pct15" w:color="auto" w:fill="FFFFFF"/>
        </w:rPr>
      </w:pPr>
      <w:r w:rsidRPr="003918AB">
        <w:rPr>
          <w:b/>
          <w:bCs/>
          <w:shd w:val="pct15" w:color="auto" w:fill="FFFFFF"/>
        </w:rPr>
        <w:t>1.总体上说，</w:t>
      </w:r>
      <w:r w:rsidRPr="003918AB">
        <w:rPr>
          <w:b/>
          <w:bCs/>
          <w:color w:val="FF0000"/>
          <w:shd w:val="pct15" w:color="auto" w:fill="FFFFFF"/>
        </w:rPr>
        <w:t>风险与收益成正比</w:t>
      </w:r>
      <w:r w:rsidRPr="003918AB">
        <w:rPr>
          <w:rFonts w:hint="eastAsia"/>
          <w:shd w:val="pct15" w:color="auto" w:fill="FFFFFF"/>
        </w:rPr>
        <w:t>，高收益是对投资者承担高风险的补偿</w:t>
      </w:r>
      <w:r w:rsidR="000F3225" w:rsidRPr="003918AB">
        <w:rPr>
          <w:rFonts w:hint="eastAsia"/>
          <w:shd w:val="pct15" w:color="auto" w:fill="FFFFFF"/>
        </w:rPr>
        <w:t>（</w:t>
      </w:r>
      <w:r w:rsidR="000F3225" w:rsidRPr="003918AB">
        <w:rPr>
          <w:rFonts w:hint="eastAsia"/>
          <w:b/>
          <w:bCs/>
          <w:shd w:val="pct15" w:color="auto" w:fill="FFFFFF"/>
        </w:rPr>
        <w:t>风险溢价</w:t>
      </w:r>
      <w:r w:rsidR="000F3225" w:rsidRPr="003918AB">
        <w:rPr>
          <w:rFonts w:hint="eastAsia"/>
          <w:shd w:val="pct15" w:color="auto" w:fill="FFFFFF"/>
        </w:rPr>
        <w:t>）</w:t>
      </w:r>
      <w:r w:rsidRPr="003918AB">
        <w:rPr>
          <w:rFonts w:hint="eastAsia"/>
          <w:shd w:val="pct15" w:color="auto" w:fill="FFFFFF"/>
        </w:rPr>
        <w:t>，投资者的期望收益应随着风险的增加而增加。</w:t>
      </w:r>
    </w:p>
    <w:p w14:paraId="77198F98" w14:textId="7BCC4A0A" w:rsidR="00F87BB2" w:rsidRPr="003918AB" w:rsidRDefault="00762864" w:rsidP="0015267F">
      <w:pPr>
        <w:ind w:firstLine="420"/>
        <w:rPr>
          <w:b/>
          <w:bCs/>
          <w:shd w:val="pct15" w:color="auto" w:fill="FFFFFF"/>
        </w:rPr>
      </w:pPr>
      <w:r w:rsidRPr="003918AB">
        <w:rPr>
          <w:rFonts w:hint="eastAsia"/>
          <w:shd w:val="pct15" w:color="auto" w:fill="FFFFFF"/>
        </w:rPr>
        <w:t>风险与收益的这种关系</w:t>
      </w:r>
      <w:r w:rsidRPr="003918AB">
        <w:rPr>
          <w:rFonts w:hint="eastAsia"/>
          <w:color w:val="FF0000"/>
          <w:shd w:val="pct15" w:color="auto" w:fill="FFFFFF"/>
        </w:rPr>
        <w:t>在不同的</w:t>
      </w:r>
      <w:r w:rsidRPr="003918AB">
        <w:rPr>
          <w:rFonts w:hint="eastAsia"/>
          <w:b/>
          <w:bCs/>
          <w:color w:val="FF0000"/>
          <w:shd w:val="pct15" w:color="auto" w:fill="FFFFFF"/>
        </w:rPr>
        <w:t>投资品种</w:t>
      </w:r>
      <w:r w:rsidRPr="003918AB">
        <w:rPr>
          <w:rFonts w:hint="eastAsia"/>
          <w:shd w:val="pct15" w:color="auto" w:fill="FFFFFF"/>
        </w:rPr>
        <w:t>上更为明显。</w:t>
      </w:r>
      <w:r w:rsidR="003D2743" w:rsidRPr="003918AB">
        <w:rPr>
          <w:rFonts w:hint="eastAsia"/>
          <w:shd w:val="pct15" w:color="auto" w:fill="FFFFFF"/>
        </w:rPr>
        <w:t>测算风险的</w:t>
      </w:r>
      <w:r w:rsidR="003D2743" w:rsidRPr="003918AB">
        <w:rPr>
          <w:rFonts w:hint="eastAsia"/>
          <w:b/>
          <w:bCs/>
          <w:shd w:val="pct15" w:color="auto" w:fill="FFFFFF"/>
        </w:rPr>
        <w:t>极值</w:t>
      </w:r>
      <w:r w:rsidR="003D2743" w:rsidRPr="003918AB">
        <w:rPr>
          <w:rFonts w:hint="eastAsia"/>
          <w:shd w:val="pct15" w:color="auto" w:fill="FFFFFF"/>
        </w:rPr>
        <w:t>是一个相对数</w:t>
      </w:r>
      <w:r w:rsidR="00AF5031" w:rsidRPr="003918AB">
        <w:rPr>
          <w:rFonts w:hint="eastAsia"/>
          <w:shd w:val="pct15" w:color="auto" w:fill="FFFFFF"/>
        </w:rPr>
        <w:t>，</w:t>
      </w:r>
      <w:r w:rsidR="00AF5031" w:rsidRPr="00D04965">
        <w:rPr>
          <w:rFonts w:hint="eastAsia"/>
          <w:color w:val="FF0000"/>
          <w:shd w:val="pct15" w:color="auto" w:fill="FFFFFF"/>
        </w:rPr>
        <w:t>下跌是风险的释放，上升时风险的累计</w:t>
      </w:r>
      <w:r w:rsidR="001F1F65" w:rsidRPr="003918AB">
        <w:rPr>
          <w:rFonts w:hint="eastAsia"/>
          <w:shd w:val="pct15" w:color="auto" w:fill="FFFFFF"/>
        </w:rPr>
        <w:t>。有时候会成</w:t>
      </w:r>
      <w:r w:rsidR="001F1F65" w:rsidRPr="00D04965">
        <w:rPr>
          <w:rFonts w:hint="eastAsia"/>
          <w:b/>
          <w:bCs/>
          <w:color w:val="FF0000"/>
          <w:shd w:val="pct15" w:color="auto" w:fill="FFFFFF"/>
        </w:rPr>
        <w:t>反比</w:t>
      </w:r>
      <w:r w:rsidR="009C5F35" w:rsidRPr="003918AB">
        <w:rPr>
          <w:rFonts w:hint="eastAsia"/>
          <w:b/>
          <w:bCs/>
          <w:shd w:val="pct15" w:color="auto" w:fill="FFFFFF"/>
        </w:rPr>
        <w:t>。</w:t>
      </w:r>
    </w:p>
    <w:p w14:paraId="4BCDE22A" w14:textId="59CF5703" w:rsidR="00762864" w:rsidRPr="003918AB" w:rsidRDefault="00762864" w:rsidP="001B4C63">
      <w:pPr>
        <w:rPr>
          <w:shd w:val="pct15" w:color="auto" w:fill="FFFFFF"/>
        </w:rPr>
      </w:pPr>
      <w:r w:rsidRPr="00D04965">
        <w:rPr>
          <w:b/>
          <w:bCs/>
        </w:rPr>
        <w:t xml:space="preserve">    </w:t>
      </w:r>
      <w:r w:rsidRPr="003918AB">
        <w:rPr>
          <w:b/>
          <w:bCs/>
          <w:shd w:val="pct15" w:color="auto" w:fill="FFFFFF"/>
        </w:rPr>
        <w:t>2.</w:t>
      </w:r>
      <w:r w:rsidRPr="003918AB">
        <w:rPr>
          <w:rFonts w:hint="eastAsia"/>
          <w:b/>
          <w:bCs/>
          <w:shd w:val="pct15" w:color="auto" w:fill="FFFFFF"/>
        </w:rPr>
        <w:t>在证券投资中处理风险与收益的关系时，应</w:t>
      </w:r>
      <w:r w:rsidRPr="003918AB">
        <w:rPr>
          <w:rFonts w:hint="eastAsia"/>
          <w:b/>
          <w:bCs/>
          <w:color w:val="FF0000"/>
          <w:shd w:val="pct15" w:color="auto" w:fill="FFFFFF"/>
        </w:rPr>
        <w:t>坚持本金安全</w:t>
      </w:r>
      <w:r w:rsidRPr="003918AB">
        <w:rPr>
          <w:rFonts w:hint="eastAsia"/>
          <w:b/>
          <w:bCs/>
          <w:shd w:val="pct15" w:color="auto" w:fill="FFFFFF"/>
        </w:rPr>
        <w:t>为第一原则，</w:t>
      </w:r>
      <w:r w:rsidRPr="003918AB">
        <w:rPr>
          <w:rFonts w:hint="eastAsia"/>
          <w:shd w:val="pct15" w:color="auto" w:fill="FFFFFF"/>
        </w:rPr>
        <w:t>在保证本金安全的原则下，做到效用函数的最大化（风险最小而收益最大即在投资过程中得到最大的主观满足程度）。</w:t>
      </w:r>
      <w:r w:rsidR="0015267F" w:rsidRPr="003918AB">
        <w:rPr>
          <w:rFonts w:hint="eastAsia"/>
          <w:shd w:val="pct15" w:color="auto" w:fill="FFFFFF"/>
        </w:rPr>
        <w:t xml:space="preserve"> </w:t>
      </w:r>
      <w:r w:rsidRPr="003918AB">
        <w:rPr>
          <w:rFonts w:hint="eastAsia"/>
          <w:b/>
          <w:bCs/>
          <w:color w:val="538135" w:themeColor="accent6" w:themeShade="BF"/>
          <w:shd w:val="pct15" w:color="auto" w:fill="FFFFFF"/>
        </w:rPr>
        <w:t>在巴菲特投资原则中最重要的一条就是对风险的控制</w:t>
      </w:r>
    </w:p>
    <w:p w14:paraId="2A2A0B05" w14:textId="77777777" w:rsidR="00442ABD" w:rsidRDefault="00442ABD" w:rsidP="00442ABD">
      <w:pPr>
        <w:rPr>
          <w:u w:val="single"/>
        </w:rPr>
      </w:pPr>
      <w:r w:rsidRPr="00986964">
        <w:rPr>
          <w:rFonts w:hint="eastAsia"/>
          <w:highlight w:val="yellow"/>
          <w:u w:val="single"/>
        </w:rPr>
        <w:t>收益大的时候</w:t>
      </w:r>
      <w:r>
        <w:rPr>
          <w:rFonts w:hint="eastAsia"/>
          <w:highlight w:val="yellow"/>
          <w:u w:val="single"/>
        </w:rPr>
        <w:t>必须承担大</w:t>
      </w:r>
      <w:r w:rsidRPr="00986964">
        <w:rPr>
          <w:rFonts w:hint="eastAsia"/>
          <w:highlight w:val="yellow"/>
          <w:u w:val="single"/>
        </w:rPr>
        <w:t>风险，但是风险大的不一定收益大（老李）</w:t>
      </w:r>
    </w:p>
    <w:p w14:paraId="29F5755E" w14:textId="2422D8F7" w:rsidR="00442ABD" w:rsidRPr="009862D6" w:rsidRDefault="00442ABD" w:rsidP="00442ABD">
      <w:pPr>
        <w:rPr>
          <w:u w:val="single"/>
        </w:rPr>
      </w:pPr>
    </w:p>
    <w:p w14:paraId="2DAC4403" w14:textId="6FE45E39" w:rsidR="000417F2" w:rsidRPr="00DF411E" w:rsidRDefault="000417F2" w:rsidP="006B403D">
      <w:pPr>
        <w:ind w:firstLineChars="200" w:firstLine="420"/>
        <w:rPr>
          <w:rFonts w:hint="eastAsia"/>
        </w:rPr>
      </w:pPr>
      <w:r w:rsidRPr="00DF411E">
        <w:rPr>
          <w:rFonts w:hint="eastAsia"/>
        </w:rPr>
        <w:t>实证研究表明，风险和收益经常是不能互换的</w:t>
      </w:r>
      <w:r w:rsidR="006B403D" w:rsidRPr="00DF411E">
        <w:t xml:space="preserve"> </w:t>
      </w:r>
    </w:p>
    <w:p w14:paraId="4DF49C01" w14:textId="77777777" w:rsidR="000417F2" w:rsidRPr="00442ABD" w:rsidRDefault="000417F2" w:rsidP="001B4C63">
      <w:pPr>
        <w:rPr>
          <w:b/>
          <w:bCs/>
          <w:sz w:val="22"/>
          <w:szCs w:val="24"/>
        </w:rPr>
      </w:pPr>
    </w:p>
    <w:p w14:paraId="346A52E1" w14:textId="24921D8B" w:rsidR="001B4C63" w:rsidRPr="00DF411E" w:rsidRDefault="001B4C63" w:rsidP="001B4C63">
      <w:r w:rsidRPr="005967B2">
        <w:rPr>
          <w:rFonts w:hint="eastAsia"/>
          <w:b/>
          <w:bCs/>
          <w:sz w:val="22"/>
          <w:szCs w:val="24"/>
        </w:rPr>
        <w:t xml:space="preserve">第四节   证券行情及其相关概念  </w:t>
      </w:r>
      <w:r w:rsidRPr="00DF411E">
        <w:rPr>
          <w:rFonts w:hint="eastAsia"/>
          <w:b/>
          <w:bCs/>
        </w:rPr>
        <w:t xml:space="preserve">         </w:t>
      </w:r>
    </w:p>
    <w:p w14:paraId="71D9B4B1" w14:textId="5DBB9F50" w:rsidR="00A905A1" w:rsidRPr="00DF411E" w:rsidRDefault="00702BA7" w:rsidP="00702BA7">
      <w:pPr>
        <w:jc w:val="center"/>
      </w:pPr>
      <w:r w:rsidRPr="00702BA7">
        <w:rPr>
          <w:position w:val="-26"/>
        </w:rPr>
        <w:object w:dxaOrig="5080" w:dyaOrig="660" w14:anchorId="51256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0pt;height:30pt" o:ole="">
            <v:imagedata r:id="rId8" o:title=""/>
          </v:shape>
          <o:OLEObject Type="Embed" ProgID="Equation.DSMT4" ShapeID="_x0000_i1036" DrawAspect="Content" ObjectID="_1748790215" r:id="rId9"/>
        </w:object>
      </w:r>
    </w:p>
    <w:p w14:paraId="47F5DA65" w14:textId="77777777" w:rsidR="00BF7FF6" w:rsidRPr="00DF411E" w:rsidRDefault="002C726B" w:rsidP="002C726B">
      <w:pPr>
        <w:rPr>
          <w:b/>
        </w:rPr>
      </w:pPr>
      <w:r w:rsidRPr="00DF411E">
        <w:rPr>
          <w:rFonts w:hint="eastAsia"/>
          <w:b/>
        </w:rPr>
        <w:t>对于</w:t>
      </w:r>
      <w:r w:rsidRPr="00DF411E">
        <w:rPr>
          <w:b/>
        </w:rPr>
        <w:t>“</w:t>
      </w:r>
      <w:r w:rsidRPr="00DF411E">
        <w:rPr>
          <w:rFonts w:hint="eastAsia"/>
          <w:b/>
        </w:rPr>
        <w:t>多种</w:t>
      </w:r>
      <w:r w:rsidRPr="00DF411E">
        <w:rPr>
          <w:b/>
        </w:rPr>
        <w:t>”</w:t>
      </w:r>
      <w:r w:rsidRPr="00DF411E">
        <w:rPr>
          <w:rFonts w:hint="eastAsia"/>
          <w:b/>
        </w:rPr>
        <w:t>股票中</w:t>
      </w:r>
      <w:r w:rsidRPr="00DF411E">
        <w:rPr>
          <w:b/>
        </w:rPr>
        <w:t>“</w:t>
      </w:r>
      <w:r w:rsidRPr="00DF411E">
        <w:rPr>
          <w:rFonts w:hint="eastAsia"/>
          <w:b/>
        </w:rPr>
        <w:t>多种</w:t>
      </w:r>
      <w:r w:rsidRPr="00DF411E">
        <w:rPr>
          <w:b/>
        </w:rPr>
        <w:t>”</w:t>
      </w:r>
      <w:r w:rsidRPr="00DF411E">
        <w:rPr>
          <w:rFonts w:hint="eastAsia"/>
          <w:b/>
        </w:rPr>
        <w:t>所代表含义的不同，股票价格指数可分为：</w:t>
      </w:r>
    </w:p>
    <w:p w14:paraId="21DE9CD3" w14:textId="743313C8" w:rsidR="00E9259A" w:rsidRPr="00DF411E" w:rsidRDefault="002C726B" w:rsidP="002C726B">
      <w:r w:rsidRPr="001A45F5">
        <w:rPr>
          <w:rFonts w:hint="eastAsia"/>
          <w:b/>
          <w:bCs/>
          <w:color w:val="FF0000"/>
        </w:rPr>
        <w:t>综合指数</w:t>
      </w:r>
      <w:r w:rsidRPr="00DF411E">
        <w:t>——</w:t>
      </w:r>
      <w:r w:rsidRPr="00DF411E">
        <w:rPr>
          <w:rFonts w:hint="eastAsia"/>
        </w:rPr>
        <w:t>代表所有股票价格水平及其变动情况的指标</w:t>
      </w:r>
      <w:r w:rsidR="00832D27">
        <w:rPr>
          <w:rFonts w:hint="eastAsia"/>
        </w:rPr>
        <w:t>（如上证）</w:t>
      </w:r>
    </w:p>
    <w:p w14:paraId="4226FAAB" w14:textId="668AC448" w:rsidR="002C726B" w:rsidRDefault="002C726B" w:rsidP="002C726B">
      <w:r w:rsidRPr="001A45F5">
        <w:rPr>
          <w:rFonts w:hint="eastAsia"/>
          <w:b/>
          <w:bCs/>
          <w:color w:val="FF0000"/>
        </w:rPr>
        <w:t>成份指数</w:t>
      </w:r>
      <w:r w:rsidRPr="001A45F5">
        <w:t>—</w:t>
      </w:r>
      <w:r w:rsidRPr="00DF411E">
        <w:t>—</w:t>
      </w:r>
      <w:r w:rsidRPr="007832ED">
        <w:rPr>
          <w:rFonts w:hint="eastAsia"/>
          <w:b/>
          <w:bCs/>
        </w:rPr>
        <w:t>代表样本股</w:t>
      </w:r>
      <w:r w:rsidRPr="00DF411E">
        <w:rPr>
          <w:rFonts w:hint="eastAsia"/>
        </w:rPr>
        <w:t xml:space="preserve">（不包含所有股票）价格水平及其变动情况的指标 </w:t>
      </w:r>
    </w:p>
    <w:p w14:paraId="4CE22422" w14:textId="77777777" w:rsidR="00E9259A" w:rsidRDefault="00E9259A" w:rsidP="00E9259A">
      <w:pPr>
        <w:ind w:firstLine="420"/>
        <w:rPr>
          <w:rFonts w:ascii="等线" w:eastAsia="等线" w:hAnsi="等线" w:cs="等线"/>
        </w:rPr>
      </w:pPr>
      <w:r w:rsidRPr="00CC4D27">
        <w:rPr>
          <w:rFonts w:ascii="等线" w:eastAsia="等线" w:hAnsi="等线" w:cs="等线" w:hint="eastAsia"/>
          <w:b/>
          <w:bCs/>
          <w:color w:val="FF0000"/>
          <w:highlight w:val="yellow"/>
        </w:rPr>
        <w:t>道指</w:t>
      </w:r>
      <w:r>
        <w:rPr>
          <w:rFonts w:ascii="等线" w:eastAsia="等线" w:hAnsi="等线" w:cs="等线" w:hint="eastAsia"/>
        </w:rPr>
        <w:t>：</w:t>
      </w:r>
      <w:r w:rsidRPr="00CC4D27">
        <w:rPr>
          <w:rFonts w:ascii="等线" w:eastAsia="等线" w:hAnsi="等线" w:cs="等线" w:hint="eastAsia"/>
          <w:b/>
          <w:bCs/>
        </w:rPr>
        <w:t>工业</w:t>
      </w:r>
      <w:r>
        <w:rPr>
          <w:rFonts w:ascii="等线" w:eastAsia="等线" w:hAnsi="等线" w:cs="等线" w:hint="eastAsia"/>
        </w:rPr>
        <w:t>股票价格平均数 30 种；</w:t>
      </w:r>
      <w:r w:rsidRPr="00CC4D27">
        <w:rPr>
          <w:rFonts w:ascii="等线" w:eastAsia="等线" w:hAnsi="等线" w:cs="等线" w:hint="eastAsia"/>
          <w:b/>
          <w:bCs/>
          <w:color w:val="4472C4" w:themeColor="accent1"/>
        </w:rPr>
        <w:t>运输业</w:t>
      </w:r>
      <w:r>
        <w:rPr>
          <w:rFonts w:ascii="等线" w:eastAsia="等线" w:hAnsi="等线" w:cs="等线" w:hint="eastAsia"/>
        </w:rPr>
        <w:t>股票价格平均数 20 种；</w:t>
      </w:r>
      <w:r w:rsidRPr="00CC4D27">
        <w:rPr>
          <w:rFonts w:ascii="等线" w:eastAsia="等线" w:hAnsi="等线" w:cs="等线" w:hint="eastAsia"/>
          <w:b/>
          <w:bCs/>
          <w:color w:val="4472C4" w:themeColor="accent1"/>
        </w:rPr>
        <w:t>公用事业</w:t>
      </w:r>
      <w:r>
        <w:rPr>
          <w:rFonts w:ascii="等线" w:eastAsia="等线" w:hAnsi="等线" w:cs="等线" w:hint="eastAsia"/>
        </w:rPr>
        <w:t>类股票 15 种；综合股票价格指数</w:t>
      </w:r>
      <w:r w:rsidRPr="00CC4D27">
        <w:rPr>
          <w:rFonts w:ascii="等线" w:eastAsia="等线" w:hAnsi="等线" w:cs="等线" w:hint="eastAsia"/>
          <w:highlight w:val="yellow"/>
        </w:rPr>
        <w:t>共 65 种。</w:t>
      </w:r>
    </w:p>
    <w:p w14:paraId="1C084142" w14:textId="34A5740C" w:rsidR="00E9259A" w:rsidRPr="00DF411E" w:rsidRDefault="00E9259A" w:rsidP="00E9259A">
      <w:pPr>
        <w:ind w:firstLine="420"/>
      </w:pPr>
      <w:r w:rsidRPr="00CC4D27">
        <w:rPr>
          <w:rFonts w:ascii="等线" w:eastAsia="等线" w:hAnsi="等线" w:cs="等线" w:hint="eastAsia"/>
          <w:highlight w:val="yellow"/>
        </w:rPr>
        <w:t>恒指</w:t>
      </w:r>
      <w:r>
        <w:rPr>
          <w:rFonts w:ascii="等线" w:eastAsia="等线" w:hAnsi="等线" w:cs="等线" w:hint="eastAsia"/>
        </w:rPr>
        <w:t>：</w:t>
      </w:r>
      <w:r w:rsidRPr="00CC4D27">
        <w:rPr>
          <w:rFonts w:ascii="等线" w:eastAsia="等线" w:hAnsi="等线" w:cs="等线" w:hint="eastAsia"/>
          <w:b/>
          <w:bCs/>
        </w:rPr>
        <w:t>金融</w:t>
      </w:r>
      <w:r>
        <w:rPr>
          <w:rFonts w:ascii="等线" w:eastAsia="等线" w:hAnsi="等线" w:cs="等线" w:hint="eastAsia"/>
        </w:rPr>
        <w:t>业 4 种；</w:t>
      </w:r>
      <w:r w:rsidRPr="00CC4D27">
        <w:rPr>
          <w:rFonts w:ascii="等线" w:eastAsia="等线" w:hAnsi="等线" w:cs="等线" w:hint="eastAsia"/>
          <w:b/>
          <w:bCs/>
          <w:color w:val="4472C4" w:themeColor="accent1"/>
        </w:rPr>
        <w:t>公用</w:t>
      </w:r>
      <w:r>
        <w:rPr>
          <w:rFonts w:ascii="等线" w:eastAsia="等线" w:hAnsi="等线" w:cs="等线" w:hint="eastAsia"/>
        </w:rPr>
        <w:t>事业 6 种；</w:t>
      </w:r>
      <w:r w:rsidRPr="00CC4D27">
        <w:rPr>
          <w:rFonts w:ascii="等线" w:eastAsia="等线" w:hAnsi="等线" w:cs="等线" w:hint="eastAsia"/>
          <w:b/>
          <w:bCs/>
        </w:rPr>
        <w:t>房地业</w:t>
      </w:r>
      <w:r>
        <w:rPr>
          <w:rFonts w:ascii="等线" w:eastAsia="等线" w:hAnsi="等线" w:cs="等线" w:hint="eastAsia"/>
        </w:rPr>
        <w:t xml:space="preserve"> 9 种；</w:t>
      </w:r>
      <w:r w:rsidRPr="00CC4D27">
        <w:rPr>
          <w:rFonts w:ascii="等线" w:eastAsia="等线" w:hAnsi="等线" w:cs="等线" w:hint="eastAsia"/>
          <w:b/>
          <w:bCs/>
        </w:rPr>
        <w:t>其他工商及</w:t>
      </w:r>
      <w:r w:rsidRPr="00CC4D27">
        <w:rPr>
          <w:rFonts w:ascii="等线" w:eastAsia="等线" w:hAnsi="等线" w:cs="等线" w:hint="eastAsia"/>
          <w:b/>
          <w:bCs/>
          <w:color w:val="4472C4" w:themeColor="accent1"/>
        </w:rPr>
        <w:t>运输业</w:t>
      </w:r>
      <w:r>
        <w:rPr>
          <w:rFonts w:ascii="等线" w:eastAsia="等线" w:hAnsi="等线" w:cs="等线" w:hint="eastAsia"/>
        </w:rPr>
        <w:t xml:space="preserve"> 14 种</w:t>
      </w:r>
      <w:r w:rsidR="00CC4D27">
        <w:rPr>
          <w:rFonts w:ascii="等线" w:eastAsia="等线" w:hAnsi="等线" w:cs="等线" w:hint="eastAsia"/>
        </w:rPr>
        <w:t xml:space="preserve"> </w:t>
      </w:r>
      <w:r w:rsidR="00CC4D27">
        <w:rPr>
          <w:rFonts w:ascii="等线" w:eastAsia="等线" w:hAnsi="等线" w:cs="等线"/>
        </w:rPr>
        <w:t xml:space="preserve"> </w:t>
      </w:r>
      <w:r w:rsidR="00CC4D27" w:rsidRPr="00CC4D27">
        <w:rPr>
          <w:rFonts w:ascii="等线" w:eastAsia="等线" w:hAnsi="等线" w:cs="等线"/>
          <w:b/>
          <w:bCs/>
        </w:rPr>
        <w:t>33</w:t>
      </w:r>
    </w:p>
    <w:p w14:paraId="4724EF9B" w14:textId="28ADFD2B" w:rsidR="00191FD6" w:rsidRPr="00B4461E" w:rsidRDefault="002C726B" w:rsidP="002C726B">
      <w:r w:rsidRPr="00DF411E">
        <w:rPr>
          <w:rFonts w:hint="eastAsia"/>
          <w:b/>
          <w:bCs/>
        </w:rPr>
        <w:t>第二章 证券投资的对象</w:t>
      </w:r>
      <w:r w:rsidR="008A7283">
        <w:rPr>
          <w:rFonts w:hint="eastAsia"/>
          <w:b/>
          <w:bCs/>
        </w:rPr>
        <w:t>（股票，债券，基金，衍生品）</w:t>
      </w:r>
    </w:p>
    <w:p w14:paraId="5D69D8C3" w14:textId="77777777" w:rsidR="002C726B" w:rsidRPr="00386C84" w:rsidRDefault="002C726B" w:rsidP="00BF7FF6">
      <w:pPr>
        <w:rPr>
          <w:b/>
          <w:bCs/>
          <w:color w:val="FFC000" w:themeColor="accent4"/>
        </w:rPr>
      </w:pPr>
      <w:r w:rsidRPr="00386C84">
        <w:rPr>
          <w:rFonts w:hint="eastAsia"/>
          <w:b/>
          <w:bCs/>
          <w:color w:val="FFC000" w:themeColor="accent4"/>
        </w:rPr>
        <w:t>第一节  股票</w:t>
      </w:r>
    </w:p>
    <w:p w14:paraId="7F2E872C" w14:textId="34AAE384" w:rsidR="002C1C13" w:rsidRDefault="002C726B" w:rsidP="006B403D">
      <w:pPr>
        <w:rPr>
          <w:rFonts w:hint="eastAsia"/>
        </w:rPr>
      </w:pPr>
      <w:r w:rsidRPr="00DF411E">
        <w:rPr>
          <w:rFonts w:hint="eastAsia"/>
          <w:b/>
          <w:bCs/>
        </w:rPr>
        <w:t>二．股票的分类（按不同的划分方式）</w:t>
      </w:r>
    </w:p>
    <w:p w14:paraId="786FA670" w14:textId="2EF93F7D" w:rsidR="005B3D76" w:rsidRDefault="002C726B" w:rsidP="009E06AE">
      <w:pPr>
        <w:rPr>
          <w:rFonts w:hint="eastAsia"/>
        </w:rPr>
      </w:pPr>
      <w:r w:rsidRPr="00DF411E">
        <w:rPr>
          <w:rFonts w:hint="eastAsia"/>
        </w:rPr>
        <w:t>优</w:t>
      </w:r>
      <w:r w:rsidRPr="00112EB6">
        <w:rPr>
          <w:rFonts w:hint="eastAsia"/>
          <w:b/>
          <w:bCs/>
          <w:color w:val="FF0000"/>
        </w:rPr>
        <w:t>先股</w:t>
      </w:r>
      <w:r w:rsidRPr="00DF411E">
        <w:rPr>
          <w:rFonts w:hint="eastAsia"/>
        </w:rPr>
        <w:t>的基本特征：股息回报基本固定：享有</w:t>
      </w:r>
      <w:r w:rsidRPr="006B403D">
        <w:rPr>
          <w:rFonts w:hint="eastAsia"/>
          <w:b/>
          <w:bCs/>
        </w:rPr>
        <w:t>优先</w:t>
      </w:r>
      <w:r w:rsidRPr="006B403D">
        <w:rPr>
          <w:rFonts w:hint="eastAsia"/>
          <w:b/>
          <w:bCs/>
          <w:u w:val="single"/>
        </w:rPr>
        <w:t>分红</w:t>
      </w:r>
      <w:r w:rsidRPr="00DF411E">
        <w:rPr>
          <w:rFonts w:hint="eastAsia"/>
        </w:rPr>
        <w:t>的权利，享有</w:t>
      </w:r>
      <w:r w:rsidRPr="006B403D">
        <w:rPr>
          <w:rFonts w:hint="eastAsia"/>
          <w:b/>
          <w:bCs/>
        </w:rPr>
        <w:t>优先分</w:t>
      </w:r>
      <w:r w:rsidRPr="006B403D">
        <w:rPr>
          <w:rFonts w:hint="eastAsia"/>
          <w:b/>
          <w:bCs/>
          <w:u w:val="single"/>
        </w:rPr>
        <w:t>配剩余资</w:t>
      </w:r>
      <w:r w:rsidRPr="00112EB6">
        <w:rPr>
          <w:rFonts w:hint="eastAsia"/>
          <w:u w:val="single"/>
        </w:rPr>
        <w:t>产</w:t>
      </w:r>
      <w:r w:rsidRPr="00DF411E">
        <w:rPr>
          <w:rFonts w:hint="eastAsia"/>
        </w:rPr>
        <w:t>的权利，</w:t>
      </w:r>
      <w:r w:rsidRPr="00112EB6">
        <w:rPr>
          <w:rFonts w:hint="eastAsia"/>
          <w:u w:val="single"/>
        </w:rPr>
        <w:t>一般无表决权</w:t>
      </w:r>
      <w:r w:rsidRPr="00DF411E">
        <w:rPr>
          <w:rFonts w:hint="eastAsia"/>
        </w:rPr>
        <w:t>。</w:t>
      </w:r>
      <w:r w:rsidR="003F5890">
        <w:rPr>
          <w:rFonts w:hint="eastAsia"/>
        </w:rPr>
        <w:t>（员工&gt;税&gt;债权人&gt;优先股）</w:t>
      </w:r>
    </w:p>
    <w:p w14:paraId="20E99E7C" w14:textId="40AE1B65" w:rsidR="00146B12" w:rsidRPr="00DF411E" w:rsidRDefault="00146B12" w:rsidP="009E06AE">
      <w:r w:rsidRPr="00FC27C1">
        <w:rPr>
          <w:rFonts w:hint="eastAsia"/>
          <w:b/>
          <w:bCs/>
          <w:color w:val="C00000"/>
          <w:highlight w:val="lightGray"/>
        </w:rPr>
        <w:t>H股</w:t>
      </w:r>
      <w:r>
        <w:rPr>
          <w:rFonts w:hint="eastAsia"/>
        </w:rPr>
        <w:t xml:space="preserve"> </w:t>
      </w:r>
      <w:r w:rsidRPr="006B403D">
        <w:rPr>
          <w:rStyle w:val="content-right8zs40"/>
          <w:b/>
          <w:bCs/>
          <w:color w:val="FF0000"/>
        </w:rPr>
        <w:t>注册地在内地</w:t>
      </w:r>
      <w:r>
        <w:rPr>
          <w:rStyle w:val="content-right8zs40"/>
        </w:rPr>
        <w:t>、上市地在香港的中资企业股票</w:t>
      </w:r>
    </w:p>
    <w:p w14:paraId="141E6C23" w14:textId="2B056BAA" w:rsidR="00365B9E" w:rsidRPr="00DF411E" w:rsidRDefault="00365B9E" w:rsidP="009E06AE">
      <w:r w:rsidRPr="00DF411E">
        <w:rPr>
          <w:rFonts w:hint="eastAsia"/>
        </w:rPr>
        <w:t>(1)</w:t>
      </w:r>
      <w:r w:rsidRPr="00E51ECC">
        <w:rPr>
          <w:rFonts w:hint="eastAsia"/>
          <w:b/>
          <w:bCs/>
          <w:color w:val="C00000"/>
        </w:rPr>
        <w:t>红筹股（Red Chip）</w:t>
      </w:r>
      <w:r w:rsidRPr="00DF411E">
        <w:rPr>
          <w:rFonts w:hint="eastAsia"/>
        </w:rPr>
        <w:t>香港和国际投资者把在</w:t>
      </w:r>
      <w:r w:rsidRPr="006A066E">
        <w:rPr>
          <w:rFonts w:hint="eastAsia"/>
          <w:b/>
          <w:bCs/>
          <w:u w:val="single"/>
        </w:rPr>
        <w:t>境外注册</w:t>
      </w:r>
      <w:r w:rsidRPr="00DF411E">
        <w:rPr>
          <w:rFonts w:hint="eastAsia"/>
        </w:rPr>
        <w:t>、在</w:t>
      </w:r>
      <w:r w:rsidRPr="006A066E">
        <w:rPr>
          <w:rFonts w:hint="eastAsia"/>
          <w:b/>
          <w:bCs/>
          <w:u w:val="single"/>
        </w:rPr>
        <w:t>香港上市</w:t>
      </w:r>
      <w:r w:rsidRPr="00DF411E">
        <w:rPr>
          <w:rFonts w:hint="eastAsia"/>
        </w:rPr>
        <w:t>的那些带有</w:t>
      </w:r>
      <w:r w:rsidRPr="006A066E">
        <w:rPr>
          <w:rFonts w:hint="eastAsia"/>
          <w:b/>
          <w:bCs/>
          <w:u w:val="single"/>
        </w:rPr>
        <w:t>中国大陆</w:t>
      </w:r>
      <w:r w:rsidRPr="00DF411E">
        <w:rPr>
          <w:rFonts w:hint="eastAsia"/>
        </w:rPr>
        <w:t>概念的股票</w:t>
      </w:r>
      <w:r w:rsidR="006F2FCA">
        <w:rPr>
          <w:rFonts w:hint="eastAsia"/>
        </w:rPr>
        <w:t>,</w:t>
      </w:r>
      <w:r w:rsidR="006F2FCA">
        <w:t xml:space="preserve"> </w:t>
      </w:r>
      <w:r w:rsidR="006F2FCA">
        <w:rPr>
          <w:rFonts w:hint="eastAsia"/>
        </w:rPr>
        <w:t>为了吸引外资而出现的</w:t>
      </w:r>
      <w:r w:rsidRPr="00DF411E">
        <w:rPr>
          <w:rFonts w:hint="eastAsia"/>
        </w:rPr>
        <w:t xml:space="preserve"> </w:t>
      </w:r>
    </w:p>
    <w:p w14:paraId="6E272D37" w14:textId="6BAE06D2" w:rsidR="002C726B" w:rsidRDefault="00365B9E" w:rsidP="009E06AE">
      <w:pPr>
        <w:rPr>
          <w:b/>
          <w:bCs/>
          <w:u w:val="single"/>
        </w:rPr>
      </w:pPr>
      <w:r w:rsidRPr="00DF411E">
        <w:rPr>
          <w:rFonts w:hint="eastAsia"/>
        </w:rPr>
        <w:lastRenderedPageBreak/>
        <w:t>(2)</w:t>
      </w:r>
      <w:r w:rsidRPr="00E51ECC">
        <w:rPr>
          <w:rFonts w:hint="eastAsia"/>
          <w:b/>
          <w:bCs/>
          <w:color w:val="4472C4" w:themeColor="accent1"/>
        </w:rPr>
        <w:t>蓝筹股（Blue Chip）</w:t>
      </w:r>
      <w:r w:rsidRPr="00DF411E">
        <w:rPr>
          <w:rFonts w:hint="eastAsia"/>
        </w:rPr>
        <w:t>，是指那些具有行业代表性、流通量高、财务状况良好、盈利稳定及派息固定的</w:t>
      </w:r>
      <w:r w:rsidRPr="006A066E">
        <w:rPr>
          <w:rFonts w:hint="eastAsia"/>
          <w:b/>
          <w:bCs/>
          <w:u w:val="single"/>
        </w:rPr>
        <w:t>大市值公司</w:t>
      </w:r>
    </w:p>
    <w:p w14:paraId="0E489569" w14:textId="0ADCD32E" w:rsidR="005D0706" w:rsidRPr="00390965" w:rsidRDefault="005D0706" w:rsidP="009E06AE">
      <w:pPr>
        <w:rPr>
          <w:b/>
          <w:bCs/>
          <w:color w:val="FF0000"/>
          <w:highlight w:val="green"/>
          <w:u w:val="single"/>
        </w:rPr>
      </w:pPr>
      <w:r w:rsidRPr="00EC7087">
        <w:rPr>
          <w:rFonts w:hint="eastAsia"/>
          <w:b/>
          <w:bCs/>
          <w:color w:val="C00000"/>
          <w:highlight w:val="yellow"/>
        </w:rPr>
        <w:t>中概股</w:t>
      </w:r>
      <w:r w:rsidR="00382CD7" w:rsidRPr="00970CB7">
        <w:rPr>
          <w:rFonts w:hint="eastAsia"/>
          <w:b/>
          <w:bCs/>
          <w:color w:val="C00000"/>
        </w:rPr>
        <w:t xml:space="preserve"> </w:t>
      </w:r>
      <w:r w:rsidR="00382CD7" w:rsidRPr="00970CB7">
        <w:rPr>
          <w:b/>
          <w:bCs/>
          <w:color w:val="C00000"/>
        </w:rPr>
        <w:t xml:space="preserve"> </w:t>
      </w:r>
      <w:r w:rsidR="00382CD7">
        <w:t>中国概念股，是指外国投资者对所有</w:t>
      </w:r>
      <w:r w:rsidR="00382CD7" w:rsidRPr="00423983">
        <w:rPr>
          <w:b/>
          <w:bCs/>
        </w:rPr>
        <w:t>海外上市的中国股票</w:t>
      </w:r>
      <w:r w:rsidR="00382CD7">
        <w:t>的统称</w:t>
      </w:r>
    </w:p>
    <w:p w14:paraId="6D1D9507" w14:textId="21201CD7" w:rsidR="005D0706" w:rsidRPr="00957B81" w:rsidRDefault="00957B81" w:rsidP="00957B81">
      <w:r w:rsidRPr="006B403D">
        <w:rPr>
          <w:rFonts w:hint="eastAsia"/>
          <w:b/>
          <w:bCs/>
          <w:color w:val="FF0000"/>
        </w:rPr>
        <w:t>存托凭证</w:t>
      </w:r>
      <w:r w:rsidRPr="00957B81">
        <w:rPr>
          <w:rFonts w:hint="eastAsia"/>
        </w:rPr>
        <w:t>（</w:t>
      </w:r>
      <w:r w:rsidRPr="00957B81">
        <w:t>Depository Receipts，简称DR），又称存券收据或存股证，是指在一国证券市场流通的代表外国公司有价证券的可转让凭证，由存托人签发，以境外证券为基础在境内发行，代表境外基础证券权益的证券。属公司融资业务范畴的</w:t>
      </w:r>
      <w:r w:rsidRPr="006B403D">
        <w:rPr>
          <w:u w:val="single"/>
        </w:rPr>
        <w:t>金融衍生工具</w:t>
      </w:r>
      <w:r w:rsidRPr="00957B81">
        <w:t>。</w:t>
      </w:r>
      <w:r w:rsidRPr="006B403D">
        <w:rPr>
          <w:u w:val="single"/>
        </w:rPr>
        <w:t>存托凭证一般代表公司股票，但有时也代表债券</w:t>
      </w:r>
      <w:r w:rsidRPr="00957B81">
        <w:t>。</w:t>
      </w:r>
      <w:r w:rsidRPr="00957B81">
        <w:rPr>
          <w:rFonts w:hint="eastAsia"/>
        </w:rPr>
        <w:t>以股票为例，存托凭证是这样产生的：某国的一家公司为使其股票在外国流通，就将一定数额的股票，委托某一中间机构（通常为一银行，称为保管银行或受托银行）保管，由保管银行通知外国的存托银行在当地发行代表该股份的存托凭证，之后存托凭证便开始在外国证券交易所或柜台市场交易</w:t>
      </w:r>
    </w:p>
    <w:p w14:paraId="002908AE" w14:textId="0189BEFA" w:rsidR="004D528B" w:rsidRDefault="004D528B" w:rsidP="009E06AE">
      <w:r w:rsidRPr="00C33D3D">
        <w:rPr>
          <w:rFonts w:hint="eastAsia"/>
          <w:b/>
          <w:bCs/>
          <w:color w:val="FF0000"/>
          <w:highlight w:val="yellow"/>
          <w:u w:val="single"/>
        </w:rPr>
        <w:t>熊猫债</w:t>
      </w:r>
      <w:r w:rsidR="00FB709D">
        <w:rPr>
          <w:rFonts w:hint="eastAsia"/>
          <w:b/>
          <w:bCs/>
          <w:color w:val="FF0000"/>
          <w:u w:val="single"/>
        </w:rPr>
        <w:t xml:space="preserve"> </w:t>
      </w:r>
      <w:r w:rsidR="00FB709D">
        <w:rPr>
          <w:b/>
          <w:bCs/>
          <w:color w:val="FF0000"/>
          <w:u w:val="single"/>
        </w:rPr>
        <w:t xml:space="preserve"> </w:t>
      </w:r>
      <w:r w:rsidR="00FB709D" w:rsidRPr="00957B81">
        <w:rPr>
          <w:rFonts w:hint="eastAsia"/>
          <w:b/>
          <w:bCs/>
        </w:rPr>
        <w:t>境外机构</w:t>
      </w:r>
      <w:r w:rsidR="00FB709D" w:rsidRPr="00C33D3D">
        <w:rPr>
          <w:rFonts w:hint="eastAsia"/>
        </w:rPr>
        <w:t>在中国发行的</w:t>
      </w:r>
      <w:r w:rsidR="00FB709D" w:rsidRPr="00957B81">
        <w:rPr>
          <w:rFonts w:hint="eastAsia"/>
          <w:b/>
          <w:bCs/>
        </w:rPr>
        <w:t>人民币债券</w:t>
      </w:r>
    </w:p>
    <w:p w14:paraId="1C7037A4" w14:textId="0955FEE5" w:rsidR="006E29A6" w:rsidRDefault="006E29A6" w:rsidP="009E06AE">
      <w:pPr>
        <w:rPr>
          <w:shd w:val="pct15" w:color="auto" w:fill="FFFFFF"/>
        </w:rPr>
      </w:pPr>
      <w:r w:rsidRPr="00D312FE">
        <w:rPr>
          <w:highlight w:val="yellow"/>
        </w:rPr>
        <w:t>双重股权结构</w:t>
      </w:r>
      <w:r w:rsidR="00D312FE">
        <w:rPr>
          <w:rFonts w:hint="eastAsia"/>
        </w:rPr>
        <w:t xml:space="preserve"> </w:t>
      </w:r>
      <w:r w:rsidR="00D312FE">
        <w:t xml:space="preserve"> </w:t>
      </w:r>
      <w:r w:rsidR="00D312FE" w:rsidRPr="00132AA0">
        <w:rPr>
          <w:rFonts w:hint="eastAsia"/>
          <w:shd w:val="pct15" w:color="auto" w:fill="FFFFFF"/>
        </w:rPr>
        <w:t>同股不同权</w:t>
      </w:r>
      <w:r w:rsidR="00EC3C12" w:rsidRPr="00132AA0">
        <w:rPr>
          <w:rFonts w:hint="eastAsia"/>
          <w:shd w:val="pct15" w:color="auto" w:fill="FFFFFF"/>
        </w:rPr>
        <w:t>，股份通常被划分为高、低两种投票权。以使得初创团队能在企业成长后仍然可以掌握企业的控制权</w:t>
      </w:r>
      <w:r w:rsidR="00A224D4" w:rsidRPr="00132AA0">
        <w:rPr>
          <w:rFonts w:hint="eastAsia"/>
          <w:shd w:val="pct15" w:color="auto" w:fill="FFFFFF"/>
        </w:rPr>
        <w:t>。作为</w:t>
      </w:r>
      <w:r w:rsidR="00A224D4" w:rsidRPr="00423983">
        <w:rPr>
          <w:rFonts w:hint="eastAsia"/>
          <w:b/>
          <w:bCs/>
          <w:shd w:val="pct15" w:color="auto" w:fill="FFFFFF"/>
        </w:rPr>
        <w:t>补偿</w:t>
      </w:r>
      <w:r w:rsidR="00A224D4" w:rsidRPr="00132AA0">
        <w:rPr>
          <w:rFonts w:hint="eastAsia"/>
          <w:shd w:val="pct15" w:color="auto" w:fill="FFFFFF"/>
        </w:rPr>
        <w:t>，高投票权的股票其股利低，不准或规定一定</w:t>
      </w:r>
      <w:r w:rsidR="00A224D4" w:rsidRPr="00423983">
        <w:rPr>
          <w:rFonts w:hint="eastAsia"/>
          <w:b/>
          <w:bCs/>
          <w:shd w:val="pct15" w:color="auto" w:fill="FFFFFF"/>
        </w:rPr>
        <w:t>年限</w:t>
      </w:r>
      <w:r w:rsidR="00A224D4" w:rsidRPr="00132AA0">
        <w:rPr>
          <w:rFonts w:hint="eastAsia"/>
          <w:shd w:val="pct15" w:color="auto" w:fill="FFFFFF"/>
        </w:rPr>
        <w:t>，一般</w:t>
      </w:r>
      <w:r w:rsidR="00A224D4" w:rsidRPr="00132AA0">
        <w:rPr>
          <w:shd w:val="pct15" w:color="auto" w:fill="FFFFFF"/>
        </w:rPr>
        <w:t>3年后才可转成低投票权股票，因此</w:t>
      </w:r>
      <w:r w:rsidR="00A224D4" w:rsidRPr="00423983">
        <w:rPr>
          <w:b/>
          <w:bCs/>
          <w:shd w:val="pct15" w:color="auto" w:fill="FFFFFF"/>
        </w:rPr>
        <w:t>流通性较差</w:t>
      </w:r>
      <w:r w:rsidR="00A224D4" w:rsidRPr="00132AA0">
        <w:rPr>
          <w:shd w:val="pct15" w:color="auto" w:fill="FFFFFF"/>
        </w:rPr>
        <w:t>，而且投票权仅限管理者使用</w:t>
      </w:r>
    </w:p>
    <w:p w14:paraId="43204592" w14:textId="4819DC96" w:rsidR="00023831" w:rsidRDefault="00023831" w:rsidP="009E06AE">
      <w:pPr>
        <w:rPr>
          <w:shd w:val="pct15" w:color="auto" w:fill="FFFFFF"/>
        </w:rPr>
      </w:pPr>
    </w:p>
    <w:p w14:paraId="662E7439" w14:textId="77777777" w:rsidR="00023831" w:rsidRDefault="00023831" w:rsidP="009E06AE">
      <w:r w:rsidRPr="00023831">
        <w:rPr>
          <w:rFonts w:hint="eastAsia"/>
          <w:b/>
          <w:bCs/>
        </w:rPr>
        <w:t>外国债券</w:t>
      </w:r>
      <w:r w:rsidRPr="00023831">
        <w:rPr>
          <w:rFonts w:hint="eastAsia"/>
        </w:rPr>
        <w:t>是某一国借款人在本国以外的某一国家发行的</w:t>
      </w:r>
      <w:r w:rsidRPr="00023831">
        <w:rPr>
          <w:rFonts w:hint="eastAsia"/>
          <w:color w:val="FF0000"/>
        </w:rPr>
        <w:t>以该国货币为面值</w:t>
      </w:r>
      <w:r w:rsidRPr="00023831">
        <w:rPr>
          <w:rFonts w:hint="eastAsia"/>
        </w:rPr>
        <w:t>的债券。</w:t>
      </w:r>
      <w:r w:rsidRPr="00023831">
        <w:t xml:space="preserve"> </w:t>
      </w:r>
    </w:p>
    <w:p w14:paraId="23304B93" w14:textId="7797DAAA" w:rsidR="00023831" w:rsidRDefault="00023831" w:rsidP="009E06AE">
      <w:r w:rsidRPr="00023831">
        <w:rPr>
          <w:b/>
          <w:bCs/>
        </w:rPr>
        <w:t>欧洲债券</w:t>
      </w:r>
      <w:r w:rsidRPr="00023831">
        <w:t>是借款人在本国以外市场发行的，</w:t>
      </w:r>
      <w:r w:rsidRPr="00023831">
        <w:rPr>
          <w:color w:val="FF0000"/>
        </w:rPr>
        <w:t>以第三国的货币</w:t>
      </w:r>
      <w:r w:rsidRPr="00023831">
        <w:t>为面值的国际债券</w:t>
      </w:r>
    </w:p>
    <w:p w14:paraId="17ACA059" w14:textId="77777777" w:rsidR="00023831" w:rsidRPr="00023831" w:rsidRDefault="00023831" w:rsidP="009E06AE"/>
    <w:p w14:paraId="6FFE8127" w14:textId="77777777" w:rsidR="00365B9E" w:rsidRPr="00DF411E" w:rsidRDefault="00365B9E" w:rsidP="009E06AE">
      <w:r w:rsidRPr="00DF411E">
        <w:rPr>
          <w:rFonts w:hint="eastAsia"/>
          <w:b/>
          <w:bCs/>
        </w:rPr>
        <w:t>三．股票的价值和价格</w:t>
      </w:r>
    </w:p>
    <w:p w14:paraId="4C8D37DE" w14:textId="1BA1AF61" w:rsidR="00365B9E" w:rsidRPr="00DF411E" w:rsidRDefault="00365B9E" w:rsidP="00B96391">
      <w:r w:rsidRPr="00DF411E">
        <w:rPr>
          <w:rFonts w:hint="eastAsia"/>
          <w:b/>
          <w:bCs/>
        </w:rPr>
        <w:t>1.票面价值</w:t>
      </w:r>
      <w:r w:rsidR="00B96391" w:rsidRPr="00DF411E">
        <w:rPr>
          <w:rFonts w:hint="eastAsia"/>
          <w:b/>
          <w:bCs/>
        </w:rPr>
        <w:t>:</w:t>
      </w:r>
      <w:r w:rsidR="00A2209A">
        <w:t xml:space="preserve"> </w:t>
      </w:r>
      <w:r w:rsidRPr="00DF411E">
        <w:rPr>
          <w:rFonts w:hint="eastAsia"/>
        </w:rPr>
        <w:t>面值，面值为公司确立了最低资本额</w:t>
      </w:r>
    </w:p>
    <w:p w14:paraId="60A515AA" w14:textId="40CAE246" w:rsidR="00365B9E" w:rsidRPr="00DF411E" w:rsidRDefault="00365B9E" w:rsidP="00B96391">
      <w:r w:rsidRPr="00DF411E">
        <w:rPr>
          <w:rFonts w:hint="eastAsia"/>
          <w:b/>
          <w:bCs/>
        </w:rPr>
        <w:t>2.账面价值</w:t>
      </w:r>
      <w:r w:rsidR="007347DD">
        <w:rPr>
          <w:rFonts w:hint="eastAsia"/>
          <w:b/>
          <w:bCs/>
        </w:rPr>
        <w:t>（净资产）</w:t>
      </w:r>
      <w:r w:rsidR="00B96391" w:rsidRPr="00DF411E">
        <w:rPr>
          <w:rFonts w:hint="eastAsia"/>
          <w:b/>
          <w:bCs/>
        </w:rPr>
        <w:t>:</w:t>
      </w:r>
      <w:r w:rsidRPr="00386C84">
        <w:rPr>
          <w:rFonts w:hint="eastAsia"/>
          <w:color w:val="FF0000"/>
        </w:rPr>
        <w:t>公司资产总额减去负债</w:t>
      </w:r>
      <w:r w:rsidRPr="00DF411E">
        <w:rPr>
          <w:rFonts w:hint="eastAsia"/>
        </w:rPr>
        <w:t>（公司净资产）即为公司股票的账面价值，</w:t>
      </w:r>
      <w:r w:rsidRPr="00386C84">
        <w:rPr>
          <w:rFonts w:hint="eastAsia"/>
          <w:color w:val="FF0000"/>
        </w:rPr>
        <w:t>再减去优先股价值，为普通股份值</w:t>
      </w:r>
      <w:r w:rsidRPr="00DF411E">
        <w:rPr>
          <w:rFonts w:hint="eastAsia"/>
        </w:rPr>
        <w:t>；</w:t>
      </w:r>
    </w:p>
    <w:p w14:paraId="383D08AE" w14:textId="2AF7DDAB" w:rsidR="00365B9E" w:rsidRPr="00DF411E" w:rsidRDefault="00365B9E" w:rsidP="00B96391">
      <w:r w:rsidRPr="00DF411E">
        <w:rPr>
          <w:rFonts w:hint="eastAsia"/>
          <w:b/>
          <w:bCs/>
        </w:rPr>
        <w:t>3.</w:t>
      </w:r>
      <w:r w:rsidRPr="00CD48F6">
        <w:rPr>
          <w:rFonts w:hint="eastAsia"/>
          <w:b/>
          <w:bCs/>
          <w:color w:val="C00000"/>
        </w:rPr>
        <w:t>市场价值(内在价值)</w:t>
      </w:r>
      <w:r w:rsidR="00B96391" w:rsidRPr="00CD48F6">
        <w:rPr>
          <w:b/>
          <w:bCs/>
          <w:color w:val="C00000"/>
        </w:rPr>
        <w:t>:</w:t>
      </w:r>
      <w:r w:rsidR="00CD48F6">
        <w:rPr>
          <w:b/>
          <w:bCs/>
          <w:color w:val="C00000"/>
        </w:rPr>
        <w:t xml:space="preserve"> </w:t>
      </w:r>
      <w:r w:rsidRPr="00DF411E">
        <w:rPr>
          <w:rFonts w:hint="eastAsia"/>
        </w:rPr>
        <w:t>未来价值的现值；</w:t>
      </w:r>
    </w:p>
    <w:p w14:paraId="3FC71D2A" w14:textId="77777777" w:rsidR="00F251E6" w:rsidRDefault="00F251E6" w:rsidP="00B96391">
      <w:pPr>
        <w:rPr>
          <w:b/>
          <w:bCs/>
        </w:rPr>
      </w:pPr>
    </w:p>
    <w:p w14:paraId="487480EE" w14:textId="32FD703A" w:rsidR="002C726B" w:rsidRDefault="002C726B" w:rsidP="00B96391">
      <w:pPr>
        <w:rPr>
          <w:b/>
          <w:bCs/>
          <w:color w:val="FFC000" w:themeColor="accent4"/>
        </w:rPr>
      </w:pPr>
      <w:r w:rsidRPr="00386C84">
        <w:rPr>
          <w:rFonts w:hint="eastAsia"/>
          <w:b/>
          <w:bCs/>
          <w:color w:val="FFC000" w:themeColor="accent4"/>
        </w:rPr>
        <w:t>第二节    债券</w:t>
      </w:r>
    </w:p>
    <w:p w14:paraId="33B6E9C9" w14:textId="76E31371" w:rsidR="00F733B2" w:rsidRPr="00386C84" w:rsidRDefault="00F733B2" w:rsidP="00B96391">
      <w:pPr>
        <w:rPr>
          <w:b/>
          <w:bCs/>
          <w:color w:val="FFC000" w:themeColor="accent4"/>
        </w:rPr>
      </w:pPr>
      <w:r>
        <w:rPr>
          <w:rFonts w:hint="eastAsia"/>
          <w:b/>
          <w:bCs/>
          <w:color w:val="FFC000" w:themeColor="accent4"/>
        </w:rPr>
        <w:t>利率来源：票息</w:t>
      </w:r>
    </w:p>
    <w:p w14:paraId="5C70EDE1" w14:textId="77777777" w:rsidR="00B32127" w:rsidRPr="00DF411E" w:rsidRDefault="00B32127" w:rsidP="00A432DA">
      <w:r w:rsidRPr="00DF411E">
        <w:rPr>
          <w:rFonts w:hint="eastAsia"/>
          <w:b/>
          <w:bCs/>
        </w:rPr>
        <w:t>二.债券的分类与特征</w:t>
      </w:r>
    </w:p>
    <w:p w14:paraId="7362B584" w14:textId="77777777" w:rsidR="00B32127" w:rsidRPr="00DF411E" w:rsidRDefault="00B32127" w:rsidP="00A432DA">
      <w:r w:rsidRPr="00DF411E">
        <w:rPr>
          <w:rFonts w:hint="eastAsia"/>
          <w:b/>
          <w:bCs/>
        </w:rPr>
        <w:t>1.债券的分类</w:t>
      </w:r>
      <w:r w:rsidR="00A432DA" w:rsidRPr="00DF411E">
        <w:rPr>
          <w:rFonts w:hint="eastAsia"/>
          <w:b/>
          <w:bCs/>
        </w:rPr>
        <w:t>：</w:t>
      </w:r>
    </w:p>
    <w:p w14:paraId="73E2B85C" w14:textId="1590D52C" w:rsidR="00B32127" w:rsidRPr="00DF411E" w:rsidRDefault="005D3345" w:rsidP="005D3345">
      <w:pPr>
        <w:ind w:firstLineChars="200" w:firstLine="420"/>
      </w:pPr>
      <w:r w:rsidRPr="00DF411E">
        <w:rPr>
          <w:rFonts w:hint="eastAsia"/>
        </w:rPr>
        <w:t>(</w:t>
      </w:r>
      <w:r w:rsidR="00C77182">
        <w:t>6</w:t>
      </w:r>
      <w:r w:rsidRPr="00DF411E">
        <w:rPr>
          <w:rFonts w:hint="eastAsia"/>
        </w:rPr>
        <w:t>)</w:t>
      </w:r>
      <w:r w:rsidR="00B32127" w:rsidRPr="00DF411E">
        <w:rPr>
          <w:rFonts w:hint="eastAsia"/>
        </w:rPr>
        <w:t>特殊类型债券:</w:t>
      </w:r>
      <w:r w:rsidR="00B32127" w:rsidRPr="00B67FE1">
        <w:rPr>
          <w:rFonts w:hint="eastAsia"/>
          <w:b/>
          <w:bCs/>
          <w:color w:val="FF0000"/>
        </w:rPr>
        <w:t>可转换公司债券</w:t>
      </w:r>
    </w:p>
    <w:p w14:paraId="5BC78740" w14:textId="4D00ED1B" w:rsidR="005D3345" w:rsidRPr="00DF411E" w:rsidRDefault="00B32127" w:rsidP="005D3345">
      <w:pPr>
        <w:ind w:firstLineChars="200" w:firstLine="420"/>
      </w:pPr>
      <w:r w:rsidRPr="00DF411E">
        <w:rPr>
          <w:rFonts w:hint="eastAsia"/>
        </w:rPr>
        <w:t>可转换公司债券是一种被赋予了</w:t>
      </w:r>
      <w:r w:rsidRPr="00B67FE1">
        <w:rPr>
          <w:rFonts w:hint="eastAsia"/>
          <w:color w:val="FF0000"/>
        </w:rPr>
        <w:t>股票转换权</w:t>
      </w:r>
      <w:r w:rsidRPr="00DF411E">
        <w:rPr>
          <w:rFonts w:hint="eastAsia"/>
        </w:rPr>
        <w:t>的公司债券。发行公司事先规定债权人可以选择有利时机，按发行时规定的条件把其债券转换成发行公司的等值股票（普通股票）。</w:t>
      </w:r>
    </w:p>
    <w:p w14:paraId="109C7666" w14:textId="5F662329" w:rsidR="005D3345" w:rsidRPr="0047244E" w:rsidRDefault="00B32127" w:rsidP="0047244E">
      <w:r w:rsidRPr="00DF411E">
        <w:t>可转换公司债券在发行时预先规定有三个基本转换条件</w:t>
      </w:r>
      <w:r w:rsidRPr="00DF411E">
        <w:rPr>
          <w:rFonts w:hint="eastAsia"/>
        </w:rPr>
        <w:t>a、转换价格；b、转换比率；c</w:t>
      </w:r>
      <w:r w:rsidR="005D3345" w:rsidRPr="00DF411E">
        <w:rPr>
          <w:rFonts w:hint="eastAsia"/>
        </w:rPr>
        <w:t>、请求转换期间。</w:t>
      </w:r>
    </w:p>
    <w:p w14:paraId="72EA1E22" w14:textId="48CF5FD8" w:rsidR="00B32127" w:rsidRDefault="001E2B40" w:rsidP="000417F2">
      <w:r w:rsidRPr="00C5603E">
        <w:rPr>
          <w:rFonts w:hint="eastAsia"/>
          <w:b/>
          <w:bCs/>
          <w:color w:val="FF0000"/>
        </w:rPr>
        <w:t>国债回购的概念</w:t>
      </w:r>
      <w:r w:rsidR="005D3345" w:rsidRPr="00DF411E">
        <w:rPr>
          <w:rFonts w:hint="eastAsia"/>
          <w:b/>
          <w:bCs/>
        </w:rPr>
        <w:t>：</w:t>
      </w:r>
      <w:r w:rsidR="00B32127" w:rsidRPr="00DF411E">
        <w:rPr>
          <w:rFonts w:hint="eastAsia"/>
        </w:rPr>
        <w:t>国债回购交易实际是一种以</w:t>
      </w:r>
      <w:r w:rsidR="00B32127" w:rsidRPr="00C5603E">
        <w:rPr>
          <w:rFonts w:hint="eastAsia"/>
          <w:b/>
          <w:bCs/>
        </w:rPr>
        <w:t>国债为抵押品</w:t>
      </w:r>
      <w:r w:rsidR="00B32127" w:rsidRPr="00DF411E">
        <w:rPr>
          <w:rFonts w:hint="eastAsia"/>
        </w:rPr>
        <w:t>拆借资金的信用行为。这是一种以债券作抵押的</w:t>
      </w:r>
      <w:r w:rsidR="00B32127" w:rsidRPr="0035174D">
        <w:rPr>
          <w:rFonts w:hint="eastAsia"/>
          <w:b/>
          <w:bCs/>
        </w:rPr>
        <w:t>短期融资借贷行为</w:t>
      </w:r>
    </w:p>
    <w:p w14:paraId="656BDA3C" w14:textId="1D5C9498" w:rsidR="000B17F3" w:rsidRDefault="000B17F3" w:rsidP="000B17F3">
      <w:r>
        <w:rPr>
          <w:rFonts w:hint="eastAsia"/>
        </w:rPr>
        <w:t>【自补】债券和股票的区别：</w:t>
      </w:r>
    </w:p>
    <w:p w14:paraId="75A012ED" w14:textId="77777777" w:rsidR="000B17F3" w:rsidRDefault="000B17F3" w:rsidP="000B17F3">
      <w:r>
        <w:t>(1) 法律</w:t>
      </w:r>
      <w:r w:rsidRPr="00C57840">
        <w:rPr>
          <w:b/>
          <w:bCs/>
        </w:rPr>
        <w:t>性质</w:t>
      </w:r>
      <w:r>
        <w:t>不同：所有权与债权。</w:t>
      </w:r>
    </w:p>
    <w:p w14:paraId="1902F3DA" w14:textId="77777777" w:rsidR="000B17F3" w:rsidRDefault="000B17F3" w:rsidP="000B17F3">
      <w:r>
        <w:t>(2) 法律规定的</w:t>
      </w:r>
      <w:r w:rsidRPr="00C57840">
        <w:rPr>
          <w:b/>
          <w:bCs/>
        </w:rPr>
        <w:t>权利和义务</w:t>
      </w:r>
      <w:r>
        <w:t>不同：经营权，投票权，优先清偿权，承担风险责任</w:t>
      </w:r>
    </w:p>
    <w:p w14:paraId="2151BF73" w14:textId="77777777" w:rsidR="000B17F3" w:rsidRDefault="000B17F3" w:rsidP="000B17F3">
      <w:r>
        <w:t xml:space="preserve">(3) </w:t>
      </w:r>
      <w:r w:rsidRPr="00C57840">
        <w:rPr>
          <w:b/>
          <w:bCs/>
        </w:rPr>
        <w:t>期限</w:t>
      </w:r>
      <w:r>
        <w:t>不同：永久，不存在到期日；有清偿期。</w:t>
      </w:r>
    </w:p>
    <w:p w14:paraId="31CCFFD8" w14:textId="582A5CAB" w:rsidR="000B17F3" w:rsidRPr="00DF411E" w:rsidRDefault="000B17F3" w:rsidP="000B17F3">
      <w:r>
        <w:t xml:space="preserve">(4) </w:t>
      </w:r>
      <w:r w:rsidRPr="00C57840">
        <w:rPr>
          <w:b/>
          <w:bCs/>
        </w:rPr>
        <w:t>收益的风险和方式</w:t>
      </w:r>
      <w:r>
        <w:t>不同：与公司财务状况密切相关；有固定收益。</w:t>
      </w:r>
    </w:p>
    <w:p w14:paraId="1F613875" w14:textId="0A0E4CF0" w:rsidR="000B4830" w:rsidRPr="00981983" w:rsidRDefault="002C726B" w:rsidP="00981983">
      <w:pPr>
        <w:rPr>
          <w:rFonts w:hint="eastAsia"/>
          <w:b/>
          <w:bCs/>
        </w:rPr>
      </w:pPr>
      <w:r w:rsidRPr="00DF411E">
        <w:rPr>
          <w:rFonts w:hint="eastAsia"/>
          <w:b/>
          <w:bCs/>
        </w:rPr>
        <w:t>第三节    证券投资基金</w:t>
      </w:r>
    </w:p>
    <w:p w14:paraId="1430DFDA" w14:textId="11A26DF6" w:rsidR="00B32127" w:rsidRPr="00DF411E" w:rsidRDefault="00B32127" w:rsidP="000B4830">
      <w:pPr>
        <w:pStyle w:val="a3"/>
        <w:numPr>
          <w:ilvl w:val="0"/>
          <w:numId w:val="9"/>
        </w:numPr>
        <w:ind w:firstLineChars="0"/>
      </w:pPr>
      <w:r w:rsidRPr="000B4830">
        <w:rPr>
          <w:rFonts w:hint="eastAsia"/>
          <w:b/>
          <w:bCs/>
        </w:rPr>
        <w:t>资基金的概念和特点</w:t>
      </w:r>
    </w:p>
    <w:p w14:paraId="41E920F3" w14:textId="1CDADF49" w:rsidR="00E06FAF" w:rsidRPr="00E06FAF" w:rsidRDefault="00B32127" w:rsidP="000E515F">
      <w:r w:rsidRPr="00DF411E">
        <w:rPr>
          <w:rFonts w:hint="eastAsia"/>
          <w:b/>
          <w:bCs/>
        </w:rPr>
        <w:t>1.证券投资基金的概念</w:t>
      </w:r>
      <w:r w:rsidR="000E515F" w:rsidRPr="00DF411E">
        <w:rPr>
          <w:rFonts w:hint="eastAsia"/>
          <w:b/>
          <w:bCs/>
        </w:rPr>
        <w:t>：</w:t>
      </w:r>
      <w:r w:rsidRPr="007743FA">
        <w:rPr>
          <w:rFonts w:hint="eastAsia"/>
          <w:b/>
          <w:bCs/>
        </w:rPr>
        <w:t>证券投资基金是指一种</w:t>
      </w:r>
      <w:r w:rsidRPr="007743FA">
        <w:rPr>
          <w:rFonts w:hint="eastAsia"/>
          <w:b/>
          <w:bCs/>
          <w:u w:val="single"/>
        </w:rPr>
        <w:t>利益共享、风险共担</w:t>
      </w:r>
      <w:r w:rsidRPr="007743FA">
        <w:rPr>
          <w:rFonts w:hint="eastAsia"/>
          <w:b/>
          <w:bCs/>
        </w:rPr>
        <w:t>的</w:t>
      </w:r>
      <w:r w:rsidRPr="007743FA">
        <w:rPr>
          <w:rFonts w:hint="eastAsia"/>
          <w:b/>
          <w:bCs/>
          <w:color w:val="FF0000"/>
        </w:rPr>
        <w:t>集合证券投资方式</w:t>
      </w:r>
      <w:r w:rsidRPr="007743FA">
        <w:rPr>
          <w:rFonts w:hint="eastAsia"/>
          <w:b/>
          <w:bCs/>
        </w:rPr>
        <w:t>，</w:t>
      </w:r>
      <w:r w:rsidRPr="00DF411E">
        <w:rPr>
          <w:rFonts w:hint="eastAsia"/>
        </w:rPr>
        <w:t>即通过发行基金单位，集中投资者的资金，由</w:t>
      </w:r>
      <w:r w:rsidRPr="009C2DA0">
        <w:rPr>
          <w:rFonts w:hint="eastAsia"/>
          <w:b/>
          <w:bCs/>
        </w:rPr>
        <w:t>基金托管人</w:t>
      </w:r>
      <w:r w:rsidRPr="00DF411E">
        <w:rPr>
          <w:rFonts w:hint="eastAsia"/>
        </w:rPr>
        <w:t>（一般是信誉卓著的银行）托管，</w:t>
      </w:r>
      <w:r w:rsidRPr="00DF411E">
        <w:rPr>
          <w:rFonts w:hint="eastAsia"/>
        </w:rPr>
        <w:lastRenderedPageBreak/>
        <w:t>由</w:t>
      </w:r>
      <w:r w:rsidRPr="009C2DA0">
        <w:rPr>
          <w:rFonts w:hint="eastAsia"/>
          <w:b/>
          <w:bCs/>
        </w:rPr>
        <w:t>基金管理人</w:t>
      </w:r>
      <w:r w:rsidRPr="00DF411E">
        <w:rPr>
          <w:rFonts w:hint="eastAsia"/>
        </w:rPr>
        <w:t>（即基金管理公司）管理和运用资金</w:t>
      </w:r>
    </w:p>
    <w:p w14:paraId="0A0A4D75" w14:textId="77777777" w:rsidR="00B32127" w:rsidRPr="00DF411E" w:rsidRDefault="00B32127" w:rsidP="000E515F">
      <w:r w:rsidRPr="00DF411E">
        <w:rPr>
          <w:rFonts w:hint="eastAsia"/>
          <w:b/>
          <w:bCs/>
        </w:rPr>
        <w:t>2.证券投资基金的特点</w:t>
      </w:r>
    </w:p>
    <w:p w14:paraId="484A355B" w14:textId="77777777" w:rsidR="00B32127" w:rsidRPr="00DF411E" w:rsidRDefault="00B32127" w:rsidP="000E515F">
      <w:pPr>
        <w:ind w:firstLineChars="200" w:firstLine="420"/>
      </w:pPr>
      <w:r w:rsidRPr="00DF411E">
        <w:rPr>
          <w:rFonts w:hint="eastAsia"/>
        </w:rPr>
        <w:t>(1)由专家进行</w:t>
      </w:r>
      <w:r w:rsidRPr="00E3149B">
        <w:rPr>
          <w:rFonts w:hint="eastAsia"/>
          <w:b/>
          <w:bCs/>
        </w:rPr>
        <w:t>专业化管理</w:t>
      </w:r>
      <w:r w:rsidRPr="00DF411E">
        <w:rPr>
          <w:rFonts w:hint="eastAsia"/>
        </w:rPr>
        <w:t>。</w:t>
      </w:r>
    </w:p>
    <w:p w14:paraId="61EDB235" w14:textId="73026C34" w:rsidR="000E515F" w:rsidRPr="00DF411E" w:rsidRDefault="00B32127" w:rsidP="000E515F">
      <w:pPr>
        <w:ind w:firstLineChars="200" w:firstLine="420"/>
      </w:pPr>
      <w:r w:rsidRPr="00DF411E">
        <w:rPr>
          <w:rFonts w:hint="eastAsia"/>
        </w:rPr>
        <w:t>(2)</w:t>
      </w:r>
      <w:r w:rsidRPr="00E3149B">
        <w:rPr>
          <w:rFonts w:hint="eastAsia"/>
          <w:b/>
          <w:bCs/>
        </w:rPr>
        <w:t>投资费用低廉</w:t>
      </w:r>
    </w:p>
    <w:p w14:paraId="76DA8666" w14:textId="77777777" w:rsidR="000E515F" w:rsidRPr="00DF411E" w:rsidRDefault="00B32127" w:rsidP="000E515F">
      <w:pPr>
        <w:ind w:firstLineChars="200" w:firstLine="420"/>
      </w:pPr>
      <w:r w:rsidRPr="00DF411E">
        <w:rPr>
          <w:rFonts w:hint="eastAsia"/>
        </w:rPr>
        <w:t>(3)</w:t>
      </w:r>
      <w:r w:rsidRPr="00E3149B">
        <w:rPr>
          <w:rFonts w:hint="eastAsia"/>
          <w:b/>
          <w:bCs/>
        </w:rPr>
        <w:t>组合投资，风险分散</w:t>
      </w:r>
      <w:r w:rsidRPr="00DF411E">
        <w:rPr>
          <w:rFonts w:hint="eastAsia"/>
        </w:rPr>
        <w:t>。</w:t>
      </w:r>
    </w:p>
    <w:p w14:paraId="3862ED84" w14:textId="0F4872BE" w:rsidR="000E515F" w:rsidRPr="00DF411E" w:rsidRDefault="00B32127" w:rsidP="000E515F">
      <w:pPr>
        <w:ind w:firstLineChars="200" w:firstLine="420"/>
      </w:pPr>
      <w:r w:rsidRPr="00DF411E">
        <w:rPr>
          <w:rFonts w:hint="eastAsia"/>
        </w:rPr>
        <w:t>(4)</w:t>
      </w:r>
      <w:r w:rsidRPr="00E3149B">
        <w:rPr>
          <w:rFonts w:hint="eastAsia"/>
          <w:b/>
          <w:bCs/>
        </w:rPr>
        <w:t>流动性强</w:t>
      </w:r>
      <w:r w:rsidRPr="00DF411E">
        <w:rPr>
          <w:rFonts w:hint="eastAsia"/>
        </w:rPr>
        <w:t>。</w:t>
      </w:r>
      <w:r w:rsidRPr="005E60B2">
        <w:rPr>
          <w:rFonts w:hint="eastAsia"/>
          <w:b/>
          <w:bCs/>
          <w:color w:val="538135" w:themeColor="accent6" w:themeShade="BF"/>
        </w:rPr>
        <w:t>封闭</w:t>
      </w:r>
      <w:r w:rsidRPr="00860AC5">
        <w:rPr>
          <w:rFonts w:hint="eastAsia"/>
          <w:b/>
          <w:bCs/>
        </w:rPr>
        <w:t>式基金</w:t>
      </w:r>
      <w:r w:rsidRPr="00DF411E">
        <w:rPr>
          <w:rFonts w:hint="eastAsia"/>
        </w:rPr>
        <w:t>在</w:t>
      </w:r>
      <w:r w:rsidRPr="00296DD1">
        <w:rPr>
          <w:rFonts w:hint="eastAsia"/>
          <w:b/>
          <w:bCs/>
          <w:color w:val="FF0000"/>
        </w:rPr>
        <w:t>证券</w:t>
      </w:r>
      <w:r w:rsidRPr="005E60B2">
        <w:rPr>
          <w:rFonts w:hint="eastAsia"/>
          <w:b/>
          <w:bCs/>
          <w:color w:val="538135" w:themeColor="accent6" w:themeShade="BF"/>
        </w:rPr>
        <w:t>交易所</w:t>
      </w:r>
      <w:r w:rsidRPr="00296DD1">
        <w:rPr>
          <w:rFonts w:hint="eastAsia"/>
          <w:b/>
          <w:bCs/>
          <w:color w:val="FF0000"/>
        </w:rPr>
        <w:t>上市交易</w:t>
      </w:r>
      <w:r w:rsidR="004C6E06">
        <w:rPr>
          <w:rFonts w:hint="eastAsia"/>
        </w:rPr>
        <w:t>（封闭性基金永远是折价的</w:t>
      </w:r>
      <w:r w:rsidR="00C71671">
        <w:rPr>
          <w:rFonts w:hint="eastAsia"/>
        </w:rPr>
        <w:t>，</w:t>
      </w:r>
      <w:r w:rsidR="00BD39AF" w:rsidRPr="00BD39AF">
        <w:rPr>
          <w:rFonts w:hint="eastAsia"/>
        </w:rPr>
        <w:t>市</w:t>
      </w:r>
      <w:r w:rsidR="00BD39AF" w:rsidRPr="00BD39AF">
        <w:rPr>
          <w:rFonts w:hint="eastAsia"/>
          <w:highlight w:val="cyan"/>
        </w:rPr>
        <w:t>场</w:t>
      </w:r>
      <w:r w:rsidR="00BD39AF" w:rsidRPr="005E60B2">
        <w:rPr>
          <w:rFonts w:hint="eastAsia"/>
          <w:b/>
          <w:bCs/>
          <w:color w:val="538135" w:themeColor="accent6" w:themeShade="BF"/>
        </w:rPr>
        <w:t>供需</w:t>
      </w:r>
      <w:r w:rsidR="00BD39AF" w:rsidRPr="00BD39AF">
        <w:rPr>
          <w:rFonts w:hint="eastAsia"/>
          <w:highlight w:val="cyan"/>
        </w:rPr>
        <w:t>决定</w:t>
      </w:r>
      <w:r w:rsidR="004C6E06">
        <w:rPr>
          <w:rFonts w:hint="eastAsia"/>
        </w:rPr>
        <w:t>）</w:t>
      </w:r>
      <w:r w:rsidRPr="00DF411E">
        <w:rPr>
          <w:rFonts w:hint="eastAsia"/>
        </w:rPr>
        <w:t>，</w:t>
      </w:r>
      <w:r w:rsidRPr="00C06D69">
        <w:rPr>
          <w:rFonts w:hint="eastAsia"/>
          <w:b/>
          <w:bCs/>
        </w:rPr>
        <w:t>开放式基金</w:t>
      </w:r>
      <w:r w:rsidRPr="00DF411E">
        <w:rPr>
          <w:rFonts w:hint="eastAsia"/>
        </w:rPr>
        <w:t>的投资者在</w:t>
      </w:r>
      <w:r w:rsidRPr="00296DD1">
        <w:rPr>
          <w:rFonts w:hint="eastAsia"/>
          <w:b/>
          <w:bCs/>
          <w:color w:val="FF0000"/>
        </w:rPr>
        <w:t>柜台</w:t>
      </w:r>
      <w:r w:rsidRPr="00DF411E">
        <w:rPr>
          <w:rFonts w:hint="eastAsia"/>
        </w:rPr>
        <w:t>直接进行申购或赎回。</w:t>
      </w:r>
      <w:r w:rsidR="00860AC5">
        <w:rPr>
          <w:rFonts w:hint="eastAsia"/>
        </w:rPr>
        <w:t>（</w:t>
      </w:r>
      <w:r w:rsidR="00296DD1">
        <w:rPr>
          <w:rFonts w:hint="eastAsia"/>
        </w:rPr>
        <w:t>由</w:t>
      </w:r>
      <w:r w:rsidR="00BD39AF" w:rsidRPr="00BD39AF">
        <w:rPr>
          <w:rFonts w:hint="eastAsia"/>
          <w:highlight w:val="cyan"/>
          <w:shd w:val="pct15" w:color="auto" w:fill="FFFFFF"/>
        </w:rPr>
        <w:t>基金单位净值</w:t>
      </w:r>
      <w:r w:rsidR="00296DD1">
        <w:rPr>
          <w:rFonts w:hint="eastAsia"/>
        </w:rPr>
        <w:t>所决定</w:t>
      </w:r>
      <w:r w:rsidR="00860AC5">
        <w:rPr>
          <w:rFonts w:hint="eastAsia"/>
        </w:rPr>
        <w:t>）</w:t>
      </w:r>
      <w:r w:rsidR="00C06D69" w:rsidRPr="00C06D69">
        <w:rPr>
          <w:rFonts w:hint="eastAsia"/>
          <w:b/>
          <w:bCs/>
        </w:rPr>
        <w:t xml:space="preserve"> </w:t>
      </w:r>
      <w:r w:rsidR="00C06D69" w:rsidRPr="00C33D3D">
        <w:rPr>
          <w:b/>
          <w:bCs/>
          <w:highlight w:val="yellow"/>
          <w:u w:val="single"/>
        </w:rPr>
        <w:t>ETF</w:t>
      </w:r>
      <w:r w:rsidR="00C55D94" w:rsidRPr="00C55D94">
        <w:rPr>
          <w:rFonts w:hint="eastAsia"/>
        </w:rPr>
        <w:t>交易型开放式指数基金</w:t>
      </w:r>
      <w:r w:rsidR="00C55D94">
        <w:rPr>
          <w:rFonts w:hint="eastAsia"/>
        </w:rPr>
        <w:t>（op</w:t>
      </w:r>
      <w:r w:rsidR="00C55D94" w:rsidRPr="007743FA">
        <w:rPr>
          <w:rFonts w:hint="eastAsia"/>
          <w:b/>
          <w:bCs/>
        </w:rPr>
        <w:t>e</w:t>
      </w:r>
      <w:r w:rsidR="00C55D94">
        <w:rPr>
          <w:rFonts w:hint="eastAsia"/>
        </w:rPr>
        <w:t>n）</w:t>
      </w:r>
      <w:r w:rsidR="00C06D69" w:rsidRPr="00C33D3D">
        <w:rPr>
          <w:rFonts w:hint="eastAsia"/>
          <w:highlight w:val="yellow"/>
          <w:u w:val="single"/>
        </w:rPr>
        <w:t>开放式但是在交易所</w:t>
      </w:r>
      <w:r w:rsidR="00C06D69" w:rsidRPr="00C33D3D">
        <w:rPr>
          <w:rFonts w:hint="eastAsia"/>
          <w:highlight w:val="yellow"/>
        </w:rPr>
        <w:t>交易</w:t>
      </w:r>
      <w:r w:rsidR="00FB34ED">
        <w:rPr>
          <w:rFonts w:hint="eastAsia"/>
          <w:highlight w:val="yellow"/>
        </w:rPr>
        <w:t>（当然柜台也行）</w:t>
      </w:r>
    </w:p>
    <w:p w14:paraId="463EC189" w14:textId="77777777" w:rsidR="000E515F" w:rsidRPr="00DF411E" w:rsidRDefault="00B32127" w:rsidP="000E515F">
      <w:pPr>
        <w:ind w:firstLineChars="200" w:firstLine="420"/>
      </w:pPr>
      <w:r w:rsidRPr="00DF411E">
        <w:rPr>
          <w:rFonts w:hint="eastAsia"/>
        </w:rPr>
        <w:t>(5)</w:t>
      </w:r>
      <w:r w:rsidRPr="00E3149B">
        <w:rPr>
          <w:rFonts w:hint="eastAsia"/>
          <w:b/>
          <w:bCs/>
        </w:rPr>
        <w:t>收益稳定</w:t>
      </w:r>
      <w:r w:rsidRPr="00DF411E">
        <w:rPr>
          <w:rFonts w:hint="eastAsia"/>
        </w:rPr>
        <w:t>。基金的投资者按照持有的</w:t>
      </w:r>
      <w:r w:rsidRPr="00DF411E">
        <w:t>“</w:t>
      </w:r>
      <w:r w:rsidRPr="00DF411E">
        <w:rPr>
          <w:rFonts w:hint="eastAsia"/>
        </w:rPr>
        <w:t>基金单位</w:t>
      </w:r>
      <w:r w:rsidRPr="00DF411E">
        <w:t>”</w:t>
      </w:r>
      <w:r w:rsidRPr="00DF411E">
        <w:rPr>
          <w:rFonts w:hint="eastAsia"/>
        </w:rPr>
        <w:t>份额分享基金的增值效益，一般而言，投资基金采取组合投资，一定程度上分散了风险，收益比较稳定。</w:t>
      </w:r>
    </w:p>
    <w:p w14:paraId="709383C7" w14:textId="77777777" w:rsidR="00B32127" w:rsidRPr="00DF411E" w:rsidRDefault="00B32127" w:rsidP="000E515F">
      <w:r w:rsidRPr="00DF411E">
        <w:rPr>
          <w:rFonts w:hint="eastAsia"/>
          <w:b/>
          <w:bCs/>
        </w:rPr>
        <w:t>二.证券投资基金的类型</w:t>
      </w:r>
    </w:p>
    <w:p w14:paraId="66334F6B" w14:textId="6E294A32" w:rsidR="000E515F" w:rsidRPr="00DF411E" w:rsidRDefault="00B32127" w:rsidP="000E515F">
      <w:pPr>
        <w:ind w:firstLineChars="200" w:firstLine="420"/>
      </w:pPr>
      <w:r w:rsidRPr="00DF411E">
        <w:rPr>
          <w:rFonts w:hint="eastAsia"/>
          <w:bCs/>
        </w:rPr>
        <w:t>1.按基金的组织形式可分为</w:t>
      </w:r>
      <w:r w:rsidRPr="00BE7861">
        <w:rPr>
          <w:rFonts w:hint="eastAsia"/>
          <w:b/>
          <w:highlight w:val="yellow"/>
        </w:rPr>
        <w:t>契约型</w:t>
      </w:r>
      <w:r w:rsidRPr="00BE7861">
        <w:rPr>
          <w:rFonts w:hint="eastAsia"/>
          <w:bCs/>
          <w:highlight w:val="yellow"/>
        </w:rPr>
        <w:t>基金</w:t>
      </w:r>
      <w:r w:rsidR="00EA3D36">
        <w:rPr>
          <w:rFonts w:hint="eastAsia"/>
          <w:bCs/>
        </w:rPr>
        <w:t>（</w:t>
      </w:r>
      <w:r w:rsidR="00EA3D36" w:rsidRPr="00132AA0">
        <w:rPr>
          <w:rFonts w:ascii="等线" w:eastAsia="等线" w:hAnsi="等线" w:cs="等线" w:hint="eastAsia"/>
          <w:highlight w:val="cyan"/>
        </w:rPr>
        <w:t>我国证券基金的组织形式：</w:t>
      </w:r>
      <w:r w:rsidR="00EA3D36" w:rsidRPr="00132AA0">
        <w:rPr>
          <w:rFonts w:ascii="等线" w:eastAsia="等线" w:hAnsi="等线" w:cs="等线" w:hint="eastAsia"/>
          <w:color w:val="FF0000"/>
          <w:highlight w:val="cyan"/>
        </w:rPr>
        <w:t>契约型基金</w:t>
      </w:r>
      <w:r w:rsidR="00EA3D36" w:rsidRPr="00132AA0">
        <w:rPr>
          <w:rFonts w:ascii="等线" w:eastAsia="等线" w:hAnsi="等线" w:cs="等线" w:hint="eastAsia"/>
          <w:highlight w:val="cyan"/>
        </w:rPr>
        <w:t>；我国证交所采取的是</w:t>
      </w:r>
      <w:r w:rsidR="00EA3D36" w:rsidRPr="00132AA0">
        <w:rPr>
          <w:rFonts w:ascii="等线" w:eastAsia="等线" w:hAnsi="等线" w:cs="等线" w:hint="eastAsia"/>
          <w:color w:val="FF0000"/>
          <w:highlight w:val="cyan"/>
        </w:rPr>
        <w:t>会员制度</w:t>
      </w:r>
      <w:r w:rsidR="00EA3D36">
        <w:rPr>
          <w:rFonts w:hint="eastAsia"/>
          <w:bCs/>
        </w:rPr>
        <w:t>）</w:t>
      </w:r>
      <w:r w:rsidRPr="00DF411E">
        <w:rPr>
          <w:rFonts w:hint="eastAsia"/>
          <w:bCs/>
        </w:rPr>
        <w:t>与</w:t>
      </w:r>
      <w:r w:rsidRPr="00BE7861">
        <w:rPr>
          <w:rFonts w:hint="eastAsia"/>
          <w:bCs/>
          <w:highlight w:val="yellow"/>
        </w:rPr>
        <w:t>公司型基</w:t>
      </w:r>
      <w:r w:rsidRPr="00DF411E">
        <w:rPr>
          <w:rFonts w:hint="eastAsia"/>
          <w:bCs/>
        </w:rPr>
        <w:t xml:space="preserve">金 </w:t>
      </w:r>
    </w:p>
    <w:p w14:paraId="597AABE3" w14:textId="77777777" w:rsidR="000E515F" w:rsidRPr="00DF411E" w:rsidRDefault="00B32127" w:rsidP="000E515F">
      <w:pPr>
        <w:ind w:firstLineChars="200" w:firstLine="420"/>
      </w:pPr>
      <w:r w:rsidRPr="00DF411E">
        <w:rPr>
          <w:rFonts w:hint="eastAsia"/>
          <w:bCs/>
        </w:rPr>
        <w:t>2.按基金的运行方式可分为封闭式基金和开放式基金</w:t>
      </w:r>
    </w:p>
    <w:p w14:paraId="1D0131D1" w14:textId="6DFA28A1" w:rsidR="0071025B" w:rsidRDefault="00B32127" w:rsidP="0071025B">
      <w:pPr>
        <w:ind w:firstLineChars="200" w:firstLine="420"/>
        <w:rPr>
          <w:bCs/>
        </w:rPr>
      </w:pPr>
      <w:r w:rsidRPr="00DF411E">
        <w:rPr>
          <w:rFonts w:hint="eastAsia"/>
          <w:bCs/>
        </w:rPr>
        <w:t>3.按基金的募集方式可分为公募基金和私募基金</w:t>
      </w:r>
    </w:p>
    <w:p w14:paraId="3C5B83E8" w14:textId="280464A3" w:rsidR="0071025B" w:rsidRPr="00DF411E" w:rsidRDefault="0071025B" w:rsidP="0071025B">
      <w:r w:rsidRPr="0071025B">
        <w:rPr>
          <w:rFonts w:hint="eastAsia"/>
          <w:b/>
          <w:bCs/>
        </w:rPr>
        <w:t>公募基金</w:t>
      </w:r>
      <w:r>
        <w:rPr>
          <w:rFonts w:hint="eastAsia"/>
        </w:rPr>
        <w:t xml:space="preserve"> </w:t>
      </w:r>
      <w:r w:rsidRPr="0071025B">
        <w:t>以公开方式向社会公众投资者募集资金并以证券为主要投资对象的证券投资基金</w:t>
      </w:r>
    </w:p>
    <w:p w14:paraId="59CFE668" w14:textId="599E7F13" w:rsidR="00B32127" w:rsidRPr="00DF411E" w:rsidRDefault="00B32127" w:rsidP="00027C59">
      <w:r w:rsidRPr="00DF411E">
        <w:rPr>
          <w:rFonts w:hint="eastAsia"/>
          <w:b/>
        </w:rPr>
        <w:t>私募基金</w:t>
      </w:r>
      <w:r w:rsidR="000E515F" w:rsidRPr="00DF411E">
        <w:rPr>
          <w:rFonts w:hint="eastAsia"/>
          <w:b/>
        </w:rPr>
        <w:t>：</w:t>
      </w:r>
      <w:r w:rsidRPr="00DF411E">
        <w:rPr>
          <w:rFonts w:hint="eastAsia"/>
        </w:rPr>
        <w:t>是指以</w:t>
      </w:r>
      <w:r w:rsidRPr="00064FB4">
        <w:rPr>
          <w:rFonts w:hint="eastAsia"/>
          <w:b/>
          <w:bCs/>
        </w:rPr>
        <w:t>非</w:t>
      </w:r>
      <w:r w:rsidRPr="00064FB4">
        <w:rPr>
          <w:rFonts w:hint="eastAsia"/>
          <w:b/>
          <w:bCs/>
          <w:u w:val="single"/>
        </w:rPr>
        <w:t>公开方式</w:t>
      </w:r>
      <w:r w:rsidRPr="003B5307">
        <w:rPr>
          <w:rFonts w:hint="eastAsia"/>
          <w:u w:val="single"/>
        </w:rPr>
        <w:t>向特定投资者募集资金</w:t>
      </w:r>
    </w:p>
    <w:p w14:paraId="17C7142D" w14:textId="77777777" w:rsidR="008E4C5A" w:rsidRPr="00DF411E" w:rsidRDefault="008E4C5A" w:rsidP="00027C59">
      <w:r w:rsidRPr="00DF411E">
        <w:rPr>
          <w:rFonts w:hint="eastAsia"/>
          <w:b/>
        </w:rPr>
        <w:t>对冲基金</w:t>
      </w:r>
      <w:r w:rsidR="000E515F" w:rsidRPr="00DF411E">
        <w:rPr>
          <w:rFonts w:hint="eastAsia"/>
          <w:b/>
        </w:rPr>
        <w:t>：</w:t>
      </w:r>
      <w:r w:rsidRPr="00DF411E">
        <w:rPr>
          <w:rFonts w:hint="eastAsia"/>
        </w:rPr>
        <w:t>利用金</w:t>
      </w:r>
      <w:r w:rsidRPr="00064FB4">
        <w:rPr>
          <w:rFonts w:hint="eastAsia"/>
          <w:color w:val="FF0000"/>
        </w:rPr>
        <w:t>融期货和金融期权等金融衍生工具</w:t>
      </w:r>
      <w:r w:rsidRPr="00DF411E">
        <w:rPr>
          <w:rFonts w:hint="eastAsia"/>
        </w:rPr>
        <w:t>与金融工具结合</w:t>
      </w:r>
      <w:r w:rsidRPr="00E3149B">
        <w:rPr>
          <w:rFonts w:hint="eastAsia"/>
          <w:u w:val="single"/>
        </w:rPr>
        <w:t>采用</w:t>
      </w:r>
      <w:r w:rsidRPr="003B5307">
        <w:rPr>
          <w:rFonts w:hint="eastAsia"/>
          <w:b/>
          <w:bCs/>
          <w:u w:val="single"/>
        </w:rPr>
        <w:t>对冲交易手段</w:t>
      </w:r>
      <w:r w:rsidRPr="00E3149B">
        <w:rPr>
          <w:rFonts w:hint="eastAsia"/>
          <w:u w:val="single"/>
        </w:rPr>
        <w:t>来获得盈利</w:t>
      </w:r>
      <w:r w:rsidRPr="00DF411E">
        <w:rPr>
          <w:rFonts w:hint="eastAsia"/>
        </w:rPr>
        <w:t>的基金称为对冲基金(hedge fund)，也称</w:t>
      </w:r>
      <w:r w:rsidRPr="003A21ED">
        <w:rPr>
          <w:rFonts w:hint="eastAsia"/>
          <w:b/>
          <w:bCs/>
        </w:rPr>
        <w:t>避险基金或套期保值基金</w:t>
      </w:r>
      <w:r w:rsidRPr="00DF411E">
        <w:rPr>
          <w:rFonts w:hint="eastAsia"/>
        </w:rPr>
        <w:t>。</w:t>
      </w:r>
      <w:r w:rsidRPr="00064FB4">
        <w:rPr>
          <w:rFonts w:hint="eastAsia"/>
          <w:highlight w:val="yellow"/>
          <w:u w:val="single"/>
        </w:rPr>
        <w:t>对冲基金是私募基金的一种特定类型</w:t>
      </w:r>
      <w:r w:rsidRPr="00DF411E">
        <w:rPr>
          <w:rFonts w:hint="eastAsia"/>
        </w:rPr>
        <w:t>。</w:t>
      </w:r>
    </w:p>
    <w:p w14:paraId="4B5DC782" w14:textId="77777777" w:rsidR="008E4C5A" w:rsidRPr="00DF411E" w:rsidRDefault="008E4C5A" w:rsidP="000E515F">
      <w:r w:rsidRPr="00DF411E">
        <w:rPr>
          <w:rFonts w:hint="eastAsia"/>
        </w:rPr>
        <w:t>对冲基金的特点：</w:t>
      </w:r>
      <w:r w:rsidRPr="00E3149B">
        <w:rPr>
          <w:rFonts w:hint="eastAsia"/>
          <w:b/>
          <w:bCs/>
        </w:rPr>
        <w:t>追求</w:t>
      </w:r>
      <w:r w:rsidRPr="00030584">
        <w:rPr>
          <w:rFonts w:hint="eastAsia"/>
          <w:b/>
          <w:bCs/>
          <w:u w:val="single"/>
        </w:rPr>
        <w:t>绝对收益，</w:t>
      </w:r>
      <w:r w:rsidRPr="00E3149B">
        <w:rPr>
          <w:rFonts w:hint="eastAsia"/>
          <w:b/>
          <w:bCs/>
        </w:rPr>
        <w:t>运用</w:t>
      </w:r>
      <w:r w:rsidRPr="00030584">
        <w:rPr>
          <w:rFonts w:hint="eastAsia"/>
          <w:b/>
          <w:bCs/>
          <w:u w:val="single"/>
        </w:rPr>
        <w:t>大类资产</w:t>
      </w:r>
      <w:r w:rsidRPr="00E3149B">
        <w:rPr>
          <w:rFonts w:hint="eastAsia"/>
          <w:b/>
          <w:bCs/>
        </w:rPr>
        <w:t>，运用</w:t>
      </w:r>
      <w:r w:rsidRPr="00030584">
        <w:rPr>
          <w:rFonts w:hint="eastAsia"/>
          <w:b/>
          <w:bCs/>
          <w:u w:val="single"/>
        </w:rPr>
        <w:t>复杂交易技术</w:t>
      </w:r>
      <w:r w:rsidRPr="00DF411E">
        <w:rPr>
          <w:rFonts w:hint="eastAsia"/>
        </w:rPr>
        <w:t>。</w:t>
      </w:r>
    </w:p>
    <w:p w14:paraId="67BB92CD" w14:textId="77777777" w:rsidR="008E4C5A" w:rsidRPr="00DF411E" w:rsidRDefault="008E4C5A" w:rsidP="000E515F">
      <w:r w:rsidRPr="00DF411E">
        <w:rPr>
          <w:rFonts w:hint="eastAsia"/>
          <w:b/>
          <w:bCs/>
        </w:rPr>
        <w:t xml:space="preserve">三.基金的基本运行机制 </w:t>
      </w:r>
    </w:p>
    <w:p w14:paraId="21FBB4BE" w14:textId="77777777" w:rsidR="000E515F" w:rsidRPr="00DF411E" w:rsidRDefault="008E4C5A" w:rsidP="000E515F">
      <w:r w:rsidRPr="00DF411E">
        <w:rPr>
          <w:rFonts w:hint="eastAsia"/>
          <w:b/>
          <w:bCs/>
        </w:rPr>
        <w:t>1.证券投资基金的组织体系</w:t>
      </w:r>
    </w:p>
    <w:p w14:paraId="088C963D" w14:textId="76291A76" w:rsidR="008E4C5A" w:rsidRPr="00AD402D" w:rsidRDefault="008E4C5A" w:rsidP="00AD402D">
      <w:pPr>
        <w:rPr>
          <w:b/>
        </w:rPr>
      </w:pPr>
      <w:r w:rsidRPr="00DF411E">
        <w:rPr>
          <w:rFonts w:hint="eastAsia"/>
          <w:b/>
        </w:rPr>
        <w:t>基金持有人大会</w:t>
      </w:r>
      <w:r w:rsidR="00AD402D">
        <w:rPr>
          <w:rFonts w:hint="eastAsia"/>
          <w:b/>
        </w:rPr>
        <w:t xml:space="preserve"> </w:t>
      </w:r>
      <w:r w:rsidRPr="00DF411E">
        <w:rPr>
          <w:rFonts w:hint="eastAsia"/>
        </w:rPr>
        <w:t>是公司型基金和契约型基金的</w:t>
      </w:r>
      <w:r w:rsidRPr="00BE7861">
        <w:rPr>
          <w:rFonts w:hint="eastAsia"/>
          <w:highlight w:val="yellow"/>
        </w:rPr>
        <w:t>最高权力机构</w:t>
      </w:r>
      <w:r w:rsidRPr="00DF411E">
        <w:rPr>
          <w:rFonts w:hint="eastAsia"/>
        </w:rPr>
        <w:t>。基金持有人大会由基金管理人召集</w:t>
      </w:r>
    </w:p>
    <w:p w14:paraId="146C5EEE" w14:textId="77777777" w:rsidR="008E4C5A" w:rsidRPr="00DF411E" w:rsidRDefault="008E4C5A" w:rsidP="005A061F">
      <w:pPr>
        <w:rPr>
          <w:b/>
        </w:rPr>
      </w:pPr>
      <w:r w:rsidRPr="00DF411E">
        <w:rPr>
          <w:rFonts w:hint="eastAsia"/>
          <w:b/>
        </w:rPr>
        <w:t>2.基金当事人之间的关系</w:t>
      </w:r>
    </w:p>
    <w:p w14:paraId="1C828FDA" w14:textId="77777777" w:rsidR="008E4C5A" w:rsidRPr="00DF411E" w:rsidRDefault="008E4C5A" w:rsidP="005A061F">
      <w:r w:rsidRPr="00DF411E">
        <w:rPr>
          <w:rFonts w:hint="eastAsia"/>
        </w:rPr>
        <w:t>(1)持有人与管理人之间的关系</w:t>
      </w:r>
      <w:r w:rsidR="005A061F" w:rsidRPr="00DF411E">
        <w:rPr>
          <w:rFonts w:hint="eastAsia"/>
        </w:rPr>
        <w:t>：</w:t>
      </w:r>
      <w:r w:rsidRPr="00DF411E">
        <w:rPr>
          <w:rFonts w:hint="eastAsia"/>
        </w:rPr>
        <w:t>基金持有人与基金管理人的关系实质上是</w:t>
      </w:r>
      <w:r w:rsidRPr="00A6520C">
        <w:rPr>
          <w:rFonts w:hint="eastAsia"/>
          <w:highlight w:val="yellow"/>
        </w:rPr>
        <w:t>所有人与经营者</w:t>
      </w:r>
      <w:r w:rsidRPr="00DF411E">
        <w:rPr>
          <w:rFonts w:hint="eastAsia"/>
        </w:rPr>
        <w:t>之间的关系。</w:t>
      </w:r>
    </w:p>
    <w:p w14:paraId="57D56B4C" w14:textId="77777777" w:rsidR="008E4C5A" w:rsidRPr="00DF411E" w:rsidRDefault="008E4C5A" w:rsidP="005A061F">
      <w:r w:rsidRPr="00DF411E">
        <w:rPr>
          <w:rFonts w:hint="eastAsia"/>
        </w:rPr>
        <w:t>(2)管理人与托管人之间的关系</w:t>
      </w:r>
      <w:r w:rsidR="005A061F" w:rsidRPr="00DF411E">
        <w:rPr>
          <w:rFonts w:hint="eastAsia"/>
        </w:rPr>
        <w:t>：</w:t>
      </w:r>
      <w:r w:rsidRPr="00DF411E">
        <w:rPr>
          <w:rFonts w:hint="eastAsia"/>
        </w:rPr>
        <w:t>管理人与托管人之间的关系是</w:t>
      </w:r>
      <w:r w:rsidRPr="00A6520C">
        <w:rPr>
          <w:rFonts w:hint="eastAsia"/>
          <w:highlight w:val="yellow"/>
        </w:rPr>
        <w:t>经营与监管</w:t>
      </w:r>
      <w:r w:rsidRPr="00DF411E">
        <w:rPr>
          <w:rFonts w:hint="eastAsia"/>
        </w:rPr>
        <w:t xml:space="preserve">的关系。　</w:t>
      </w:r>
    </w:p>
    <w:p w14:paraId="318218EE" w14:textId="77777777" w:rsidR="008E4C5A" w:rsidRPr="00DF411E" w:rsidRDefault="008E4C5A" w:rsidP="005A061F">
      <w:r w:rsidRPr="00DF411E">
        <w:rPr>
          <w:rFonts w:hint="eastAsia"/>
        </w:rPr>
        <w:t>(3)持有人与托管人之间的关系</w:t>
      </w:r>
      <w:r w:rsidR="005A061F" w:rsidRPr="00DF411E">
        <w:rPr>
          <w:rFonts w:hint="eastAsia"/>
        </w:rPr>
        <w:t>：</w:t>
      </w:r>
      <w:r w:rsidRPr="00DF411E">
        <w:rPr>
          <w:rFonts w:hint="eastAsia"/>
        </w:rPr>
        <w:t>持有人与托管人的关系是</w:t>
      </w:r>
      <w:r w:rsidRPr="00A6520C">
        <w:rPr>
          <w:rFonts w:hint="eastAsia"/>
          <w:highlight w:val="yellow"/>
        </w:rPr>
        <w:t>委托与受</w:t>
      </w:r>
      <w:r w:rsidRPr="00DF411E">
        <w:rPr>
          <w:rFonts w:hint="eastAsia"/>
        </w:rPr>
        <w:t>托的关系，也就是说，基金持有人把基金资产委托给基金托管人管理。</w:t>
      </w:r>
    </w:p>
    <w:p w14:paraId="7DDD594D" w14:textId="77777777" w:rsidR="002C726B" w:rsidRPr="00DF411E" w:rsidRDefault="002C726B" w:rsidP="00E4112B">
      <w:pPr>
        <w:rPr>
          <w:b/>
          <w:bCs/>
        </w:rPr>
      </w:pPr>
      <w:r w:rsidRPr="00DF411E">
        <w:rPr>
          <w:rFonts w:hint="eastAsia"/>
          <w:b/>
          <w:bCs/>
        </w:rPr>
        <w:t>第四节    衍生金融工具</w:t>
      </w:r>
    </w:p>
    <w:p w14:paraId="2FB7E851" w14:textId="77777777" w:rsidR="00E4112B" w:rsidRPr="00DF411E" w:rsidRDefault="001E2B40" w:rsidP="00E4112B">
      <w:r w:rsidRPr="00DF411E">
        <w:rPr>
          <w:rFonts w:hint="eastAsia"/>
          <w:b/>
          <w:bCs/>
        </w:rPr>
        <w:t>一. 衍生金融工具的概念与种类</w:t>
      </w:r>
    </w:p>
    <w:p w14:paraId="3D584351" w14:textId="1B4285D9" w:rsidR="008E4C5A" w:rsidRPr="00DF411E" w:rsidRDefault="008E4C5A" w:rsidP="00E4112B">
      <w:pPr>
        <w:rPr>
          <w:b/>
        </w:rPr>
      </w:pPr>
      <w:r w:rsidRPr="00DF411E">
        <w:rPr>
          <w:rFonts w:hint="eastAsia"/>
          <w:b/>
        </w:rPr>
        <w:t>1.衍生金融工具的含义</w:t>
      </w:r>
      <w:r w:rsidR="00E4112B" w:rsidRPr="00DF411E">
        <w:rPr>
          <w:rFonts w:hint="eastAsia"/>
          <w:b/>
        </w:rPr>
        <w:t>：</w:t>
      </w:r>
      <w:r w:rsidRPr="00DF411E">
        <w:rPr>
          <w:rFonts w:hint="eastAsia"/>
        </w:rPr>
        <w:t>是指其</w:t>
      </w:r>
      <w:r w:rsidRPr="007743FA">
        <w:rPr>
          <w:rFonts w:hint="eastAsia"/>
          <w:b/>
          <w:bCs/>
        </w:rPr>
        <w:t>价值</w:t>
      </w:r>
      <w:r w:rsidRPr="00DF411E">
        <w:rPr>
          <w:rFonts w:hint="eastAsia"/>
        </w:rPr>
        <w:t>依赖于</w:t>
      </w:r>
      <w:r w:rsidRPr="00E3149B">
        <w:rPr>
          <w:rFonts w:hint="eastAsia"/>
          <w:u w:val="single"/>
        </w:rPr>
        <w:t>其他更基本的标的变量</w:t>
      </w:r>
      <w:r w:rsidRPr="00DF411E">
        <w:rPr>
          <w:rFonts w:hint="eastAsia"/>
        </w:rPr>
        <w:t>的</w:t>
      </w:r>
      <w:r w:rsidRPr="007743FA">
        <w:rPr>
          <w:rFonts w:hint="eastAsia"/>
          <w:b/>
          <w:bCs/>
          <w:color w:val="FF0000"/>
        </w:rPr>
        <w:t>证券</w:t>
      </w:r>
      <w:r w:rsidRPr="00DF411E">
        <w:rPr>
          <w:rFonts w:hint="eastAsia"/>
        </w:rPr>
        <w:t>。其特点之一便是</w:t>
      </w:r>
      <w:r w:rsidRPr="00D262B7">
        <w:rPr>
          <w:rFonts w:hint="eastAsia"/>
          <w:b/>
          <w:bCs/>
        </w:rPr>
        <w:t>契约性</w:t>
      </w:r>
      <w:r w:rsidRPr="00DF411E">
        <w:rPr>
          <w:rFonts w:hint="eastAsia"/>
        </w:rPr>
        <w:t>，</w:t>
      </w:r>
      <w:r w:rsidR="00FD2B13" w:rsidRPr="00492DA0">
        <w:rPr>
          <w:rFonts w:hint="eastAsia"/>
          <w:b/>
          <w:bCs/>
          <w:color w:val="FF0000"/>
        </w:rPr>
        <w:t>有期限</w:t>
      </w:r>
    </w:p>
    <w:p w14:paraId="7E1B56BC" w14:textId="77777777" w:rsidR="00E4112B" w:rsidRPr="00DF411E" w:rsidRDefault="008E4C5A" w:rsidP="00E4112B">
      <w:pPr>
        <w:rPr>
          <w:b/>
        </w:rPr>
      </w:pPr>
      <w:r w:rsidRPr="00DF411E">
        <w:rPr>
          <w:rFonts w:hint="eastAsia"/>
          <w:b/>
        </w:rPr>
        <w:t>2.衍生金融工具的种类</w:t>
      </w:r>
    </w:p>
    <w:p w14:paraId="79DB621B" w14:textId="101D3902" w:rsidR="00E4112B" w:rsidRPr="00DF411E" w:rsidRDefault="008E4C5A" w:rsidP="00E4112B">
      <w:r w:rsidRPr="00DF411E">
        <w:rPr>
          <w:rFonts w:hint="eastAsia"/>
          <w:b/>
        </w:rPr>
        <w:t>(1)</w:t>
      </w:r>
      <w:r w:rsidRPr="003A7934">
        <w:rPr>
          <w:rFonts w:hint="eastAsia"/>
          <w:b/>
          <w:color w:val="FF0000"/>
        </w:rPr>
        <w:t>期货</w:t>
      </w:r>
      <w:r w:rsidRPr="00DF411E">
        <w:rPr>
          <w:rFonts w:hint="eastAsia"/>
          <w:b/>
        </w:rPr>
        <w:t>合约</w:t>
      </w:r>
      <w:r w:rsidR="00E4112B" w:rsidRPr="00DF411E">
        <w:rPr>
          <w:rFonts w:hint="eastAsia"/>
          <w:b/>
        </w:rPr>
        <w:t>:</w:t>
      </w:r>
      <w:r w:rsidRPr="00DF411E">
        <w:rPr>
          <w:rFonts w:hint="eastAsia"/>
        </w:rPr>
        <w:t>是期货交易所制定的标准化合约，对合约到期日及其买卖的资产的种类、数量、质量作出了统一规定。因此，</w:t>
      </w:r>
      <w:r w:rsidRPr="007743FA">
        <w:rPr>
          <w:rFonts w:hint="eastAsia"/>
          <w:b/>
          <w:bCs/>
        </w:rPr>
        <w:t>期货交易流动性较高，远期交易流动性较低。</w:t>
      </w:r>
      <w:r w:rsidR="0080010B">
        <w:rPr>
          <w:rFonts w:hint="eastAsia"/>
        </w:rPr>
        <w:t>（买的是</w:t>
      </w:r>
      <w:r w:rsidR="0080010B" w:rsidRPr="005B1CBC">
        <w:rPr>
          <w:rFonts w:hint="eastAsia"/>
          <w:highlight w:val="yellow"/>
        </w:rPr>
        <w:t>实物</w:t>
      </w:r>
      <w:r w:rsidR="0080010B">
        <w:rPr>
          <w:rFonts w:hint="eastAsia"/>
        </w:rPr>
        <w:t>）</w:t>
      </w:r>
    </w:p>
    <w:p w14:paraId="704F90BB" w14:textId="15A53982" w:rsidR="00B82E20" w:rsidRPr="00DF411E" w:rsidRDefault="006D1C28" w:rsidP="00B82E20">
      <w:pPr>
        <w:rPr>
          <w:b/>
        </w:rPr>
      </w:pPr>
      <w:r w:rsidRPr="00DF411E">
        <w:rPr>
          <w:rFonts w:hint="eastAsia"/>
        </w:rPr>
        <w:t>股价指数期货合约</w:t>
      </w:r>
      <w:r w:rsidR="00E4112B" w:rsidRPr="00DF411E">
        <w:rPr>
          <w:rFonts w:hint="eastAsia"/>
          <w:b/>
        </w:rPr>
        <w:t>:</w:t>
      </w:r>
      <w:r w:rsidRPr="00DF411E">
        <w:rPr>
          <w:rFonts w:hint="eastAsia"/>
        </w:rPr>
        <w:t>以股价指数作为标的物的期货合约,其报价是用指数点的方法,由指数的点数乘以一个固定的金额</w:t>
      </w:r>
      <w:r w:rsidR="00B82E20" w:rsidRPr="00DF411E">
        <w:rPr>
          <w:rFonts w:hint="eastAsia"/>
          <w:b/>
        </w:rPr>
        <w:t>。</w:t>
      </w:r>
      <w:r w:rsidR="003A7934">
        <w:rPr>
          <w:rFonts w:hint="eastAsia"/>
        </w:rPr>
        <w:t>（有很多逼仓的出现，</w:t>
      </w:r>
      <w:r w:rsidR="00535538" w:rsidRPr="00E27FED">
        <w:rPr>
          <w:rFonts w:hint="eastAsia"/>
          <w:b/>
          <w:bCs/>
          <w:color w:val="FF0000"/>
          <w:highlight w:val="yellow"/>
          <w:u w:val="single"/>
        </w:rPr>
        <w:t>最大区别：</w:t>
      </w:r>
      <w:r w:rsidR="003A7934" w:rsidRPr="00535538">
        <w:rPr>
          <w:rFonts w:hint="eastAsia"/>
          <w:b/>
          <w:bCs/>
          <w:color w:val="FF0000"/>
          <w:highlight w:val="yellow"/>
          <w:u w:val="single"/>
        </w:rPr>
        <w:t>买房和卖方地位对等</w:t>
      </w:r>
      <w:r w:rsidR="003A7934">
        <w:rPr>
          <w:rFonts w:hint="eastAsia"/>
        </w:rPr>
        <w:t>）</w:t>
      </w:r>
    </w:p>
    <w:p w14:paraId="37703791" w14:textId="77777777" w:rsidR="00B82E20" w:rsidRPr="00DF411E" w:rsidRDefault="001E2B40" w:rsidP="00B82E20">
      <w:pPr>
        <w:rPr>
          <w:b/>
        </w:rPr>
      </w:pPr>
      <w:r w:rsidRPr="00DF411E">
        <w:rPr>
          <w:rFonts w:hint="eastAsia"/>
        </w:rPr>
        <w:t>合约规格涉及的基本要素：</w:t>
      </w:r>
    </w:p>
    <w:p w14:paraId="2C7F1599" w14:textId="65F539D6" w:rsidR="00AE0EE0" w:rsidRPr="00BA2F4E" w:rsidRDefault="00AE0EE0" w:rsidP="00AE0EE0">
      <w:pPr>
        <w:rPr>
          <w:b/>
          <w:bCs/>
          <w:color w:val="C45911" w:themeColor="accent2" w:themeShade="BF"/>
        </w:rPr>
      </w:pPr>
      <w:r w:rsidRPr="00BA2F4E">
        <w:rPr>
          <w:rFonts w:hint="eastAsia"/>
          <w:b/>
          <w:bCs/>
          <w:color w:val="C45911" w:themeColor="accent2" w:themeShade="BF"/>
        </w:rPr>
        <w:t>利率来源：零和，我赚的是你亏的</w:t>
      </w:r>
    </w:p>
    <w:p w14:paraId="42107CE5" w14:textId="17900853" w:rsidR="00B82E20" w:rsidRDefault="006D1C28" w:rsidP="00B82E20">
      <w:r w:rsidRPr="00DF411E">
        <w:rPr>
          <w:rFonts w:hint="eastAsia"/>
          <w:b/>
        </w:rPr>
        <w:t>(2)</w:t>
      </w:r>
      <w:r w:rsidRPr="003A7934">
        <w:rPr>
          <w:rFonts w:hint="eastAsia"/>
          <w:b/>
          <w:color w:val="FF0000"/>
        </w:rPr>
        <w:t>期权</w:t>
      </w:r>
      <w:r w:rsidRPr="00DF411E">
        <w:rPr>
          <w:rFonts w:hint="eastAsia"/>
          <w:b/>
        </w:rPr>
        <w:t>合约</w:t>
      </w:r>
      <w:r w:rsidR="00B82E20" w:rsidRPr="00DF411E">
        <w:rPr>
          <w:rFonts w:hint="eastAsia"/>
          <w:b/>
        </w:rPr>
        <w:t>:</w:t>
      </w:r>
      <w:r w:rsidRPr="00DF411E">
        <w:rPr>
          <w:rFonts w:hint="eastAsia"/>
        </w:rPr>
        <w:t>期权是一种选择权,指赋予期权的购买者</w:t>
      </w:r>
      <w:r w:rsidRPr="00CC3D28">
        <w:rPr>
          <w:rFonts w:hint="eastAsia"/>
          <w:u w:val="single"/>
        </w:rPr>
        <w:t>在一定的时间以一定的价格</w:t>
      </w:r>
      <w:r w:rsidRPr="005812BE">
        <w:rPr>
          <w:rFonts w:hint="eastAsia"/>
          <w:b/>
          <w:bCs/>
          <w:u w:val="single"/>
        </w:rPr>
        <w:t>购买或卖出</w:t>
      </w:r>
      <w:r w:rsidRPr="00CC3D28">
        <w:rPr>
          <w:rFonts w:hint="eastAsia"/>
          <w:u w:val="single"/>
        </w:rPr>
        <w:t>某种商品的权利</w:t>
      </w:r>
      <w:r w:rsidRPr="00DF411E">
        <w:rPr>
          <w:rFonts w:hint="eastAsia"/>
        </w:rPr>
        <w:t>。因此,期权是一种买卖权利的交易。期权合约规定了在某一特定时间、以</w:t>
      </w:r>
      <w:r w:rsidRPr="00DF411E">
        <w:rPr>
          <w:rFonts w:hint="eastAsia"/>
        </w:rPr>
        <w:lastRenderedPageBreak/>
        <w:t>某一特定价格买卖某一特定种类、数量、质量原生资产的权利。期权合同有在交易所上市的标准化合同，也有在柜台交易的非标准化合同。</w:t>
      </w:r>
      <w:r w:rsidR="00CE54DA">
        <w:rPr>
          <w:rFonts w:hint="eastAsia"/>
        </w:rPr>
        <w:t>（比期货更复杂）</w:t>
      </w:r>
      <w:r w:rsidR="00A456FC">
        <w:rPr>
          <w:rFonts w:hint="eastAsia"/>
        </w:rPr>
        <w:t xml:space="preserve"> </w:t>
      </w:r>
      <w:r w:rsidR="00A456FC" w:rsidRPr="00FA5A58">
        <w:rPr>
          <w:rFonts w:hint="eastAsia"/>
          <w:highlight w:val="yellow"/>
        </w:rPr>
        <w:t>时间越长、波动率越大价值越高</w:t>
      </w:r>
    </w:p>
    <w:p w14:paraId="769DC80A" w14:textId="44CAAB72" w:rsidR="00DB6BF8" w:rsidRDefault="00DB6BF8" w:rsidP="00B82E20">
      <w:r>
        <w:rPr>
          <w:rFonts w:hint="eastAsia"/>
        </w:rPr>
        <w:t>买房向卖方</w:t>
      </w:r>
      <w:r w:rsidR="00BB0642">
        <w:rPr>
          <w:rFonts w:hint="eastAsia"/>
        </w:rPr>
        <w:t>支付期权费，可以买看涨期权</w:t>
      </w:r>
      <w:r w:rsidR="00813D56">
        <w:rPr>
          <w:rFonts w:hint="eastAsia"/>
        </w:rPr>
        <w:t>（</w:t>
      </w:r>
      <w:r w:rsidR="00306135">
        <w:rPr>
          <w:rFonts w:hint="eastAsia"/>
        </w:rPr>
        <w:t>又称</w:t>
      </w:r>
      <w:r w:rsidR="00306135" w:rsidRPr="00AA7D47">
        <w:rPr>
          <w:rFonts w:hint="eastAsia"/>
          <w:b/>
          <w:bCs/>
          <w:color w:val="FF0000"/>
        </w:rPr>
        <w:t>买入期权</w:t>
      </w:r>
      <w:r w:rsidR="00B3225E">
        <w:rPr>
          <w:rFonts w:hint="eastAsia"/>
          <w:b/>
          <w:bCs/>
          <w:color w:val="FF0000"/>
        </w:rPr>
        <w:t>（买方更赚）</w:t>
      </w:r>
      <w:r w:rsidR="00306135">
        <w:rPr>
          <w:rFonts w:hint="eastAsia"/>
        </w:rPr>
        <w:t>，</w:t>
      </w:r>
      <w:r w:rsidR="00813D56">
        <w:rPr>
          <w:rFonts w:hint="eastAsia"/>
        </w:rPr>
        <w:t>买方风险</w:t>
      </w:r>
      <w:r w:rsidR="002F1FFA">
        <w:rPr>
          <w:rFonts w:hint="eastAsia"/>
        </w:rPr>
        <w:t>是</w:t>
      </w:r>
      <w:r w:rsidR="00813D56" w:rsidRPr="00DE70C0">
        <w:rPr>
          <w:rFonts w:hint="eastAsia"/>
          <w:b/>
          <w:bCs/>
          <w:color w:val="C45911" w:themeColor="accent2" w:themeShade="BF"/>
          <w:highlight w:val="yellow"/>
          <w:u w:val="single"/>
        </w:rPr>
        <w:t>期权费损失</w:t>
      </w:r>
      <w:r w:rsidR="00813D56">
        <w:rPr>
          <w:rFonts w:hint="eastAsia"/>
        </w:rPr>
        <w:t>，</w:t>
      </w:r>
      <w:r w:rsidR="00813D56" w:rsidRPr="00587839">
        <w:rPr>
          <w:rFonts w:hint="eastAsia"/>
          <w:u w:val="single"/>
        </w:rPr>
        <w:t>收益是</w:t>
      </w:r>
      <w:r w:rsidR="00813D56" w:rsidRPr="00DE70C0">
        <w:rPr>
          <w:rFonts w:hint="eastAsia"/>
          <w:highlight w:val="yellow"/>
          <w:u w:val="single"/>
        </w:rPr>
        <w:t>无穷大</w:t>
      </w:r>
      <w:r w:rsidR="0043457C" w:rsidRPr="0043457C">
        <w:rPr>
          <w:rFonts w:hint="eastAsia"/>
        </w:rPr>
        <w:t>；</w:t>
      </w:r>
      <w:r w:rsidR="00BF697C">
        <w:rPr>
          <w:rFonts w:hint="eastAsia"/>
        </w:rPr>
        <w:t>卖方风险是</w:t>
      </w:r>
      <w:r w:rsidR="00961281">
        <w:rPr>
          <w:rFonts w:hint="eastAsia"/>
        </w:rPr>
        <w:t>无穷大</w:t>
      </w:r>
      <w:r w:rsidR="00BF697C">
        <w:rPr>
          <w:rFonts w:hint="eastAsia"/>
        </w:rPr>
        <w:t>，收益是期权费</w:t>
      </w:r>
      <w:r w:rsidR="00813D56">
        <w:rPr>
          <w:rFonts w:hint="eastAsia"/>
        </w:rPr>
        <w:t>）</w:t>
      </w:r>
      <w:r w:rsidR="00BB0642">
        <w:rPr>
          <w:rFonts w:hint="eastAsia"/>
        </w:rPr>
        <w:t>或者看跌期权</w:t>
      </w:r>
      <w:r w:rsidR="002F1FFA">
        <w:rPr>
          <w:rFonts w:hint="eastAsia"/>
        </w:rPr>
        <w:t>（</w:t>
      </w:r>
      <w:r w:rsidR="00567376" w:rsidRPr="00306135">
        <w:rPr>
          <w:rFonts w:hint="eastAsia"/>
          <w:b/>
          <w:bCs/>
          <w:color w:val="FF0000"/>
        </w:rPr>
        <w:t>卖方期权</w:t>
      </w:r>
      <w:r w:rsidR="00567376">
        <w:rPr>
          <w:rFonts w:hint="eastAsia"/>
        </w:rPr>
        <w:t>，</w:t>
      </w:r>
      <w:r w:rsidR="004470D9">
        <w:rPr>
          <w:rFonts w:hint="eastAsia"/>
        </w:rPr>
        <w:t>买方风险是</w:t>
      </w:r>
      <w:r w:rsidR="004470D9" w:rsidRPr="004470D9">
        <w:rPr>
          <w:rFonts w:hint="eastAsia"/>
          <w:u w:val="single"/>
        </w:rPr>
        <w:t>期权费损失</w:t>
      </w:r>
      <w:r w:rsidR="004470D9">
        <w:rPr>
          <w:rFonts w:hint="eastAsia"/>
        </w:rPr>
        <w:t>，收益是</w:t>
      </w:r>
      <w:r w:rsidR="002F1FFA" w:rsidRPr="00DE70C0">
        <w:rPr>
          <w:rFonts w:hint="eastAsia"/>
          <w:b/>
          <w:bCs/>
          <w:color w:val="C45911" w:themeColor="accent2" w:themeShade="BF"/>
          <w:highlight w:val="yellow"/>
          <w:u w:val="single"/>
        </w:rPr>
        <w:t>行权价-期权</w:t>
      </w:r>
      <w:r w:rsidR="002F1FFA" w:rsidRPr="004470D9">
        <w:rPr>
          <w:rFonts w:hint="eastAsia"/>
          <w:u w:val="single"/>
        </w:rPr>
        <w:t>费</w:t>
      </w:r>
      <w:r w:rsidR="0043457C" w:rsidRPr="0043457C">
        <w:rPr>
          <w:rFonts w:hint="eastAsia"/>
        </w:rPr>
        <w:t>；</w:t>
      </w:r>
      <w:r w:rsidR="00C138B3">
        <w:rPr>
          <w:rFonts w:hint="eastAsia"/>
        </w:rPr>
        <w:t>卖方风险是</w:t>
      </w:r>
      <w:r w:rsidR="00E132AA">
        <w:rPr>
          <w:rFonts w:hint="eastAsia"/>
        </w:rPr>
        <w:t>行权价-期权费</w:t>
      </w:r>
      <w:r w:rsidR="00C138B3">
        <w:rPr>
          <w:rFonts w:hint="eastAsia"/>
        </w:rPr>
        <w:t>，收益是</w:t>
      </w:r>
      <w:r w:rsidR="00E132AA">
        <w:rPr>
          <w:rFonts w:hint="eastAsia"/>
        </w:rPr>
        <w:t>期权费</w:t>
      </w:r>
      <w:r w:rsidR="002F1FFA">
        <w:rPr>
          <w:rFonts w:hint="eastAsia"/>
        </w:rPr>
        <w:t>）</w:t>
      </w:r>
      <w:r w:rsidR="00E27FED">
        <w:rPr>
          <w:rFonts w:hint="eastAsia"/>
        </w:rPr>
        <w:t>，</w:t>
      </w:r>
      <w:r w:rsidR="00E27FED" w:rsidRPr="003D53D8">
        <w:rPr>
          <w:rFonts w:hint="eastAsia"/>
          <w:b/>
          <w:bCs/>
          <w:highlight w:val="yellow"/>
        </w:rPr>
        <w:t>是否行权由买方定</w:t>
      </w:r>
    </w:p>
    <w:p w14:paraId="528B77ED" w14:textId="6E2A1F96" w:rsidR="00A246CA" w:rsidRPr="00DF411E" w:rsidRDefault="00A246CA" w:rsidP="00B82E20">
      <w:r>
        <w:rPr>
          <w:rFonts w:hint="eastAsia"/>
        </w:rPr>
        <w:t>卖方一般是拥有大量现货的</w:t>
      </w:r>
    </w:p>
    <w:p w14:paraId="4CF449DF" w14:textId="040EE346" w:rsidR="006D1C28" w:rsidRPr="00D262B7" w:rsidRDefault="006D1C28" w:rsidP="00D262B7">
      <w:pPr>
        <w:rPr>
          <w:b/>
        </w:rPr>
      </w:pPr>
      <w:r w:rsidRPr="00DF411E">
        <w:rPr>
          <w:rFonts w:hint="eastAsia"/>
          <w:b/>
        </w:rPr>
        <w:t>期权的种类</w:t>
      </w:r>
    </w:p>
    <w:p w14:paraId="52C2CD39" w14:textId="77777777" w:rsidR="006D1C28" w:rsidRPr="00DF411E" w:rsidRDefault="006D1C28" w:rsidP="00302557">
      <w:r w:rsidRPr="00DF411E">
        <w:rPr>
          <w:rFonts w:hint="eastAsia"/>
        </w:rPr>
        <w:t>按权利的时间区分：</w:t>
      </w:r>
    </w:p>
    <w:p w14:paraId="1647DC0D" w14:textId="77777777" w:rsidR="006D1C28" w:rsidRPr="00DF411E" w:rsidRDefault="006D1C28" w:rsidP="00302557">
      <w:pPr>
        <w:ind w:firstLineChars="150" w:firstLine="315"/>
      </w:pPr>
      <w:r w:rsidRPr="00DF411E">
        <w:rPr>
          <w:rFonts w:hint="eastAsia"/>
        </w:rPr>
        <w:t>（1）</w:t>
      </w:r>
      <w:r w:rsidRPr="00C77178">
        <w:rPr>
          <w:rFonts w:hint="eastAsia"/>
          <w:b/>
          <w:bCs/>
        </w:rPr>
        <w:t>美式期权</w:t>
      </w:r>
      <w:r w:rsidRPr="00DF411E">
        <w:t>——</w:t>
      </w:r>
      <w:r w:rsidRPr="00DF411E">
        <w:rPr>
          <w:rFonts w:hint="eastAsia"/>
        </w:rPr>
        <w:t>在期权的到期日（含</w:t>
      </w:r>
      <w:r w:rsidRPr="007743FA">
        <w:rPr>
          <w:rFonts w:hint="eastAsia"/>
          <w:u w:val="single"/>
        </w:rPr>
        <w:t>）之前</w:t>
      </w:r>
      <w:r w:rsidRPr="00DF411E">
        <w:rPr>
          <w:rFonts w:hint="eastAsia"/>
        </w:rPr>
        <w:t>可以执行</w:t>
      </w:r>
    </w:p>
    <w:p w14:paraId="5DD1981E" w14:textId="77777777" w:rsidR="006D1C28" w:rsidRPr="00DF411E" w:rsidRDefault="006D1C28" w:rsidP="00302557">
      <w:pPr>
        <w:ind w:firstLineChars="150" w:firstLine="315"/>
      </w:pPr>
      <w:r w:rsidRPr="00DF411E">
        <w:rPr>
          <w:rFonts w:hint="eastAsia"/>
        </w:rPr>
        <w:t>（2）</w:t>
      </w:r>
      <w:r w:rsidRPr="00C77178">
        <w:rPr>
          <w:rFonts w:hint="eastAsia"/>
          <w:b/>
          <w:bCs/>
        </w:rPr>
        <w:t>欧式</w:t>
      </w:r>
      <w:r w:rsidRPr="00DF411E">
        <w:t>——</w:t>
      </w:r>
      <w:r w:rsidRPr="007743FA">
        <w:rPr>
          <w:rFonts w:hint="eastAsia"/>
          <w:u w:val="single"/>
        </w:rPr>
        <w:t>到期日</w:t>
      </w:r>
      <w:r w:rsidRPr="00DF411E">
        <w:rPr>
          <w:rFonts w:hint="eastAsia"/>
        </w:rPr>
        <w:t xml:space="preserve">才能执行的期权。 </w:t>
      </w:r>
    </w:p>
    <w:p w14:paraId="4CC595FB" w14:textId="77777777" w:rsidR="006D1C28" w:rsidRPr="00DF411E" w:rsidRDefault="006D1C28" w:rsidP="00302557">
      <w:pPr>
        <w:ind w:firstLineChars="150" w:firstLine="315"/>
      </w:pPr>
      <w:r w:rsidRPr="00DF411E">
        <w:rPr>
          <w:rFonts w:hint="eastAsia"/>
        </w:rPr>
        <w:t>（3）</w:t>
      </w:r>
      <w:r w:rsidRPr="00C77178">
        <w:rPr>
          <w:rFonts w:hint="eastAsia"/>
          <w:b/>
          <w:bCs/>
        </w:rPr>
        <w:t>百慕大权</w:t>
      </w:r>
      <w:r w:rsidRPr="00DF411E">
        <w:rPr>
          <w:rFonts w:hint="eastAsia"/>
        </w:rPr>
        <w:t>证综合了美式权证和欧式权证的特点，行权日期是在权证到期日之前的最后几个交易日。</w:t>
      </w:r>
    </w:p>
    <w:p w14:paraId="045D98EA" w14:textId="77777777" w:rsidR="00027C59" w:rsidRPr="00DF411E" w:rsidRDefault="001E2B40" w:rsidP="00027C59">
      <w:r w:rsidRPr="00DF411E">
        <w:rPr>
          <w:rFonts w:hint="eastAsia"/>
          <w:b/>
          <w:bCs/>
        </w:rPr>
        <w:t>二.企业理财中选择衍生金融工具应注意的问题</w:t>
      </w:r>
    </w:p>
    <w:p w14:paraId="15BFF299" w14:textId="77777777" w:rsidR="006D1C28" w:rsidRPr="00DF411E" w:rsidRDefault="006D1C28" w:rsidP="00027C59">
      <w:r w:rsidRPr="00DF411E">
        <w:rPr>
          <w:rFonts w:hint="eastAsia"/>
          <w:b/>
        </w:rPr>
        <w:t>1.选择衍生金融工具时，要充分认识其风</w:t>
      </w:r>
      <w:r w:rsidRPr="00544D45">
        <w:rPr>
          <w:rFonts w:hint="eastAsia"/>
          <w:b/>
          <w:color w:val="FF0000"/>
        </w:rPr>
        <w:t>险性</w:t>
      </w:r>
      <w:r w:rsidR="00027C59" w:rsidRPr="00DF411E">
        <w:rPr>
          <w:rFonts w:hint="eastAsia"/>
          <w:b/>
        </w:rPr>
        <w:t>。</w:t>
      </w:r>
      <w:r w:rsidRPr="00DF411E">
        <w:rPr>
          <w:rFonts w:hint="eastAsia"/>
        </w:rPr>
        <w:t>首先，</w:t>
      </w:r>
      <w:r w:rsidRPr="007743FA">
        <w:rPr>
          <w:rFonts w:hint="eastAsia"/>
          <w:b/>
          <w:bCs/>
        </w:rPr>
        <w:t>衍生交易是转嫁风险而不是消除风险</w:t>
      </w:r>
      <w:r w:rsidRPr="00DF411E">
        <w:rPr>
          <w:rFonts w:hint="eastAsia"/>
        </w:rPr>
        <w:t>其次，衍生金融工具自身仍存在风险。作为契约性产品，衍生金融工具本身仍存在市场风险、结算风险、信用风险等一系列风险。再次，衍生金融工具在被用作避险工具时，存在可能放大风险的副作用。</w:t>
      </w:r>
    </w:p>
    <w:p w14:paraId="7FCA83C9" w14:textId="77777777" w:rsidR="00027C59" w:rsidRPr="00DF411E" w:rsidRDefault="006D1C28" w:rsidP="00027C59">
      <w:r w:rsidRPr="00DF411E">
        <w:rPr>
          <w:rFonts w:hint="eastAsia"/>
          <w:b/>
          <w:bCs/>
        </w:rPr>
        <w:t>2.选择衍生金融工具交易，应具备</w:t>
      </w:r>
      <w:r w:rsidRPr="00544D45">
        <w:rPr>
          <w:rFonts w:hint="eastAsia"/>
          <w:b/>
          <w:bCs/>
          <w:color w:val="FF0000"/>
        </w:rPr>
        <w:t>信息充分性</w:t>
      </w:r>
      <w:r w:rsidRPr="00DF411E">
        <w:rPr>
          <w:rFonts w:hint="eastAsia"/>
          <w:b/>
          <w:bCs/>
        </w:rPr>
        <w:t>条件</w:t>
      </w:r>
      <w:r w:rsidR="00027C59" w:rsidRPr="00DF411E">
        <w:rPr>
          <w:rFonts w:hint="eastAsia"/>
          <w:b/>
          <w:bCs/>
        </w:rPr>
        <w:t>。</w:t>
      </w:r>
      <w:r w:rsidRPr="00DF411E">
        <w:rPr>
          <w:rFonts w:hint="eastAsia"/>
        </w:rPr>
        <w:t>基于金融业的高风险性和金融经营中普遍存在的信息不对称性。</w:t>
      </w:r>
    </w:p>
    <w:p w14:paraId="172EBCAB" w14:textId="77777777" w:rsidR="006D1C28" w:rsidRPr="00DF411E" w:rsidRDefault="006D1C28" w:rsidP="00027C59">
      <w:r w:rsidRPr="00DF411E">
        <w:rPr>
          <w:rFonts w:hint="eastAsia"/>
          <w:b/>
          <w:bCs/>
        </w:rPr>
        <w:t>3.选择衍生金融工具，应坚</w:t>
      </w:r>
      <w:r w:rsidRPr="000417F2">
        <w:rPr>
          <w:rFonts w:hint="eastAsia"/>
          <w:b/>
          <w:bCs/>
          <w:color w:val="FF0000"/>
        </w:rPr>
        <w:t>持风险控制</w:t>
      </w:r>
      <w:r w:rsidRPr="00DF411E">
        <w:rPr>
          <w:rFonts w:hint="eastAsia"/>
          <w:b/>
          <w:bCs/>
        </w:rPr>
        <w:t>为目的</w:t>
      </w:r>
      <w:r w:rsidR="00027C59" w:rsidRPr="00DF411E">
        <w:rPr>
          <w:rFonts w:hint="eastAsia"/>
        </w:rPr>
        <w:t>。</w:t>
      </w:r>
      <w:r w:rsidRPr="00DF411E">
        <w:rPr>
          <w:rFonts w:hint="eastAsia"/>
        </w:rPr>
        <w:t>企业选择衍生金融工具时常处于缺少专业技能和</w:t>
      </w:r>
      <w:r w:rsidRPr="00DF411E">
        <w:t>“</w:t>
      </w:r>
      <w:r w:rsidRPr="00DF411E">
        <w:rPr>
          <w:rFonts w:hint="eastAsia"/>
        </w:rPr>
        <w:t>信息不对称</w:t>
      </w:r>
      <w:r w:rsidRPr="00DF411E">
        <w:t>”</w:t>
      </w:r>
      <w:r w:rsidRPr="00DF411E">
        <w:rPr>
          <w:rFonts w:hint="eastAsia"/>
        </w:rPr>
        <w:t>不利地位，因此应充分考虑自身的避险需要和风险承受能力，始终坚持以控制风险为目的。</w:t>
      </w:r>
    </w:p>
    <w:p w14:paraId="7708AF54" w14:textId="77777777" w:rsidR="006D1C28" w:rsidRPr="00DF411E" w:rsidRDefault="006D1C28" w:rsidP="00027C59">
      <w:r w:rsidRPr="00DF411E">
        <w:rPr>
          <w:rFonts w:hint="eastAsia"/>
          <w:b/>
          <w:bCs/>
        </w:rPr>
        <w:t>4.选择衍生金融工具，应</w:t>
      </w:r>
      <w:r w:rsidRPr="000417F2">
        <w:rPr>
          <w:rFonts w:hint="eastAsia"/>
          <w:b/>
          <w:bCs/>
          <w:color w:val="FF0000"/>
        </w:rPr>
        <w:t>尽量匹配风险与收益，以对冲风险</w:t>
      </w:r>
      <w:r w:rsidR="00027C59" w:rsidRPr="00DF411E">
        <w:rPr>
          <w:rFonts w:hint="eastAsia"/>
          <w:b/>
          <w:bCs/>
        </w:rPr>
        <w:t>。</w:t>
      </w:r>
    </w:p>
    <w:p w14:paraId="233B2719" w14:textId="77777777" w:rsidR="006D1C28" w:rsidRPr="006A73B4" w:rsidRDefault="006D1C28" w:rsidP="006A73B4">
      <w:pPr>
        <w:jc w:val="center"/>
        <w:rPr>
          <w:color w:val="70AD47" w:themeColor="accent6"/>
          <w:sz w:val="28"/>
          <w:szCs w:val="28"/>
        </w:rPr>
      </w:pPr>
      <w:r w:rsidRPr="006A73B4">
        <w:rPr>
          <w:rFonts w:hint="eastAsia"/>
          <w:b/>
          <w:bCs/>
          <w:color w:val="70AD47" w:themeColor="accent6"/>
          <w:sz w:val="28"/>
          <w:szCs w:val="28"/>
        </w:rPr>
        <w:t>第三章证券市场</w:t>
      </w:r>
    </w:p>
    <w:p w14:paraId="2F57AE0B" w14:textId="77777777" w:rsidR="001E2B40" w:rsidRPr="00DF411E" w:rsidRDefault="001E2B40" w:rsidP="00CA76DC">
      <w:pPr>
        <w:rPr>
          <w:b/>
          <w:bCs/>
        </w:rPr>
      </w:pPr>
      <w:r w:rsidRPr="00DF411E">
        <w:rPr>
          <w:rFonts w:hint="eastAsia"/>
          <w:b/>
          <w:bCs/>
        </w:rPr>
        <w:t>第一节   证券市场概述</w:t>
      </w:r>
    </w:p>
    <w:p w14:paraId="51BCAC2B" w14:textId="77777777" w:rsidR="001E2B40" w:rsidRPr="00DF411E" w:rsidRDefault="001E2B40" w:rsidP="00CA76DC">
      <w:r w:rsidRPr="00DF411E">
        <w:rPr>
          <w:rFonts w:hint="eastAsia"/>
          <w:b/>
          <w:bCs/>
        </w:rPr>
        <w:t>一．证券市场概念</w:t>
      </w:r>
    </w:p>
    <w:p w14:paraId="4E25D519" w14:textId="46F86FB4" w:rsidR="00F31074" w:rsidRPr="00DF411E" w:rsidRDefault="00F31074" w:rsidP="00CA76DC">
      <w:r w:rsidRPr="00DF411E">
        <w:rPr>
          <w:b/>
          <w:bCs/>
        </w:rPr>
        <w:t>1．金融市场</w:t>
      </w:r>
      <w:r w:rsidRPr="00DF411E">
        <w:t>——融通货币资金的场所</w:t>
      </w:r>
    </w:p>
    <w:p w14:paraId="1C6CF401" w14:textId="379EE903" w:rsidR="00F31074" w:rsidRPr="00CF07F5" w:rsidRDefault="00F31074" w:rsidP="00CA76DC">
      <w:pPr>
        <w:rPr>
          <w:b/>
          <w:bCs/>
        </w:rPr>
      </w:pPr>
      <w:r w:rsidRPr="00DF411E">
        <w:t>(1)</w:t>
      </w:r>
      <w:r w:rsidRPr="000E3CDB">
        <w:rPr>
          <w:b/>
          <w:bCs/>
          <w:color w:val="FF0000"/>
        </w:rPr>
        <w:t xml:space="preserve"> 短期金融市场</w:t>
      </w:r>
      <w:r w:rsidR="0005764F" w:rsidRPr="000E3CDB">
        <w:rPr>
          <w:rFonts w:hint="eastAsia"/>
          <w:b/>
          <w:bCs/>
          <w:color w:val="FF0000"/>
        </w:rPr>
        <w:t>（货币市场）</w:t>
      </w:r>
      <w:r w:rsidRPr="00DF411E">
        <w:t>——</w:t>
      </w:r>
      <w:r w:rsidRPr="002B4BCF">
        <w:rPr>
          <w:b/>
          <w:bCs/>
          <w:color w:val="FF0000"/>
          <w:u w:val="single"/>
        </w:rPr>
        <w:t>一年以下</w:t>
      </w:r>
      <w:r w:rsidRPr="00DF411E">
        <w:t>资金借贷和短期金融工具交易市场如贴现市场、银行同业折借、</w:t>
      </w:r>
      <w:r w:rsidRPr="002B4BCF">
        <w:rPr>
          <w:b/>
          <w:bCs/>
          <w:color w:val="FF0000"/>
        </w:rPr>
        <w:t>外汇</w:t>
      </w:r>
      <w:r w:rsidRPr="00DF411E">
        <w:t>市场、黄金市场、短期政府债券市场等。</w:t>
      </w:r>
      <w:r w:rsidR="002B4BCF">
        <w:rPr>
          <w:rFonts w:hint="eastAsia"/>
        </w:rPr>
        <w:t>（</w:t>
      </w:r>
      <w:r w:rsidR="002B4BCF" w:rsidRPr="00CF07F5">
        <w:rPr>
          <w:rFonts w:hint="eastAsia"/>
          <w:color w:val="FF0000"/>
          <w:highlight w:val="yellow"/>
        </w:rPr>
        <w:t>间接市场，通过银行等媒介）</w:t>
      </w:r>
    </w:p>
    <w:p w14:paraId="1AD98EA0" w14:textId="26869EC8" w:rsidR="00F31074" w:rsidRPr="00DF411E" w:rsidRDefault="00F31074" w:rsidP="00CA76DC">
      <w:r w:rsidRPr="00DF411E">
        <w:t xml:space="preserve">(2) </w:t>
      </w:r>
      <w:r w:rsidRPr="000E3CDB">
        <w:rPr>
          <w:b/>
          <w:bCs/>
          <w:color w:val="FF0000"/>
        </w:rPr>
        <w:t>长期金融市场</w:t>
      </w:r>
      <w:r w:rsidR="0005764F" w:rsidRPr="000E3CDB">
        <w:rPr>
          <w:rFonts w:hint="eastAsia"/>
          <w:b/>
          <w:bCs/>
          <w:color w:val="FF0000"/>
        </w:rPr>
        <w:t>（资本市场</w:t>
      </w:r>
      <w:r w:rsidR="0005764F">
        <w:rPr>
          <w:rFonts w:hint="eastAsia"/>
        </w:rPr>
        <w:t>）</w:t>
      </w:r>
      <w:r w:rsidRPr="00DF411E">
        <w:t>——一年以上中长期资金借贷和中长期金融工具交易市场，包括：</w:t>
      </w:r>
      <w:r w:rsidRPr="002B4BCF">
        <w:rPr>
          <w:b/>
          <w:bCs/>
          <w:color w:val="FF0000"/>
        </w:rPr>
        <w:t>证券市场</w:t>
      </w:r>
      <w:r w:rsidRPr="00DF411E">
        <w:t>、保险市场、融资租赁市场和中长期信贷市场。</w:t>
      </w:r>
    </w:p>
    <w:p w14:paraId="274155CF" w14:textId="5C5F1312" w:rsidR="00F31074" w:rsidRDefault="00F31074" w:rsidP="000755B8">
      <w:pPr>
        <w:ind w:firstLine="420"/>
      </w:pPr>
      <w:r w:rsidRPr="00DF411E">
        <w:rPr>
          <w:b/>
          <w:bCs/>
        </w:rPr>
        <w:t>证券市场的含义</w:t>
      </w:r>
      <w:r w:rsidRPr="00DF411E">
        <w:t>——进行证券买卖、流通的场所</w:t>
      </w:r>
      <w:r w:rsidR="00CA76DC" w:rsidRPr="00DF411E">
        <w:rPr>
          <w:rFonts w:hint="eastAsia"/>
        </w:rPr>
        <w:t>。</w:t>
      </w:r>
      <w:r w:rsidRPr="00DF411E">
        <w:rPr>
          <w:rFonts w:hint="eastAsia"/>
        </w:rPr>
        <w:t>证券市场是</w:t>
      </w:r>
      <w:r w:rsidRPr="002B4BCF">
        <w:rPr>
          <w:rFonts w:hint="eastAsia"/>
          <w:b/>
          <w:bCs/>
          <w:color w:val="FF0000"/>
        </w:rPr>
        <w:t>长期金融市场（资本市场）</w:t>
      </w:r>
      <w:r w:rsidRPr="00DF411E">
        <w:rPr>
          <w:rFonts w:hint="eastAsia"/>
        </w:rPr>
        <w:t>的一个组成部分。</w:t>
      </w:r>
    </w:p>
    <w:p w14:paraId="1085BD32" w14:textId="77777777" w:rsidR="00CA76DC" w:rsidRPr="00DF411E" w:rsidRDefault="001E2B40" w:rsidP="00CA76DC">
      <w:r w:rsidRPr="00DF411E">
        <w:rPr>
          <w:rFonts w:hint="eastAsia"/>
          <w:b/>
          <w:bCs/>
        </w:rPr>
        <w:t>二.证券市场的功能与作用</w:t>
      </w:r>
    </w:p>
    <w:p w14:paraId="75B7D637" w14:textId="716C3474" w:rsidR="00F31074" w:rsidRPr="00DF411E" w:rsidRDefault="00F31074" w:rsidP="00CA76DC">
      <w:r w:rsidRPr="00DF411E">
        <w:rPr>
          <w:b/>
          <w:bCs/>
        </w:rPr>
        <w:t>1.筹集资金</w:t>
      </w:r>
    </w:p>
    <w:p w14:paraId="28A1FEE2" w14:textId="0EC6886B" w:rsidR="00CA76DC" w:rsidRPr="00DF411E" w:rsidRDefault="00F31074" w:rsidP="00CA76DC">
      <w:r w:rsidRPr="00DF411E">
        <w:rPr>
          <w:b/>
          <w:bCs/>
        </w:rPr>
        <w:t>2.优化资源配置</w:t>
      </w:r>
    </w:p>
    <w:p w14:paraId="69BBE42A" w14:textId="77777777" w:rsidR="00F31074" w:rsidRPr="00DF411E" w:rsidRDefault="00F31074" w:rsidP="00CA76DC">
      <w:r w:rsidRPr="00DF411E">
        <w:rPr>
          <w:b/>
          <w:bCs/>
        </w:rPr>
        <w:t>3.其他作用—</w:t>
      </w:r>
      <w:r w:rsidRPr="00DF411E">
        <w:t>—为投资者提供投资或投机的场所。实现风险转移</w:t>
      </w:r>
    </w:p>
    <w:p w14:paraId="53D84F98" w14:textId="59AA2915" w:rsidR="00F31074" w:rsidRPr="000417F2" w:rsidRDefault="001E2B40" w:rsidP="000417F2">
      <w:pPr>
        <w:rPr>
          <w:b/>
          <w:bCs/>
        </w:rPr>
      </w:pPr>
      <w:r w:rsidRPr="00DF411E">
        <w:rPr>
          <w:rFonts w:hint="eastAsia"/>
          <w:b/>
          <w:bCs/>
        </w:rPr>
        <w:t xml:space="preserve">第二节   证券发行市场     </w:t>
      </w:r>
    </w:p>
    <w:p w14:paraId="2C724D64" w14:textId="77777777" w:rsidR="00F31074" w:rsidRPr="00DF411E" w:rsidRDefault="00F31074" w:rsidP="00D10873">
      <w:pPr>
        <w:rPr>
          <w:b/>
          <w:bCs/>
        </w:rPr>
      </w:pPr>
      <w:r w:rsidRPr="00DF411E">
        <w:rPr>
          <w:rFonts w:hint="eastAsia"/>
          <w:b/>
          <w:bCs/>
        </w:rPr>
        <w:t>二.证券的发行方式</w:t>
      </w:r>
    </w:p>
    <w:p w14:paraId="1A042005" w14:textId="59ACD193" w:rsidR="00450F5D" w:rsidRDefault="00F31074" w:rsidP="00D10873">
      <w:pPr>
        <w:rPr>
          <w:bCs/>
        </w:rPr>
      </w:pPr>
      <w:r w:rsidRPr="00DF411E">
        <w:rPr>
          <w:bCs/>
        </w:rPr>
        <w:t>1.</w:t>
      </w:r>
      <w:r w:rsidRPr="00DF411E">
        <w:rPr>
          <w:rFonts w:hint="eastAsia"/>
          <w:bCs/>
        </w:rPr>
        <w:t>公开发行</w:t>
      </w:r>
      <w:r w:rsidR="003F3196">
        <w:rPr>
          <w:rFonts w:hint="eastAsia"/>
          <w:bCs/>
        </w:rPr>
        <w:t xml:space="preserve"> </w:t>
      </w:r>
      <w:r w:rsidR="003F3196">
        <w:rPr>
          <w:bCs/>
        </w:rPr>
        <w:t xml:space="preserve">     </w:t>
      </w:r>
      <w:r w:rsidR="003F3196" w:rsidRPr="00A47854">
        <w:rPr>
          <w:b/>
        </w:rPr>
        <w:t xml:space="preserve"> IPO</w:t>
      </w:r>
      <w:r w:rsidR="003F3196" w:rsidRPr="00A47854">
        <w:rPr>
          <w:rFonts w:hint="eastAsia"/>
          <w:b/>
        </w:rPr>
        <w:t>首次</w:t>
      </w:r>
      <w:r w:rsidR="00833E92">
        <w:rPr>
          <w:rFonts w:hint="eastAsia"/>
          <w:bCs/>
        </w:rPr>
        <w:t xml:space="preserve"> </w:t>
      </w:r>
      <w:r w:rsidR="003F3196">
        <w:rPr>
          <w:rFonts w:hint="eastAsia"/>
          <w:bCs/>
        </w:rPr>
        <w:t>公开发行</w:t>
      </w:r>
      <w:r w:rsidR="00214CE4">
        <w:rPr>
          <w:rFonts w:hint="eastAsia"/>
          <w:bCs/>
        </w:rPr>
        <w:t>（四</w:t>
      </w:r>
      <w:r w:rsidR="002E646A">
        <w:rPr>
          <w:rFonts w:hint="eastAsia"/>
          <w:bCs/>
        </w:rPr>
        <w:t>亿以上</w:t>
      </w:r>
      <w:r w:rsidR="00214CE4">
        <w:rPr>
          <w:rFonts w:hint="eastAsia"/>
          <w:bCs/>
        </w:rPr>
        <w:t>1</w:t>
      </w:r>
      <w:r w:rsidR="00214CE4">
        <w:rPr>
          <w:bCs/>
        </w:rPr>
        <w:t>0%</w:t>
      </w:r>
      <w:r w:rsidR="002E646A">
        <w:rPr>
          <w:rFonts w:hint="eastAsia"/>
          <w:bCs/>
        </w:rPr>
        <w:t>，以下2</w:t>
      </w:r>
      <w:r w:rsidR="002E646A">
        <w:rPr>
          <w:bCs/>
        </w:rPr>
        <w:t>5%</w:t>
      </w:r>
      <w:r w:rsidR="00214CE4">
        <w:rPr>
          <w:rFonts w:hint="eastAsia"/>
          <w:bCs/>
        </w:rPr>
        <w:t>）</w:t>
      </w:r>
      <w:r w:rsidR="00B77563">
        <w:rPr>
          <w:rFonts w:hint="eastAsia"/>
          <w:bCs/>
        </w:rPr>
        <w:t>，</w:t>
      </w:r>
      <w:r w:rsidR="00B77563" w:rsidRPr="002D7AB7">
        <w:rPr>
          <w:rFonts w:hint="eastAsia"/>
          <w:bCs/>
          <w:highlight w:val="yellow"/>
        </w:rPr>
        <w:t>记录到资本公积金和股本金（扩大注册资本金）</w:t>
      </w:r>
    </w:p>
    <w:p w14:paraId="4A315028" w14:textId="03EC0A9C" w:rsidR="00450F5D" w:rsidRPr="00DF411E" w:rsidRDefault="00450F5D" w:rsidP="00D10873">
      <w:pPr>
        <w:rPr>
          <w:bCs/>
        </w:rPr>
      </w:pPr>
      <w:r w:rsidRPr="007667DB">
        <w:rPr>
          <w:rFonts w:ascii="苹方-简" w:eastAsia="苹方-简" w:hAnsi="苹方-简" w:cs="苹方-简" w:hint="eastAsia"/>
          <w:highlight w:val="yellow"/>
        </w:rPr>
        <w:lastRenderedPageBreak/>
        <w:t>溢价发行超出票面的钱归在资本公积</w:t>
      </w:r>
      <w:r w:rsidR="006E6A9A">
        <w:rPr>
          <w:rFonts w:ascii="苹方-简" w:eastAsia="苹方-简" w:hAnsi="苹方-简" w:cs="苹方-简" w:hint="eastAsia"/>
          <w:highlight w:val="yellow"/>
        </w:rPr>
        <w:t>（</w:t>
      </w:r>
      <w:r w:rsidR="006E6A9A" w:rsidRPr="00C16940">
        <w:rPr>
          <w:rFonts w:ascii="苹方-简" w:eastAsia="苹方-简" w:hAnsi="苹方-简" w:cs="苹方-简" w:hint="eastAsia"/>
          <w:highlight w:val="yellow"/>
        </w:rPr>
        <w:t>股本溢价</w:t>
      </w:r>
      <w:r w:rsidR="006E6A9A">
        <w:rPr>
          <w:rFonts w:ascii="苹方-简" w:eastAsia="苹方-简" w:hAnsi="苹方-简" w:cs="苹方-简" w:hint="eastAsia"/>
          <w:highlight w:val="yellow"/>
        </w:rPr>
        <w:t>）</w:t>
      </w:r>
    </w:p>
    <w:p w14:paraId="4F5DCF62" w14:textId="77777777" w:rsidR="00D10873" w:rsidRPr="00DF411E" w:rsidRDefault="00F31074" w:rsidP="00D10873">
      <w:pPr>
        <w:rPr>
          <w:bCs/>
        </w:rPr>
      </w:pPr>
      <w:r w:rsidRPr="00DF411E">
        <w:rPr>
          <w:bCs/>
        </w:rPr>
        <w:t>2.</w:t>
      </w:r>
      <w:r w:rsidRPr="00DF411E">
        <w:rPr>
          <w:rFonts w:hint="eastAsia"/>
          <w:bCs/>
        </w:rPr>
        <w:t>不公开发行（私募）</w:t>
      </w:r>
    </w:p>
    <w:p w14:paraId="5CE9B5D8" w14:textId="77777777" w:rsidR="00D10873" w:rsidRPr="00DF411E" w:rsidRDefault="00D10873" w:rsidP="00D10873">
      <w:pPr>
        <w:rPr>
          <w:bCs/>
        </w:rPr>
      </w:pPr>
      <w:r w:rsidRPr="00DF411E">
        <w:rPr>
          <w:bCs/>
        </w:rPr>
        <w:t>3.</w:t>
      </w:r>
      <w:r w:rsidR="00F31074" w:rsidRPr="00DF411E">
        <w:rPr>
          <w:rFonts w:hint="eastAsia"/>
          <w:bCs/>
        </w:rPr>
        <w:t>直接发行（自办发行）</w:t>
      </w:r>
    </w:p>
    <w:p w14:paraId="0CF2181B" w14:textId="77777777" w:rsidR="00D10873" w:rsidRPr="00DF411E" w:rsidRDefault="00D10873" w:rsidP="00D10873">
      <w:pPr>
        <w:rPr>
          <w:bCs/>
        </w:rPr>
      </w:pPr>
      <w:r w:rsidRPr="00DF411E">
        <w:rPr>
          <w:bCs/>
        </w:rPr>
        <w:t>4.</w:t>
      </w:r>
      <w:r w:rsidR="00F31074" w:rsidRPr="00DF411E">
        <w:rPr>
          <w:rFonts w:hint="eastAsia"/>
          <w:bCs/>
        </w:rPr>
        <w:t>间接发行（公开发行）</w:t>
      </w:r>
    </w:p>
    <w:p w14:paraId="3E938838" w14:textId="39B24D39" w:rsidR="00F31074" w:rsidRPr="001D15DA" w:rsidRDefault="00F31074" w:rsidP="00D10873">
      <w:pPr>
        <w:rPr>
          <w:b/>
        </w:rPr>
      </w:pPr>
      <w:r w:rsidRPr="00DF411E">
        <w:rPr>
          <w:bCs/>
        </w:rPr>
        <w:t>5.</w:t>
      </w:r>
      <w:r w:rsidR="007F24D0" w:rsidRPr="001D15DA">
        <w:rPr>
          <w:rFonts w:hint="eastAsia"/>
          <w:b/>
        </w:rPr>
        <w:t>再融资：</w:t>
      </w:r>
      <w:r w:rsidRPr="001D15DA">
        <w:rPr>
          <w:rFonts w:hint="eastAsia"/>
          <w:b/>
        </w:rPr>
        <w:t>增资发行（配股</w:t>
      </w:r>
      <w:r w:rsidR="001D15DA">
        <w:rPr>
          <w:rFonts w:hint="eastAsia"/>
          <w:b/>
        </w:rPr>
        <w:t>（向</w:t>
      </w:r>
      <w:r w:rsidR="009E0E5B">
        <w:rPr>
          <w:rFonts w:hint="eastAsia"/>
          <w:b/>
        </w:rPr>
        <w:t>所有</w:t>
      </w:r>
      <w:r w:rsidR="001D15DA">
        <w:rPr>
          <w:rFonts w:hint="eastAsia"/>
          <w:b/>
        </w:rPr>
        <w:t>股东）</w:t>
      </w:r>
      <w:r w:rsidRPr="001D15DA">
        <w:rPr>
          <w:rFonts w:hint="eastAsia"/>
          <w:b/>
        </w:rPr>
        <w:t>、增发</w:t>
      </w:r>
      <w:r w:rsidR="009E0E5B">
        <w:rPr>
          <w:rFonts w:hint="eastAsia"/>
          <w:b/>
        </w:rPr>
        <w:t>（向特定对象）</w:t>
      </w:r>
      <w:r w:rsidRPr="001D15DA">
        <w:rPr>
          <w:rFonts w:hint="eastAsia"/>
          <w:b/>
        </w:rPr>
        <w:t>）</w:t>
      </w:r>
    </w:p>
    <w:p w14:paraId="3CDD9FF7" w14:textId="3A92B5F6" w:rsidR="00F31074" w:rsidRPr="00DF411E" w:rsidRDefault="00F31074" w:rsidP="00F31074">
      <w:pPr>
        <w:ind w:firstLineChars="400" w:firstLine="840"/>
        <w:rPr>
          <w:bCs/>
        </w:rPr>
      </w:pPr>
      <w:r w:rsidRPr="00DF411E">
        <w:rPr>
          <w:rFonts w:hint="eastAsia"/>
          <w:bCs/>
        </w:rPr>
        <w:t xml:space="preserve">配股除权价的计算方法 = </w:t>
      </w:r>
      <w:r w:rsidR="00D051E1" w:rsidRPr="00D051E1">
        <w:rPr>
          <w:bCs/>
          <w:position w:val="-26"/>
        </w:rPr>
        <w:object w:dxaOrig="2860" w:dyaOrig="660" w14:anchorId="7DFFAD23">
          <v:shape id="_x0000_i1026" type="#_x0000_t75" style="width:120pt;height:30pt" o:ole="">
            <v:imagedata r:id="rId10" o:title=""/>
          </v:shape>
          <o:OLEObject Type="Embed" ProgID="Equation.DSMT4" ShapeID="_x0000_i1026" DrawAspect="Content" ObjectID="_1748790216" r:id="rId11"/>
        </w:object>
      </w:r>
      <w:r w:rsidRPr="00DF411E">
        <w:rPr>
          <w:bCs/>
        </w:rPr>
        <w:t xml:space="preserve">        </w:t>
      </w:r>
    </w:p>
    <w:p w14:paraId="4B5531B0" w14:textId="77777777" w:rsidR="00D10873" w:rsidRPr="00DF411E" w:rsidRDefault="006F52DA" w:rsidP="00D10873">
      <w:pPr>
        <w:rPr>
          <w:bCs/>
        </w:rPr>
      </w:pPr>
      <w:r w:rsidRPr="00DF411E">
        <w:rPr>
          <w:rFonts w:hint="eastAsia"/>
          <w:bCs/>
        </w:rPr>
        <w:t>例：</w:t>
      </w:r>
      <w:r w:rsidRPr="00DF411E">
        <w:rPr>
          <w:bCs/>
        </w:rPr>
        <w:t xml:space="preserve"> 市价20元/股</w:t>
      </w:r>
      <w:r w:rsidR="00D10873" w:rsidRPr="00DF411E">
        <w:rPr>
          <w:rFonts w:hint="eastAsia"/>
          <w:bCs/>
        </w:rPr>
        <w:t xml:space="preserve"> </w:t>
      </w:r>
      <w:r w:rsidRPr="00DF411E">
        <w:rPr>
          <w:bCs/>
        </w:rPr>
        <w:t>配股价：10元/股</w:t>
      </w:r>
      <w:r w:rsidR="00D10873" w:rsidRPr="00DF411E">
        <w:rPr>
          <w:rFonts w:hint="eastAsia"/>
          <w:bCs/>
        </w:rPr>
        <w:t xml:space="preserve"> </w:t>
      </w:r>
      <w:r w:rsidRPr="00DF411E">
        <w:rPr>
          <w:bCs/>
        </w:rPr>
        <w:t>配股比例：每10股配3股（即1：0.3）</w:t>
      </w:r>
    </w:p>
    <w:p w14:paraId="1E601085" w14:textId="1B41B0E5" w:rsidR="006F52DA" w:rsidRPr="00DF411E" w:rsidRDefault="006F52DA" w:rsidP="00D10873">
      <w:pPr>
        <w:rPr>
          <w:bCs/>
        </w:rPr>
      </w:pPr>
      <w:r w:rsidRPr="00DF411E">
        <w:rPr>
          <w:bCs/>
        </w:rPr>
        <w:t>则配股除权价</w:t>
      </w:r>
      <w:r w:rsidR="00260CD4" w:rsidRPr="00DF411E">
        <w:rPr>
          <w:bCs/>
        </w:rPr>
        <w:object w:dxaOrig="3090" w:dyaOrig="975" w14:anchorId="6269CE89">
          <v:shape id="_x0000_i1027" type="#_x0000_t75" style="width:78pt;height:18pt" o:ole="">
            <v:imagedata r:id="rId12" o:title=""/>
          </v:shape>
          <o:OLEObject Type="Embed" ProgID="Equation.DSMT4" ShapeID="_x0000_i1027" DrawAspect="Content" ObjectID="_1748790217" r:id="rId13"/>
        </w:object>
      </w:r>
      <w:r w:rsidRPr="00DF411E">
        <w:rPr>
          <w:bCs/>
        </w:rPr>
        <w:t>=17.69</w:t>
      </w:r>
      <w:r w:rsidR="003263CD" w:rsidRPr="00DF411E">
        <w:rPr>
          <w:bCs/>
        </w:rPr>
        <w:t xml:space="preserve"> </w:t>
      </w:r>
    </w:p>
    <w:p w14:paraId="05758FE9" w14:textId="77777777" w:rsidR="001E2B40" w:rsidRPr="00DF411E" w:rsidRDefault="001E2B40" w:rsidP="00260CD4">
      <w:r w:rsidRPr="00DF411E">
        <w:rPr>
          <w:rFonts w:hint="eastAsia"/>
          <w:b/>
          <w:bCs/>
        </w:rPr>
        <w:t>第三节   证券交易市场</w:t>
      </w:r>
    </w:p>
    <w:p w14:paraId="0A1E8FDA" w14:textId="77777777" w:rsidR="001E2B40" w:rsidRPr="00DF411E" w:rsidRDefault="001E2B40" w:rsidP="00260CD4">
      <w:r w:rsidRPr="00DF411E">
        <w:rPr>
          <w:rFonts w:hint="eastAsia"/>
          <w:b/>
          <w:bCs/>
        </w:rPr>
        <w:t>一.证券交易市场结构</w:t>
      </w:r>
    </w:p>
    <w:p w14:paraId="51814622" w14:textId="39A0BE71" w:rsidR="001E2B40" w:rsidRPr="00DF411E" w:rsidRDefault="001E2B40" w:rsidP="00260CD4">
      <w:r w:rsidRPr="00DF411E">
        <w:rPr>
          <w:b/>
          <w:bCs/>
        </w:rPr>
        <w:t>1.证券交易所</w:t>
      </w:r>
      <w:r w:rsidRPr="00DF411E">
        <w:t>——有两种组成方式：公司制</w:t>
      </w:r>
      <w:r w:rsidR="000E5E9E">
        <w:rPr>
          <w:rFonts w:hint="eastAsia"/>
        </w:rPr>
        <w:t>（以盈利为目的，比如香港联交所）</w:t>
      </w:r>
      <w:r w:rsidRPr="00DF411E">
        <w:t>和</w:t>
      </w:r>
      <w:r w:rsidRPr="00F87930">
        <w:rPr>
          <w:highlight w:val="cyan"/>
        </w:rPr>
        <w:t>会员制.</w:t>
      </w:r>
      <w:r w:rsidR="00F87930">
        <w:rPr>
          <w:rFonts w:hint="eastAsia"/>
          <w:highlight w:val="cyan"/>
        </w:rPr>
        <w:t>（如果直接问证券交易所是什么制的，就是会员制）</w:t>
      </w:r>
    </w:p>
    <w:p w14:paraId="676C5912" w14:textId="77777777" w:rsidR="001E2B40" w:rsidRPr="00DF411E" w:rsidRDefault="001E2B40" w:rsidP="00260CD4">
      <w:r w:rsidRPr="00DF411E">
        <w:rPr>
          <w:b/>
          <w:bCs/>
        </w:rPr>
        <w:t>2.场外交易市场</w:t>
      </w:r>
      <w:r w:rsidRPr="00DF411E">
        <w:t>——证券交易所以外的市场</w:t>
      </w:r>
    </w:p>
    <w:p w14:paraId="29183D64" w14:textId="77777777" w:rsidR="004F3ED8" w:rsidRDefault="001E2B40" w:rsidP="00260CD4">
      <w:r w:rsidRPr="00DF411E">
        <w:rPr>
          <w:b/>
          <w:bCs/>
        </w:rPr>
        <w:t>3.第三市场</w:t>
      </w:r>
      <w:r w:rsidRPr="00DF411E">
        <w:t>——已上市</w:t>
      </w:r>
      <w:r w:rsidRPr="00956D0A">
        <w:rPr>
          <w:b/>
          <w:bCs/>
        </w:rPr>
        <w:t>证券的场外交易市场</w:t>
      </w:r>
      <w:r w:rsidRPr="00DF411E">
        <w:t>如场外的</w:t>
      </w:r>
      <w:r w:rsidRPr="00956D0A">
        <w:rPr>
          <w:b/>
          <w:bCs/>
        </w:rPr>
        <w:t>大宗交易</w:t>
      </w:r>
      <w:r w:rsidR="00260CD4" w:rsidRPr="00DF411E">
        <w:rPr>
          <w:rFonts w:hint="eastAsia"/>
        </w:rPr>
        <w:t>，</w:t>
      </w:r>
      <w:r w:rsidRPr="002A75AF">
        <w:rPr>
          <w:u w:val="single"/>
        </w:rPr>
        <w:t>其实是场外市场的一部分</w:t>
      </w:r>
    </w:p>
    <w:p w14:paraId="42A1F5C2" w14:textId="74C29710" w:rsidR="001E2B40" w:rsidRDefault="001E2B40" w:rsidP="00260CD4">
      <w:pPr>
        <w:rPr>
          <w:b/>
          <w:bCs/>
          <w:color w:val="FF0000"/>
        </w:rPr>
      </w:pPr>
      <w:r w:rsidRPr="00DF411E">
        <w:rPr>
          <w:b/>
          <w:bCs/>
        </w:rPr>
        <w:t>4.第四市场</w:t>
      </w:r>
      <w:r w:rsidRPr="00DF411E">
        <w:t>——电子交易市场（电子交易撮合系统</w:t>
      </w:r>
      <w:r w:rsidR="00003815">
        <w:rPr>
          <w:rFonts w:hint="eastAsia"/>
        </w:rPr>
        <w:t>，</w:t>
      </w:r>
      <w:r w:rsidR="00003815" w:rsidRPr="00BD39AF">
        <w:rPr>
          <w:rFonts w:hint="eastAsia"/>
          <w:b/>
          <w:bCs/>
          <w:color w:val="FF0000"/>
          <w:highlight w:val="lightGray"/>
        </w:rPr>
        <w:t>如纳斯达克</w:t>
      </w:r>
    </w:p>
    <w:p w14:paraId="682A3506" w14:textId="2B07DDB1" w:rsidR="001E5B23" w:rsidRPr="001E5B23" w:rsidRDefault="001E5B23" w:rsidP="00260CD4">
      <w:r w:rsidRPr="001E5B23">
        <w:rPr>
          <w:rFonts w:hint="eastAsia"/>
          <w:b/>
          <w:bCs/>
          <w:color w:val="FF0000"/>
        </w:rPr>
        <w:t>二级市场</w:t>
      </w:r>
      <w:r w:rsidRPr="001E5B23">
        <w:rPr>
          <w:rFonts w:hint="eastAsia"/>
        </w:rPr>
        <w:t>由两个部分构成：一是</w:t>
      </w:r>
      <w:r w:rsidRPr="001E5B23">
        <w:rPr>
          <w:rFonts w:hint="eastAsia"/>
          <w:color w:val="FF0000"/>
        </w:rPr>
        <w:t>交易所</w:t>
      </w:r>
      <w:r w:rsidRPr="001E5B23">
        <w:rPr>
          <w:rFonts w:hint="eastAsia"/>
        </w:rPr>
        <w:t>市场，二是场外市场</w:t>
      </w:r>
    </w:p>
    <w:p w14:paraId="2C51EE6F" w14:textId="74D202D3" w:rsidR="008E4C5A" w:rsidRPr="006A73B4" w:rsidRDefault="001E2B40" w:rsidP="006A73B4">
      <w:pPr>
        <w:jc w:val="center"/>
        <w:rPr>
          <w:b/>
          <w:bCs/>
          <w:color w:val="70AD47" w:themeColor="accent6"/>
          <w:sz w:val="28"/>
          <w:szCs w:val="28"/>
        </w:rPr>
      </w:pPr>
      <w:r w:rsidRPr="006A73B4">
        <w:rPr>
          <w:rFonts w:hint="eastAsia"/>
          <w:b/>
          <w:bCs/>
          <w:color w:val="70AD47" w:themeColor="accent6"/>
          <w:sz w:val="28"/>
          <w:szCs w:val="28"/>
        </w:rPr>
        <w:t>第四章 效率市场与资本市场理论</w:t>
      </w:r>
      <w:r w:rsidR="00FC47B6" w:rsidRPr="006A73B4">
        <w:rPr>
          <w:rFonts w:hint="eastAsia"/>
          <w:b/>
          <w:bCs/>
          <w:color w:val="70AD47" w:themeColor="accent6"/>
          <w:sz w:val="28"/>
          <w:szCs w:val="28"/>
        </w:rPr>
        <w:t>（4大理论）</w:t>
      </w:r>
    </w:p>
    <w:p w14:paraId="6230FCD8" w14:textId="4D8BB480" w:rsidR="00177915" w:rsidRPr="00DF411E" w:rsidRDefault="001E2B40" w:rsidP="00260CD4">
      <w:r w:rsidRPr="006A73B4">
        <w:rPr>
          <w:rFonts w:hint="eastAsia"/>
          <w:b/>
          <w:bCs/>
          <w:color w:val="70AD47" w:themeColor="accent6"/>
        </w:rPr>
        <w:t>第一节 效率市场</w:t>
      </w:r>
      <w:r w:rsidR="003918AB">
        <w:rPr>
          <w:rFonts w:hint="eastAsia"/>
          <w:b/>
          <w:bCs/>
          <w:color w:val="70AD47" w:themeColor="accent6"/>
        </w:rPr>
        <w:t xml:space="preserve"> </w:t>
      </w:r>
      <w:r w:rsidR="003918AB" w:rsidRPr="00C128D2">
        <w:rPr>
          <w:rFonts w:hint="eastAsia"/>
          <w:b/>
          <w:bCs/>
          <w:color w:val="70AD47" w:themeColor="accent6"/>
          <w:highlight w:val="cyan"/>
        </w:rPr>
        <w:t>必考</w:t>
      </w:r>
    </w:p>
    <w:p w14:paraId="0C60C5CF" w14:textId="32268D38" w:rsidR="001E2B40" w:rsidRPr="00DF411E" w:rsidRDefault="001E2B40" w:rsidP="00177915">
      <w:r w:rsidRPr="00FD761D">
        <w:rPr>
          <w:rFonts w:hint="eastAsia"/>
          <w:b/>
          <w:bCs/>
          <w:color w:val="FF0000"/>
        </w:rPr>
        <w:t>有效率市场假说 (</w:t>
      </w:r>
      <w:r w:rsidR="003C1E14" w:rsidRPr="00FD761D">
        <w:rPr>
          <w:rFonts w:hint="eastAsia"/>
          <w:b/>
          <w:bCs/>
          <w:color w:val="FF0000"/>
        </w:rPr>
        <w:t>EMH</w:t>
      </w:r>
      <w:r w:rsidRPr="00FD761D">
        <w:rPr>
          <w:rFonts w:hint="eastAsia"/>
          <w:b/>
          <w:bCs/>
          <w:color w:val="FF0000"/>
        </w:rPr>
        <w:t>)-</w:t>
      </w:r>
      <w:r w:rsidRPr="00DF411E">
        <w:rPr>
          <w:rFonts w:hint="eastAsia"/>
        </w:rPr>
        <w:t>-现代投资理论的</w:t>
      </w:r>
      <w:r w:rsidRPr="00BF172E">
        <w:rPr>
          <w:rFonts w:hint="eastAsia"/>
          <w:b/>
          <w:bCs/>
          <w:color w:val="FF0000"/>
        </w:rPr>
        <w:t>两块基石之一</w:t>
      </w:r>
      <w:r w:rsidR="00112474">
        <w:rPr>
          <w:rFonts w:hint="eastAsia"/>
          <w:b/>
          <w:bCs/>
          <w:color w:val="FF0000"/>
        </w:rPr>
        <w:t>（</w:t>
      </w:r>
      <w:r w:rsidR="00112474" w:rsidRPr="006B120C">
        <w:rPr>
          <w:rFonts w:hint="eastAsia"/>
          <w:b/>
          <w:bCs/>
          <w:color w:val="FF0000"/>
          <w:highlight w:val="yellow"/>
        </w:rPr>
        <w:t>均值方差理论和E</w:t>
      </w:r>
      <w:r w:rsidR="00112474" w:rsidRPr="006B120C">
        <w:rPr>
          <w:b/>
          <w:bCs/>
          <w:color w:val="FF0000"/>
          <w:highlight w:val="yellow"/>
        </w:rPr>
        <w:t>MH</w:t>
      </w:r>
    </w:p>
    <w:p w14:paraId="779159C8" w14:textId="0C0473D1" w:rsidR="001E2B40" w:rsidRPr="00DF411E" w:rsidRDefault="001E2B40" w:rsidP="00177915">
      <w:r w:rsidRPr="00DF411E">
        <w:rPr>
          <w:rFonts w:hint="eastAsia"/>
          <w:b/>
          <w:bCs/>
        </w:rPr>
        <w:t>一.效率市场的概念</w:t>
      </w:r>
      <w:r w:rsidR="00177915" w:rsidRPr="00DF411E">
        <w:rPr>
          <w:rFonts w:hint="eastAsia"/>
          <w:b/>
          <w:bCs/>
        </w:rPr>
        <w:t>：</w:t>
      </w:r>
      <w:r w:rsidRPr="00167E08">
        <w:rPr>
          <w:rFonts w:hint="eastAsia"/>
          <w:u w:val="single"/>
        </w:rPr>
        <w:t>证券价格对有关信息的反映</w:t>
      </w:r>
      <w:r w:rsidRPr="000502A5">
        <w:rPr>
          <w:rFonts w:hint="eastAsia"/>
          <w:b/>
          <w:bCs/>
          <w:u w:val="single"/>
        </w:rPr>
        <w:t>速度越快，越全面</w:t>
      </w:r>
      <w:r w:rsidRPr="00167E08">
        <w:rPr>
          <w:rFonts w:hint="eastAsia"/>
          <w:u w:val="single"/>
        </w:rPr>
        <w:t>，证券市场就越有效率</w:t>
      </w:r>
      <w:r w:rsidRPr="00DF411E">
        <w:rPr>
          <w:rFonts w:hint="eastAsia"/>
        </w:rPr>
        <w:t>。</w:t>
      </w:r>
    </w:p>
    <w:p w14:paraId="119D9930" w14:textId="060436B3" w:rsidR="00A43065" w:rsidRPr="00DF411E" w:rsidRDefault="007778CD" w:rsidP="004426C9">
      <w:r w:rsidRPr="00DF411E">
        <w:rPr>
          <w:rFonts w:hint="eastAsia"/>
          <w:b/>
          <w:bCs/>
        </w:rPr>
        <w:t>二.效率市场的三种形式</w:t>
      </w:r>
      <w:r w:rsidR="00177915" w:rsidRPr="00DF411E">
        <w:rPr>
          <w:rFonts w:hint="eastAsia"/>
          <w:b/>
          <w:bCs/>
        </w:rPr>
        <w:t>：</w:t>
      </w:r>
      <w:r w:rsidR="004426C9" w:rsidRPr="00DF411E">
        <w:t xml:space="preserve"> </w:t>
      </w:r>
    </w:p>
    <w:p w14:paraId="70820D45" w14:textId="77777777" w:rsidR="00177915" w:rsidRPr="00DF411E" w:rsidRDefault="007778CD" w:rsidP="00177915">
      <w:r w:rsidRPr="00DF411E">
        <w:rPr>
          <w:rFonts w:hint="eastAsia"/>
          <w:b/>
          <w:bCs/>
        </w:rPr>
        <w:t>1.弱有效率市场</w:t>
      </w:r>
      <w:r w:rsidR="00177915" w:rsidRPr="00DF411E">
        <w:rPr>
          <w:rFonts w:hint="eastAsia"/>
          <w:b/>
          <w:bCs/>
        </w:rPr>
        <w:t>：</w:t>
      </w:r>
      <w:r w:rsidRPr="00DF411E">
        <w:rPr>
          <w:rFonts w:hint="eastAsia"/>
        </w:rPr>
        <w:t>在弱有效率市场上，证券价格已完全反映了</w:t>
      </w:r>
      <w:r w:rsidRPr="006947AA">
        <w:rPr>
          <w:rFonts w:hint="eastAsia"/>
          <w:b/>
          <w:bCs/>
          <w:color w:val="9CC2E5" w:themeColor="accent5" w:themeTint="99"/>
          <w:highlight w:val="yellow"/>
        </w:rPr>
        <w:t>所有的</w:t>
      </w:r>
      <w:r w:rsidRPr="000B15D7">
        <w:rPr>
          <w:rFonts w:hint="eastAsia"/>
          <w:b/>
          <w:bCs/>
          <w:highlight w:val="yellow"/>
        </w:rPr>
        <w:t>历史</w:t>
      </w:r>
      <w:r w:rsidRPr="006947AA">
        <w:rPr>
          <w:rFonts w:hint="eastAsia"/>
          <w:highlight w:val="yellow"/>
        </w:rPr>
        <w:t>信息</w:t>
      </w:r>
      <w:r w:rsidRPr="00DF411E">
        <w:rPr>
          <w:rFonts w:hint="eastAsia"/>
        </w:rPr>
        <w:t>（主要是指价格变化的历史信息），证券价格的未来走向与其历史变化之间是</w:t>
      </w:r>
      <w:r w:rsidRPr="00B842DB">
        <w:rPr>
          <w:rFonts w:hint="eastAsia"/>
          <w:b/>
          <w:bCs/>
          <w:color w:val="538135" w:themeColor="accent6" w:themeShade="BF"/>
        </w:rPr>
        <w:t>相互独立的</w:t>
      </w:r>
      <w:r w:rsidRPr="00DF411E">
        <w:rPr>
          <w:rFonts w:hint="eastAsia"/>
        </w:rPr>
        <w:t>，服从</w:t>
      </w:r>
      <w:r w:rsidRPr="00B842DB">
        <w:rPr>
          <w:rFonts w:hint="eastAsia"/>
          <w:b/>
          <w:bCs/>
          <w:color w:val="538135" w:themeColor="accent6" w:themeShade="BF"/>
        </w:rPr>
        <w:t>随机游走</w:t>
      </w:r>
      <w:r w:rsidRPr="00DF411E">
        <w:rPr>
          <w:rFonts w:hint="eastAsia"/>
        </w:rPr>
        <w:t>理论.在弱有效率市场上，投资者无法依靠对证券价格变化的历史趋势的分析发现所谓证券价格变化规律来始终如一地获取超额利润。对弱有效率市场假说的大量实验检验表明，扣除交易成本后，市场基本上是弱有效率的。对证券价格变化的</w:t>
      </w:r>
      <w:r w:rsidRPr="006947AA">
        <w:rPr>
          <w:rFonts w:hint="eastAsia"/>
          <w:b/>
          <w:bCs/>
          <w:color w:val="70AD47" w:themeColor="accent6"/>
          <w:highlight w:val="yellow"/>
        </w:rPr>
        <w:t>技术分析失效.</w:t>
      </w:r>
    </w:p>
    <w:p w14:paraId="48440F72" w14:textId="1B963A91" w:rsidR="001E2B40" w:rsidRPr="00DF411E" w:rsidRDefault="00EC7BBA" w:rsidP="00177915">
      <w:r w:rsidRPr="00DF411E">
        <w:rPr>
          <w:rFonts w:hint="eastAsia"/>
          <w:b/>
          <w:bCs/>
        </w:rPr>
        <w:t>2.次强有效率市场</w:t>
      </w:r>
      <w:r w:rsidR="00245364" w:rsidRPr="00DF411E">
        <w:rPr>
          <w:rFonts w:hint="eastAsia"/>
          <w:b/>
          <w:bCs/>
        </w:rPr>
        <w:t>：</w:t>
      </w:r>
      <w:r w:rsidRPr="00DF411E">
        <w:rPr>
          <w:rFonts w:hint="eastAsia"/>
        </w:rPr>
        <w:t>次强有效率市场的效率程度要高于弱有效率市场，在次强有效率市场上，证券价格</w:t>
      </w:r>
      <w:r w:rsidRPr="00CC75CC">
        <w:rPr>
          <w:rFonts w:hint="eastAsia"/>
          <w:b/>
          <w:bCs/>
          <w:color w:val="9CC2E5" w:themeColor="accent5" w:themeTint="99"/>
        </w:rPr>
        <w:t>不但完全反映了</w:t>
      </w:r>
      <w:r w:rsidRPr="00DF411E">
        <w:rPr>
          <w:rFonts w:hint="eastAsia"/>
        </w:rPr>
        <w:t>所有</w:t>
      </w:r>
      <w:r w:rsidRPr="006947AA">
        <w:rPr>
          <w:rFonts w:hint="eastAsia"/>
          <w:highlight w:val="yellow"/>
        </w:rPr>
        <w:t>历史信息</w:t>
      </w:r>
      <w:r w:rsidRPr="00DF411E">
        <w:rPr>
          <w:rFonts w:hint="eastAsia"/>
        </w:rPr>
        <w:t>，而且</w:t>
      </w:r>
      <w:r w:rsidRPr="00CC75CC">
        <w:rPr>
          <w:rFonts w:hint="eastAsia"/>
          <w:b/>
          <w:bCs/>
          <w:color w:val="9CC2E5" w:themeColor="accent5" w:themeTint="99"/>
        </w:rPr>
        <w:t>完全反映了所有</w:t>
      </w:r>
      <w:r w:rsidRPr="00FC5E70">
        <w:rPr>
          <w:rFonts w:hint="eastAsia"/>
          <w:b/>
          <w:bCs/>
          <w:color w:val="9CC2E5" w:themeColor="accent5" w:themeTint="99"/>
          <w:highlight w:val="yellow"/>
          <w:u w:val="single"/>
        </w:rPr>
        <w:t>公开发表</w:t>
      </w:r>
      <w:r w:rsidRPr="00CC75CC">
        <w:rPr>
          <w:rFonts w:hint="eastAsia"/>
          <w:b/>
          <w:bCs/>
          <w:color w:val="9CC2E5" w:themeColor="accent5" w:themeTint="99"/>
        </w:rPr>
        <w:t>的信息</w:t>
      </w:r>
      <w:r w:rsidRPr="00DF411E">
        <w:rPr>
          <w:rFonts w:hint="eastAsia"/>
        </w:rPr>
        <w:t>。在次强有效率市场上，各种信息一经公布，证券价格将迅速调整到其应有的水平上，使得任何利用这些公开信息对证券价格的未来走势所做的预测对投资者失去指导意义，从而使投资者</w:t>
      </w:r>
      <w:r w:rsidRPr="005773BE">
        <w:rPr>
          <w:rFonts w:hint="eastAsia"/>
          <w:b/>
          <w:bCs/>
          <w:color w:val="538135" w:themeColor="accent6" w:themeShade="BF"/>
        </w:rPr>
        <w:t>无法利用对所有公开发表的信息的分析</w:t>
      </w:r>
      <w:r w:rsidRPr="00DF411E">
        <w:rPr>
          <w:rFonts w:hint="eastAsia"/>
        </w:rPr>
        <w:t>（主要是指对证券价格变化的基础分析）来始终如一地获取超额利润。</w:t>
      </w:r>
      <w:r w:rsidR="00D55886">
        <w:rPr>
          <w:rFonts w:hint="eastAsia"/>
        </w:rPr>
        <w:t xml:space="preserve"> </w:t>
      </w:r>
      <w:r w:rsidR="00D55886" w:rsidRPr="00EE497C">
        <w:rPr>
          <w:rFonts w:hint="eastAsia"/>
          <w:highlight w:val="yellow"/>
        </w:rPr>
        <w:t>基本面分析和技术分析失效</w:t>
      </w:r>
    </w:p>
    <w:p w14:paraId="6DA5CEF4" w14:textId="22654DAB" w:rsidR="00A7579B" w:rsidRDefault="00EC7BBA" w:rsidP="00177915">
      <w:r w:rsidRPr="00DF411E">
        <w:rPr>
          <w:rFonts w:hint="eastAsia"/>
          <w:b/>
          <w:bCs/>
        </w:rPr>
        <w:t>3.强有效率市场</w:t>
      </w:r>
      <w:r w:rsidR="00245364" w:rsidRPr="00DF411E">
        <w:rPr>
          <w:rFonts w:hint="eastAsia"/>
          <w:b/>
        </w:rPr>
        <w:t>：</w:t>
      </w:r>
      <w:r w:rsidRPr="00DF411E">
        <w:rPr>
          <w:rFonts w:hint="eastAsia"/>
        </w:rPr>
        <w:t>强有效率市场是指证券价格</w:t>
      </w:r>
      <w:r w:rsidRPr="00CC75CC">
        <w:rPr>
          <w:rFonts w:hint="eastAsia"/>
          <w:b/>
          <w:bCs/>
          <w:color w:val="9CC2E5" w:themeColor="accent5" w:themeTint="99"/>
        </w:rPr>
        <w:t>完</w:t>
      </w:r>
      <w:r w:rsidRPr="006947AA">
        <w:rPr>
          <w:rFonts w:hint="eastAsia"/>
          <w:b/>
          <w:bCs/>
          <w:color w:val="9CC2E5" w:themeColor="accent5" w:themeTint="99"/>
          <w:highlight w:val="yellow"/>
        </w:rPr>
        <w:t>全反映了所有与价格变化有关的信息</w:t>
      </w:r>
      <w:r w:rsidRPr="00DF411E">
        <w:rPr>
          <w:rFonts w:hint="eastAsia"/>
        </w:rPr>
        <w:t>，而不管这些信息是否已公开发布。强有效率市场是对市场效率的最严格假设，它要求投资者不仅不能利用所有公开发表的信息（历史的或现实的），而且</w:t>
      </w:r>
      <w:r w:rsidRPr="00FC5E70">
        <w:rPr>
          <w:rFonts w:hint="eastAsia"/>
          <w:b/>
          <w:bCs/>
          <w:color w:val="538135" w:themeColor="accent6" w:themeShade="BF"/>
          <w:highlight w:val="yellow"/>
        </w:rPr>
        <w:t>不能利用内幕信息来</w:t>
      </w:r>
      <w:r w:rsidRPr="005773BE">
        <w:rPr>
          <w:rFonts w:hint="eastAsia"/>
          <w:b/>
          <w:bCs/>
          <w:color w:val="538135" w:themeColor="accent6" w:themeShade="BF"/>
        </w:rPr>
        <w:t>始终如一地在证券市场上牟取超额利润</w:t>
      </w:r>
      <w:r w:rsidRPr="00DF411E">
        <w:rPr>
          <w:rFonts w:hint="eastAsia"/>
        </w:rPr>
        <w:t>。</w:t>
      </w:r>
      <w:r w:rsidR="00A7579B">
        <w:rPr>
          <w:rFonts w:hint="eastAsia"/>
        </w:rPr>
        <w:t>无法从内幕消息，公开信息，历史信息获利</w:t>
      </w:r>
      <w:r w:rsidR="001619ED">
        <w:rPr>
          <w:rFonts w:hint="eastAsia"/>
        </w:rPr>
        <w:t>。基本分析失效，技术分析失效，内幕分析</w:t>
      </w:r>
      <w:r w:rsidR="00C579E5">
        <w:rPr>
          <w:rFonts w:hint="eastAsia"/>
        </w:rPr>
        <w:t xml:space="preserve"> </w:t>
      </w:r>
      <w:r w:rsidR="00C579E5">
        <w:t xml:space="preserve"> </w:t>
      </w:r>
      <w:r w:rsidR="00C579E5" w:rsidRPr="00145B14">
        <w:rPr>
          <w:rFonts w:hint="eastAsia"/>
          <w:color w:val="FF0000"/>
        </w:rPr>
        <w:t>用消极保守的投资策略</w:t>
      </w:r>
      <w:r w:rsidR="0058663A">
        <w:rPr>
          <w:rFonts w:hint="eastAsia"/>
          <w:color w:val="FF0000"/>
        </w:rPr>
        <w:t>（另外两个一般采用积极的策略）</w:t>
      </w:r>
    </w:p>
    <w:p w14:paraId="234CE080" w14:textId="369EB59D" w:rsidR="00584586" w:rsidRPr="00584586" w:rsidRDefault="00584586" w:rsidP="00177915">
      <w:pPr>
        <w:rPr>
          <w:b/>
          <w:bCs/>
        </w:rPr>
      </w:pPr>
      <w:r w:rsidRPr="00584586">
        <w:rPr>
          <w:rFonts w:hint="eastAsia"/>
          <w:b/>
          <w:bCs/>
        </w:rPr>
        <w:t>现实是那种，应该都不是</w:t>
      </w:r>
      <w:r w:rsidR="00D07A16">
        <w:rPr>
          <w:rFonts w:hint="eastAsia"/>
          <w:b/>
          <w:bCs/>
        </w:rPr>
        <w:t>。</w:t>
      </w:r>
      <w:r w:rsidR="00992543">
        <w:rPr>
          <w:rFonts w:hint="eastAsia"/>
          <w:b/>
          <w:bCs/>
        </w:rPr>
        <w:t>首先具有信息差，就算</w:t>
      </w:r>
      <w:r w:rsidR="00D07A16">
        <w:rPr>
          <w:rFonts w:hint="eastAsia"/>
          <w:b/>
          <w:bCs/>
        </w:rPr>
        <w:t>信息看到是一样的，理解也是不一样的</w:t>
      </w:r>
    </w:p>
    <w:p w14:paraId="12BCB741" w14:textId="77777777" w:rsidR="007778CD" w:rsidRPr="00DF411E" w:rsidRDefault="007778CD" w:rsidP="00245364">
      <w:r w:rsidRPr="00DF411E">
        <w:rPr>
          <w:rFonts w:hint="eastAsia"/>
          <w:b/>
          <w:bCs/>
        </w:rPr>
        <w:t>三.有效率市场假说的启示</w:t>
      </w:r>
      <w:r w:rsidRPr="00DF411E">
        <w:rPr>
          <w:rFonts w:hint="eastAsia"/>
          <w:b/>
          <w:bCs/>
        </w:rPr>
        <w:br/>
      </w:r>
      <w:r w:rsidRPr="00DF411E">
        <w:rPr>
          <w:b/>
          <w:bCs/>
        </w:rPr>
        <w:t> </w:t>
      </w:r>
      <w:r w:rsidRPr="00DF411E">
        <w:rPr>
          <w:rFonts w:hint="eastAsia"/>
          <w:b/>
          <w:bCs/>
        </w:rPr>
        <w:t>1.</w:t>
      </w:r>
      <w:r w:rsidRPr="001450DA">
        <w:rPr>
          <w:rFonts w:hint="eastAsia"/>
          <w:b/>
          <w:bCs/>
          <w:color w:val="C00000"/>
        </w:rPr>
        <w:t>历史没有记忆</w:t>
      </w:r>
      <w:r w:rsidR="00245364" w:rsidRPr="00DF411E">
        <w:rPr>
          <w:rFonts w:hint="eastAsia"/>
          <w:b/>
          <w:bCs/>
        </w:rPr>
        <w:t>：</w:t>
      </w:r>
      <w:r w:rsidRPr="00DF411E">
        <w:rPr>
          <w:rFonts w:hint="eastAsia"/>
        </w:rPr>
        <w:t>在弱有效率市场上，证券价格的未来走向与其历史变化没有任何必然联系，</w:t>
      </w:r>
      <w:r w:rsidRPr="00DF411E">
        <w:rPr>
          <w:rFonts w:hint="eastAsia"/>
        </w:rPr>
        <w:lastRenderedPageBreak/>
        <w:t>证券价格过去是跌是降并不影响它以后的升降。</w:t>
      </w:r>
      <w:r w:rsidRPr="00DF411E">
        <w:rPr>
          <w:rFonts w:hint="eastAsia"/>
        </w:rPr>
        <w:br/>
      </w:r>
      <w:r w:rsidRPr="00DF411E">
        <w:t> </w:t>
      </w:r>
      <w:r w:rsidRPr="00DF411E">
        <w:rPr>
          <w:rFonts w:hint="eastAsia"/>
          <w:b/>
          <w:bCs/>
        </w:rPr>
        <w:t>2.</w:t>
      </w:r>
      <w:r w:rsidRPr="001450DA">
        <w:rPr>
          <w:rFonts w:hint="eastAsia"/>
          <w:b/>
          <w:bCs/>
          <w:color w:val="C00000"/>
        </w:rPr>
        <w:t>市场价格可能是最可相信的价格</w:t>
      </w:r>
      <w:r w:rsidR="00245364" w:rsidRPr="00DF411E">
        <w:rPr>
          <w:rFonts w:hint="eastAsia"/>
          <w:b/>
        </w:rPr>
        <w:t>：</w:t>
      </w:r>
      <w:r w:rsidRPr="00DF411E">
        <w:rPr>
          <w:rFonts w:hint="eastAsia"/>
        </w:rPr>
        <w:t>证券的市场价格是市场上绝大多数投资者对各种信息进行综合分析判断的均衡值，反映了绝大多数投资者的总体预期，从统计平均上讲，它很可能是关于证券价格的最好判断。</w:t>
      </w:r>
      <w:r w:rsidRPr="00DF411E">
        <w:t>   </w:t>
      </w:r>
    </w:p>
    <w:p w14:paraId="6CCF02DD" w14:textId="684508B5" w:rsidR="00EC7BBA" w:rsidRDefault="00EC7BBA" w:rsidP="00245364">
      <w:r w:rsidRPr="00DF411E">
        <w:rPr>
          <w:rFonts w:hint="eastAsia"/>
          <w:b/>
          <w:bCs/>
        </w:rPr>
        <w:t>3.</w:t>
      </w:r>
      <w:r w:rsidRPr="001450DA">
        <w:rPr>
          <w:rFonts w:hint="eastAsia"/>
          <w:b/>
          <w:bCs/>
          <w:color w:val="C00000"/>
        </w:rPr>
        <w:t>市场没有幻觉</w:t>
      </w:r>
      <w:r w:rsidR="00245364" w:rsidRPr="001450DA">
        <w:rPr>
          <w:rFonts w:hint="eastAsia"/>
          <w:b/>
          <w:color w:val="C00000"/>
        </w:rPr>
        <w:t>：</w:t>
      </w:r>
      <w:r w:rsidRPr="001450DA">
        <w:rPr>
          <w:rFonts w:hint="eastAsia"/>
          <w:b/>
          <w:bCs/>
          <w:color w:val="C00000"/>
        </w:rPr>
        <w:t>在有效率市场上</w:t>
      </w:r>
      <w:r w:rsidRPr="00DF411E">
        <w:rPr>
          <w:rFonts w:hint="eastAsia"/>
        </w:rPr>
        <w:t>，证券价格取决于其实际价值的高低，靠制造假象（如对会计报表，会计方式等进行调整和变换）是无法真正影响证券价格的。</w:t>
      </w:r>
    </w:p>
    <w:p w14:paraId="379754EA" w14:textId="7651D83C" w:rsidR="000502A5" w:rsidRPr="00DF411E" w:rsidRDefault="000502A5" w:rsidP="000502A5">
      <w:r w:rsidRPr="006A73B4">
        <w:rPr>
          <w:rFonts w:hint="eastAsia"/>
          <w:b/>
          <w:bCs/>
          <w:color w:val="70AD47" w:themeColor="accent6"/>
        </w:rPr>
        <w:t>第</w:t>
      </w:r>
      <w:r w:rsidR="002A68DC">
        <w:rPr>
          <w:rFonts w:hint="eastAsia"/>
          <w:b/>
          <w:bCs/>
          <w:color w:val="70AD47" w:themeColor="accent6"/>
        </w:rPr>
        <w:t>二</w:t>
      </w:r>
      <w:r w:rsidRPr="006A73B4">
        <w:rPr>
          <w:rFonts w:hint="eastAsia"/>
          <w:b/>
          <w:bCs/>
          <w:color w:val="70AD47" w:themeColor="accent6"/>
        </w:rPr>
        <w:t>节 资产组合理论</w:t>
      </w:r>
      <w:r w:rsidR="00B071D3">
        <w:rPr>
          <w:rFonts w:hint="eastAsia"/>
          <w:b/>
          <w:bCs/>
          <w:color w:val="70AD47" w:themeColor="accent6"/>
        </w:rPr>
        <w:t xml:space="preserve"> </w:t>
      </w:r>
      <w:r w:rsidR="00B071D3">
        <w:rPr>
          <w:b/>
          <w:bCs/>
          <w:color w:val="70AD47" w:themeColor="accent6"/>
        </w:rPr>
        <w:t xml:space="preserve"> </w:t>
      </w:r>
      <w:r w:rsidR="00B071D3" w:rsidRPr="00CC04D4">
        <w:rPr>
          <w:rFonts w:hint="eastAsia"/>
          <w:b/>
          <w:bCs/>
          <w:color w:val="70AD47" w:themeColor="accent6"/>
          <w:highlight w:val="yellow"/>
        </w:rPr>
        <w:t>会有计算</w:t>
      </w:r>
    </w:p>
    <w:p w14:paraId="43A15F56" w14:textId="77777777" w:rsidR="000502A5" w:rsidRPr="00DF411E" w:rsidRDefault="000502A5" w:rsidP="000502A5">
      <w:r w:rsidRPr="00DF411E">
        <w:rPr>
          <w:rFonts w:hint="eastAsia"/>
          <w:b/>
          <w:bCs/>
        </w:rPr>
        <w:t>一.均值-方差模型：现代投资理论的两大基石之一</w:t>
      </w:r>
    </w:p>
    <w:p w14:paraId="47F7A0C0" w14:textId="77777777" w:rsidR="00EC7B40" w:rsidRDefault="000502A5" w:rsidP="000502A5">
      <w:pPr>
        <w:ind w:firstLineChars="200" w:firstLine="420"/>
      </w:pPr>
      <w:r w:rsidRPr="00DF411E">
        <w:rPr>
          <w:rFonts w:hint="eastAsia"/>
        </w:rPr>
        <w:t>尽管投资者早就知道分散化可以</w:t>
      </w:r>
      <w:r w:rsidRPr="00BB3F62">
        <w:rPr>
          <w:rFonts w:hint="eastAsia"/>
          <w:b/>
          <w:bCs/>
        </w:rPr>
        <w:t>降低系统风险</w:t>
      </w:r>
    </w:p>
    <w:p w14:paraId="20D34747" w14:textId="2309BF2B" w:rsidR="000502A5" w:rsidRPr="00DF411E" w:rsidRDefault="000502A5" w:rsidP="000502A5">
      <w:pPr>
        <w:ind w:firstLineChars="200" w:firstLine="420"/>
      </w:pPr>
      <w:r w:rsidRPr="00DF411E">
        <w:t>——</w:t>
      </w:r>
      <w:r w:rsidRPr="00070B3F">
        <w:rPr>
          <w:rFonts w:hint="eastAsia"/>
          <w:b/>
          <w:bCs/>
          <w:color w:val="FF0000"/>
        </w:rPr>
        <w:t>马柯维茨定理</w:t>
      </w:r>
      <w:r w:rsidRPr="00DF411E">
        <w:rPr>
          <w:rFonts w:hint="eastAsia"/>
        </w:rPr>
        <w:t>：随着证券组合中包含的证券的数目增加，单个证券的风险对证券组合的风险的影响越来越小，证券之间的相互作用成为证券组合风险的主要来源；给定证券组合，</w:t>
      </w:r>
      <w:r w:rsidRPr="00B214CE">
        <w:rPr>
          <w:rFonts w:hint="eastAsia"/>
          <w:b/>
          <w:bCs/>
        </w:rPr>
        <w:t>证券之间的相关程度越小，证券组合的风险分散效应越大</w:t>
      </w:r>
      <w:r w:rsidRPr="00DF411E">
        <w:rPr>
          <w:rFonts w:hint="eastAsia"/>
        </w:rPr>
        <w:t>。如果投资者基于证券组合的预期收益率和方差进行投资决策，那么根据均值-方差模型，投资者运用效用最大化的决策准则，可在所有可能的投资方案集中求出最优投资组合。</w:t>
      </w:r>
    </w:p>
    <w:p w14:paraId="5B4E3D81" w14:textId="1C56C741" w:rsidR="00070B3F" w:rsidRDefault="000502A5" w:rsidP="00F23B5C">
      <w:r w:rsidRPr="00DF411E">
        <w:rPr>
          <w:rFonts w:hint="eastAsia"/>
          <w:b/>
          <w:bCs/>
        </w:rPr>
        <w:t>二.证券组合理论</w:t>
      </w:r>
      <w:r w:rsidRPr="00DF411E">
        <w:br/>
        <w:t xml:space="preserve">    (2) </w:t>
      </w:r>
      <w:r w:rsidRPr="00DF411E">
        <w:rPr>
          <w:rFonts w:hint="eastAsia"/>
        </w:rPr>
        <w:t>投资者是风险的厌恶者</w:t>
      </w:r>
      <w:r w:rsidRPr="00DF411E">
        <w:t>,</w:t>
      </w:r>
      <w:r w:rsidRPr="00DF411E">
        <w:rPr>
          <w:rFonts w:hint="eastAsia"/>
        </w:rPr>
        <w:t>风险用预期收益率的方差来表示。</w:t>
      </w:r>
      <w:r w:rsidRPr="00DF411E">
        <w:t xml:space="preserve"> </w:t>
      </w:r>
    </w:p>
    <w:p w14:paraId="6D9CCB76" w14:textId="55C44C15" w:rsidR="000502A5" w:rsidRPr="00DF411E" w:rsidRDefault="00070B3F" w:rsidP="00F23B5C">
      <w:pPr>
        <w:ind w:firstLineChars="200" w:firstLine="420"/>
      </w:pPr>
      <w:r>
        <w:rPr>
          <w:noProof/>
        </w:rPr>
        <w:drawing>
          <wp:inline distT="0" distB="0" distL="0" distR="0" wp14:anchorId="434298CC" wp14:editId="0771B3A1">
            <wp:extent cx="3614986" cy="28041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551" cy="2809253"/>
                    </a:xfrm>
                    <a:prstGeom prst="rect">
                      <a:avLst/>
                    </a:prstGeom>
                  </pic:spPr>
                </pic:pic>
              </a:graphicData>
            </a:graphic>
          </wp:inline>
        </w:drawing>
      </w:r>
      <w:r w:rsidR="000502A5" w:rsidRPr="00DF411E">
        <w:br/>
      </w:r>
    </w:p>
    <w:p w14:paraId="3B6BF4B3" w14:textId="5FF5CD8C" w:rsidR="000502A5" w:rsidRPr="00E01E7A" w:rsidRDefault="00E01E7A" w:rsidP="00E01E7A">
      <w:pPr>
        <w:rPr>
          <w:b/>
          <w:bCs/>
        </w:rPr>
      </w:pPr>
      <w:r w:rsidRPr="00F23B5C">
        <w:rPr>
          <w:rFonts w:hint="eastAsia"/>
          <w:highlight w:val="cyan"/>
        </w:rPr>
        <w:t>投资组合的风险主要是由资产之间的相互关系的</w:t>
      </w:r>
      <w:r w:rsidRPr="00CB223E">
        <w:rPr>
          <w:rFonts w:hint="eastAsia"/>
          <w:highlight w:val="yellow"/>
        </w:rPr>
        <w:t>协方差决定的</w:t>
      </w:r>
      <w:r w:rsidRPr="00F23B5C">
        <w:rPr>
          <w:rFonts w:hint="eastAsia"/>
          <w:highlight w:val="cyan"/>
        </w:rPr>
        <w:t>，这是投资组合能够降低风险的主要原因。相关系数决定了两种资产的关系。</w:t>
      </w:r>
      <w:r w:rsidRPr="00F23B5C">
        <w:rPr>
          <w:rFonts w:hint="eastAsia"/>
          <w:b/>
          <w:bCs/>
          <w:highlight w:val="cyan"/>
        </w:rPr>
        <w:t>相关性越低，越有可能降低风险</w:t>
      </w:r>
    </w:p>
    <w:p w14:paraId="5CADD8B6" w14:textId="101728CF" w:rsidR="00E853E9" w:rsidRPr="006A73B4" w:rsidRDefault="001E2B40" w:rsidP="00245364">
      <w:pPr>
        <w:rPr>
          <w:b/>
          <w:bCs/>
          <w:color w:val="70AD47" w:themeColor="accent6"/>
        </w:rPr>
      </w:pPr>
      <w:r w:rsidRPr="006A73B4">
        <w:rPr>
          <w:rFonts w:hint="eastAsia"/>
          <w:b/>
          <w:bCs/>
          <w:color w:val="70AD47" w:themeColor="accent6"/>
        </w:rPr>
        <w:t>第</w:t>
      </w:r>
      <w:r w:rsidR="000502A5">
        <w:rPr>
          <w:rFonts w:hint="eastAsia"/>
          <w:b/>
          <w:bCs/>
          <w:color w:val="70AD47" w:themeColor="accent6"/>
        </w:rPr>
        <w:t>三</w:t>
      </w:r>
      <w:r w:rsidRPr="006A73B4">
        <w:rPr>
          <w:rFonts w:hint="eastAsia"/>
          <w:b/>
          <w:bCs/>
          <w:color w:val="70AD47" w:themeColor="accent6"/>
        </w:rPr>
        <w:t>节 资本市场理论</w:t>
      </w:r>
      <w:r w:rsidR="000049BC">
        <w:rPr>
          <w:rFonts w:hint="eastAsia"/>
          <w:b/>
          <w:bCs/>
          <w:color w:val="70AD47" w:themeColor="accent6"/>
        </w:rPr>
        <w:t xml:space="preserve"> </w:t>
      </w:r>
      <w:r w:rsidR="000049BC" w:rsidRPr="00B071D3">
        <w:rPr>
          <w:rFonts w:hint="eastAsia"/>
          <w:b/>
          <w:bCs/>
          <w:color w:val="70AD47" w:themeColor="accent6"/>
          <w:highlight w:val="yellow"/>
        </w:rPr>
        <w:t>会有计算的大题</w:t>
      </w:r>
    </w:p>
    <w:p w14:paraId="145FA4D9" w14:textId="77777777" w:rsidR="00D56675" w:rsidRPr="00DF411E" w:rsidRDefault="007778CD" w:rsidP="00D56675">
      <w:r w:rsidRPr="00DF411E">
        <w:rPr>
          <w:rFonts w:hint="eastAsia"/>
          <w:b/>
        </w:rPr>
        <w:t>一.资本资产定价模型 (</w:t>
      </w:r>
      <w:r w:rsidRPr="00DF411E">
        <w:rPr>
          <w:b/>
        </w:rPr>
        <w:t>CAPM)</w:t>
      </w:r>
      <w:r w:rsidR="00D56675" w:rsidRPr="00DF411E">
        <w:rPr>
          <w:rFonts w:hint="eastAsia"/>
          <w:b/>
        </w:rPr>
        <w:t>：</w:t>
      </w:r>
      <w:r w:rsidRPr="00DF411E">
        <w:rPr>
          <w:rFonts w:hint="eastAsia"/>
        </w:rPr>
        <w:t>所谓资本资产定价模型大体上是由夏普 (</w:t>
      </w:r>
      <w:r w:rsidRPr="00DF411E">
        <w:t>Sharpe,1 964)、</w:t>
      </w:r>
      <w:r w:rsidRPr="00DF411E">
        <w:rPr>
          <w:rFonts w:hint="eastAsia"/>
        </w:rPr>
        <w:t>林特纳 (</w:t>
      </w:r>
      <w:r w:rsidRPr="00DF411E">
        <w:t>Lintner,1 965)</w:t>
      </w:r>
      <w:r w:rsidRPr="00DF411E">
        <w:rPr>
          <w:rFonts w:hint="eastAsia"/>
        </w:rPr>
        <w:t>和莫辛 (</w:t>
      </w:r>
      <w:r w:rsidRPr="00DF411E">
        <w:t>Mossin,1 966)</w:t>
      </w:r>
      <w:r w:rsidRPr="00DF411E">
        <w:rPr>
          <w:rFonts w:hint="eastAsia"/>
        </w:rPr>
        <w:t>独立提出的.</w:t>
      </w:r>
    </w:p>
    <w:p w14:paraId="1DB3A430" w14:textId="7A8A6CA3" w:rsidR="00D56675" w:rsidRDefault="007778CD" w:rsidP="00D56675">
      <w:pPr>
        <w:ind w:firstLineChars="200" w:firstLine="420"/>
      </w:pPr>
      <w:r w:rsidRPr="00DF411E">
        <w:rPr>
          <w:rFonts w:hint="eastAsia"/>
        </w:rPr>
        <w:t>在上述假设的基础之上</w:t>
      </w:r>
      <w:r w:rsidRPr="00DF411E">
        <w:t>,</w:t>
      </w:r>
      <w:r w:rsidRPr="00DF411E">
        <w:rPr>
          <w:rFonts w:hint="eastAsia"/>
        </w:rPr>
        <w:t>夏普研究后认为</w:t>
      </w:r>
      <w:r w:rsidRPr="00DF411E">
        <w:t>,</w:t>
      </w:r>
      <w:r w:rsidRPr="00DF411E">
        <w:rPr>
          <w:rFonts w:hint="eastAsia"/>
        </w:rPr>
        <w:t>所有的投资者面临同样的投资条件</w:t>
      </w:r>
      <w:r w:rsidRPr="00DF411E">
        <w:t>,</w:t>
      </w:r>
      <w:r w:rsidRPr="00DF411E">
        <w:rPr>
          <w:rFonts w:hint="eastAsia"/>
        </w:rPr>
        <w:t>这样他们就都会按马科维茨模型作出完全相同的决策。</w:t>
      </w:r>
      <w:r w:rsidRPr="00DF411E">
        <w:t xml:space="preserve"> </w:t>
      </w:r>
    </w:p>
    <w:p w14:paraId="0FAE82BB" w14:textId="77777777" w:rsidR="00D56675" w:rsidRPr="00DF411E" w:rsidRDefault="007778CD" w:rsidP="00D56675">
      <w:pPr>
        <w:ind w:firstLineChars="200" w:firstLine="420"/>
      </w:pPr>
      <w:r w:rsidRPr="00DF411E">
        <w:rPr>
          <w:b/>
        </w:rPr>
        <w:t>CAPM</w:t>
      </w:r>
      <w:r w:rsidRPr="00DF411E">
        <w:rPr>
          <w:rFonts w:hint="eastAsia"/>
          <w:b/>
        </w:rPr>
        <w:t>的意义之一是</w:t>
      </w:r>
      <w:r w:rsidRPr="00DF411E">
        <w:rPr>
          <w:rFonts w:hint="eastAsia"/>
        </w:rPr>
        <w:t>它建立了</w:t>
      </w:r>
      <w:r w:rsidRPr="003B5DD6">
        <w:rPr>
          <w:rFonts w:hint="eastAsia"/>
          <w:u w:val="single"/>
        </w:rPr>
        <w:t>证券收益与风险</w:t>
      </w:r>
      <w:r w:rsidRPr="00DF411E">
        <w:rPr>
          <w:rFonts w:hint="eastAsia"/>
        </w:rPr>
        <w:t>的关系 ,揭示了</w:t>
      </w:r>
      <w:r w:rsidRPr="001F5266">
        <w:rPr>
          <w:rFonts w:hint="eastAsia"/>
          <w:b/>
          <w:bCs/>
          <w:color w:val="FF0000"/>
          <w:u w:val="single"/>
        </w:rPr>
        <w:t>证券风险报酬的</w:t>
      </w:r>
      <w:r w:rsidRPr="00CB223E">
        <w:rPr>
          <w:rFonts w:hint="eastAsia"/>
          <w:b/>
          <w:bCs/>
          <w:color w:val="FF0000"/>
          <w:highlight w:val="yellow"/>
          <w:u w:val="single"/>
        </w:rPr>
        <w:t>内部结</w:t>
      </w:r>
      <w:r w:rsidRPr="001F5266">
        <w:rPr>
          <w:rFonts w:hint="eastAsia"/>
          <w:b/>
          <w:bCs/>
          <w:color w:val="FF0000"/>
          <w:u w:val="single"/>
        </w:rPr>
        <w:t>构</w:t>
      </w:r>
      <w:r w:rsidRPr="00DF411E">
        <w:rPr>
          <w:rFonts w:hint="eastAsia"/>
        </w:rPr>
        <w:t xml:space="preserve"> ,即风险报酬是影响证券收益的各相关因素的风险贴水的线性组合 .</w:t>
      </w:r>
    </w:p>
    <w:p w14:paraId="34DA09BD" w14:textId="1FEA01A4" w:rsidR="007778CD" w:rsidRPr="00DF411E" w:rsidRDefault="007778CD" w:rsidP="00D56675">
      <w:pPr>
        <w:ind w:firstLineChars="200" w:firstLine="420"/>
      </w:pPr>
      <w:r w:rsidRPr="00DF411E">
        <w:t>CAPM</w:t>
      </w:r>
      <w:r w:rsidRPr="00DF411E">
        <w:rPr>
          <w:rFonts w:hint="eastAsia"/>
        </w:rPr>
        <w:t>建立了</w:t>
      </w:r>
      <w:r w:rsidRPr="00CB223E">
        <w:rPr>
          <w:rFonts w:hint="eastAsia"/>
          <w:b/>
          <w:bCs/>
          <w:color w:val="FF0000"/>
          <w:highlight w:val="yellow"/>
        </w:rPr>
        <w:t>单个</w:t>
      </w:r>
      <w:r w:rsidRPr="00A23814">
        <w:rPr>
          <w:rFonts w:hint="eastAsia"/>
          <w:b/>
          <w:bCs/>
          <w:color w:val="FF0000"/>
        </w:rPr>
        <w:t>证券的收益与市场资产组合收益</w:t>
      </w:r>
      <w:r w:rsidRPr="00DF411E">
        <w:rPr>
          <w:rFonts w:hint="eastAsia"/>
        </w:rPr>
        <w:t>之间的数量关系 ,</w:t>
      </w:r>
    </w:p>
    <w:p w14:paraId="2BB46E47" w14:textId="416C270B" w:rsidR="007778CD" w:rsidRPr="001F5266" w:rsidRDefault="007778CD" w:rsidP="00D56675">
      <w:pPr>
        <w:ind w:firstLineChars="200" w:firstLine="420"/>
        <w:rPr>
          <w:b/>
          <w:bCs/>
          <w:color w:val="FF0000"/>
          <w:u w:val="single"/>
        </w:rPr>
      </w:pPr>
      <w:r w:rsidRPr="00DF411E">
        <w:rPr>
          <w:b/>
          <w:bCs/>
        </w:rPr>
        <w:t>CAPM</w:t>
      </w:r>
      <w:r w:rsidRPr="00DF411E">
        <w:rPr>
          <w:rFonts w:hint="eastAsia"/>
          <w:b/>
          <w:bCs/>
        </w:rPr>
        <w:t>的另一个重要意义</w:t>
      </w:r>
      <w:r w:rsidRPr="00DF411E">
        <w:rPr>
          <w:rFonts w:hint="eastAsia"/>
        </w:rPr>
        <w:t>在于</w:t>
      </w:r>
      <w:r w:rsidRPr="001F5266">
        <w:rPr>
          <w:rFonts w:hint="eastAsia"/>
          <w:b/>
          <w:bCs/>
          <w:color w:val="FF0000"/>
          <w:u w:val="single"/>
        </w:rPr>
        <w:t>它把证券</w:t>
      </w:r>
      <w:r w:rsidRPr="00CB223E">
        <w:rPr>
          <w:rFonts w:hint="eastAsia"/>
          <w:b/>
          <w:bCs/>
          <w:color w:val="FF0000"/>
          <w:highlight w:val="yellow"/>
          <w:u w:val="single"/>
        </w:rPr>
        <w:t>的风险分成了系统风险与非系统风险</w:t>
      </w:r>
      <w:r w:rsidRPr="001F5266">
        <w:rPr>
          <w:rFonts w:hint="eastAsia"/>
          <w:b/>
          <w:bCs/>
          <w:color w:val="FF0000"/>
          <w:u w:val="single"/>
        </w:rPr>
        <w:t xml:space="preserve"> </w:t>
      </w:r>
    </w:p>
    <w:p w14:paraId="6D22B22D" w14:textId="4A8BE9C0" w:rsidR="00872478" w:rsidRDefault="00872478" w:rsidP="00D56675">
      <w:pPr>
        <w:ind w:firstLineChars="200" w:firstLine="420"/>
        <w:rPr>
          <w:b/>
          <w:bCs/>
          <w:color w:val="C45911" w:themeColor="accent2" w:themeShade="BF"/>
        </w:rPr>
      </w:pPr>
      <w:r w:rsidRPr="00B425EA">
        <w:rPr>
          <w:rFonts w:hint="eastAsia"/>
          <w:b/>
          <w:bCs/>
          <w:color w:val="C45911" w:themeColor="accent2" w:themeShade="BF"/>
        </w:rPr>
        <w:t>收益=无风险收益率+</w:t>
      </w:r>
      <w:r w:rsidR="00501600">
        <w:rPr>
          <w:rFonts w:hint="eastAsia"/>
          <w:b/>
          <w:bCs/>
          <w:color w:val="C45911" w:themeColor="accent2" w:themeShade="BF"/>
        </w:rPr>
        <w:t>β*</w:t>
      </w:r>
      <w:r w:rsidRPr="00B425EA">
        <w:rPr>
          <w:rFonts w:hint="eastAsia"/>
          <w:b/>
          <w:bCs/>
          <w:color w:val="C45911" w:themeColor="accent2" w:themeShade="BF"/>
        </w:rPr>
        <w:t>风险溢价</w:t>
      </w:r>
      <w:r w:rsidR="0068068C">
        <w:rPr>
          <w:rFonts w:hint="eastAsia"/>
          <w:b/>
          <w:bCs/>
          <w:color w:val="C45911" w:themeColor="accent2" w:themeShade="BF"/>
        </w:rPr>
        <w:t>（相对于系统风险</w:t>
      </w:r>
      <w:r w:rsidR="005923BA">
        <w:rPr>
          <w:rFonts w:hint="eastAsia"/>
          <w:b/>
          <w:bCs/>
          <w:color w:val="C45911" w:themeColor="accent2" w:themeShade="BF"/>
        </w:rPr>
        <w:t>的补偿</w:t>
      </w:r>
      <w:r w:rsidR="0068068C">
        <w:rPr>
          <w:rFonts w:hint="eastAsia"/>
          <w:b/>
          <w:bCs/>
          <w:color w:val="C45911" w:themeColor="accent2" w:themeShade="BF"/>
        </w:rPr>
        <w:t>）</w:t>
      </w:r>
    </w:p>
    <w:p w14:paraId="5E327BA2" w14:textId="06F9A94B" w:rsidR="00840B08" w:rsidRPr="00624424" w:rsidRDefault="00326711" w:rsidP="00D56675">
      <w:pPr>
        <w:ind w:firstLineChars="200" w:firstLine="420"/>
      </w:pPr>
      <w:r>
        <w:rPr>
          <w:noProof/>
        </w:rPr>
        <w:lastRenderedPageBreak/>
        <w:drawing>
          <wp:inline distT="0" distB="0" distL="0" distR="0" wp14:anchorId="38B1718F" wp14:editId="0A5E504C">
            <wp:extent cx="2362405" cy="3657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405" cy="365792"/>
                    </a:xfrm>
                    <a:prstGeom prst="rect">
                      <a:avLst/>
                    </a:prstGeom>
                  </pic:spPr>
                </pic:pic>
              </a:graphicData>
            </a:graphic>
          </wp:inline>
        </w:drawing>
      </w:r>
      <w:r w:rsidR="006A6EF6">
        <w:rPr>
          <w:rFonts w:hint="eastAsia"/>
          <w:b/>
          <w:bCs/>
        </w:rPr>
        <w:t xml:space="preserve"> </w:t>
      </w:r>
      <w:r w:rsidR="006A6EF6" w:rsidRPr="00624424">
        <w:t xml:space="preserve"> E(rm</w:t>
      </w:r>
      <w:r w:rsidR="006A6EF6" w:rsidRPr="00624424">
        <w:rPr>
          <w:rFonts w:hint="eastAsia"/>
        </w:rPr>
        <w:t>)有时直接是市场的平均回报率</w:t>
      </w:r>
    </w:p>
    <w:p w14:paraId="6C025378" w14:textId="3B50D54E" w:rsidR="00326711" w:rsidRDefault="0092067B" w:rsidP="00D56675">
      <w:pPr>
        <w:ind w:firstLineChars="200" w:firstLine="420"/>
        <w:rPr>
          <w:b/>
          <w:bCs/>
        </w:rPr>
      </w:pPr>
      <w:r>
        <w:rPr>
          <w:noProof/>
        </w:rPr>
        <w:drawing>
          <wp:inline distT="0" distB="0" distL="0" distR="0" wp14:anchorId="2713E9C1" wp14:editId="13B04CB5">
            <wp:extent cx="5274310" cy="10750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75055"/>
                    </a:xfrm>
                    <a:prstGeom prst="rect">
                      <a:avLst/>
                    </a:prstGeom>
                  </pic:spPr>
                </pic:pic>
              </a:graphicData>
            </a:graphic>
          </wp:inline>
        </w:drawing>
      </w:r>
    </w:p>
    <w:p w14:paraId="30EDF9C2" w14:textId="7CB89B76" w:rsidR="00881C67" w:rsidRDefault="00881C67" w:rsidP="00881C67">
      <w:pPr>
        <w:ind w:firstLineChars="200" w:firstLine="420"/>
        <w:rPr>
          <w:b/>
          <w:bCs/>
        </w:rPr>
      </w:pPr>
      <w:r w:rsidRPr="003D057C">
        <w:rPr>
          <w:rFonts w:hint="eastAsia"/>
          <w:b/>
          <w:bCs/>
          <w:highlight w:val="yellow"/>
        </w:rPr>
        <w:t>β度量的是单个证券的系统风险，非系统性风险没有风险补偿</w:t>
      </w:r>
    </w:p>
    <w:p w14:paraId="5130E75E" w14:textId="55650816" w:rsidR="00624424" w:rsidRPr="00624424" w:rsidRDefault="00624424" w:rsidP="00881C67">
      <w:pPr>
        <w:ind w:firstLineChars="200" w:firstLine="420"/>
      </w:pPr>
      <w:r w:rsidRPr="00624424">
        <w:rPr>
          <w:rFonts w:hint="eastAsia"/>
        </w:rPr>
        <w:t>（</w:t>
      </w:r>
      <w:r w:rsidRPr="00624424">
        <w:t>CAPM模型的核心是只对投资组合的系统性风险进行定价，非系统性风险可以通过扩大投资组合规模予以消除，因而市场不予风险补偿</w:t>
      </w:r>
      <w:r w:rsidRPr="00624424">
        <w:rPr>
          <w:rFonts w:hint="eastAsia"/>
        </w:rPr>
        <w:t>）</w:t>
      </w:r>
    </w:p>
    <w:p w14:paraId="50DA9FF5" w14:textId="7BE155B0" w:rsidR="001E2B40" w:rsidRDefault="001E2B40" w:rsidP="007749E5">
      <w:pPr>
        <w:rPr>
          <w:b/>
          <w:bCs/>
          <w:color w:val="70AD47" w:themeColor="accent6"/>
        </w:rPr>
      </w:pPr>
      <w:r w:rsidRPr="006A73B4">
        <w:rPr>
          <w:rFonts w:hint="eastAsia"/>
          <w:b/>
          <w:bCs/>
          <w:color w:val="70AD47" w:themeColor="accent6"/>
        </w:rPr>
        <w:t>第四节 行为金融学理论</w:t>
      </w:r>
    </w:p>
    <w:p w14:paraId="0EA147BD" w14:textId="14F7BE13" w:rsidR="006A73B4" w:rsidRPr="00DF411E" w:rsidRDefault="006A73B4" w:rsidP="00E87DDA">
      <w:pPr>
        <w:ind w:firstLine="420"/>
      </w:pPr>
      <w:r>
        <w:rPr>
          <w:rFonts w:hint="eastAsia"/>
          <w:b/>
          <w:bCs/>
          <w:color w:val="70AD47" w:themeColor="accent6"/>
        </w:rPr>
        <w:t>情绪属于上限</w:t>
      </w:r>
      <w:r w:rsidR="00BC26F5">
        <w:rPr>
          <w:rFonts w:hint="eastAsia"/>
          <w:b/>
          <w:bCs/>
          <w:color w:val="70AD47" w:themeColor="accent6"/>
        </w:rPr>
        <w:t>，</w:t>
      </w:r>
      <w:r w:rsidR="000B1314">
        <w:rPr>
          <w:rFonts w:hint="eastAsia"/>
          <w:b/>
          <w:bCs/>
          <w:color w:val="70AD47" w:themeColor="accent6"/>
        </w:rPr>
        <w:t>解决了分母端的情绪问题</w:t>
      </w:r>
    </w:p>
    <w:p w14:paraId="5C504EDD" w14:textId="77777777" w:rsidR="00964B73" w:rsidRPr="00DF411E" w:rsidRDefault="007778CD" w:rsidP="00964B73">
      <w:pPr>
        <w:ind w:firstLineChars="200" w:firstLine="420"/>
      </w:pPr>
      <w:r w:rsidRPr="00DF411E">
        <w:rPr>
          <w:b/>
          <w:bCs/>
        </w:rPr>
        <w:t>在行为金融理论的范式中 ,市场中的参与者是不完全理性的 ,“</w:t>
      </w:r>
      <w:r w:rsidRPr="00DF411E">
        <w:rPr>
          <w:rFonts w:hint="eastAsia"/>
          <w:b/>
          <w:bCs/>
        </w:rPr>
        <w:t>市场选择</w:t>
      </w:r>
      <w:r w:rsidRPr="00DF411E">
        <w:rPr>
          <w:b/>
          <w:bCs/>
        </w:rPr>
        <w:t>”</w:t>
      </w:r>
      <w:r w:rsidRPr="00DF411E">
        <w:rPr>
          <w:rFonts w:hint="eastAsia"/>
          <w:b/>
          <w:bCs/>
        </w:rPr>
        <w:t>的结果是不确定的</w:t>
      </w:r>
      <w:r w:rsidRPr="00DF411E">
        <w:t xml:space="preserve"> ,其机制常常会失灵 ,非理性交易者完全有可能在市场中生存下来 ,而非理性交易者的持续存在将证明“</w:t>
      </w:r>
      <w:r w:rsidRPr="00DF411E">
        <w:rPr>
          <w:rFonts w:hint="eastAsia"/>
        </w:rPr>
        <w:t>市场选择</w:t>
      </w:r>
      <w:r w:rsidRPr="00DF411E">
        <w:t>”</w:t>
      </w:r>
      <w:r w:rsidRPr="00DF411E">
        <w:rPr>
          <w:rFonts w:hint="eastAsia"/>
        </w:rPr>
        <w:t>理论的不完全性。标准金融范式虽然也承认非理性投资者的存在 ,但却认为</w:t>
      </w:r>
      <w:r w:rsidRPr="00DF411E">
        <w:t>“</w:t>
      </w:r>
      <w:r w:rsidRPr="00DF411E">
        <w:rPr>
          <w:rFonts w:hint="eastAsia"/>
        </w:rPr>
        <w:t>市场选择</w:t>
      </w:r>
      <w:r w:rsidRPr="00DF411E">
        <w:t>”</w:t>
      </w:r>
      <w:r w:rsidRPr="00DF411E">
        <w:rPr>
          <w:rFonts w:hint="eastAsia"/>
        </w:rPr>
        <w:t>机制是有效的 ,</w:t>
      </w:r>
      <w:r w:rsidR="00964B73" w:rsidRPr="00DF411E">
        <w:rPr>
          <w:rFonts w:hint="eastAsia"/>
        </w:rPr>
        <w:t>胜者必定是具有完美理性的投资者。</w:t>
      </w:r>
    </w:p>
    <w:p w14:paraId="2B01D523" w14:textId="77777777" w:rsidR="00E54052" w:rsidRPr="006A73B4" w:rsidRDefault="00E54052" w:rsidP="006A73B4">
      <w:pPr>
        <w:jc w:val="center"/>
        <w:rPr>
          <w:b/>
          <w:sz w:val="28"/>
          <w:szCs w:val="32"/>
        </w:rPr>
      </w:pPr>
      <w:r w:rsidRPr="006A73B4">
        <w:rPr>
          <w:rFonts w:hint="eastAsia"/>
          <w:b/>
          <w:sz w:val="28"/>
          <w:szCs w:val="32"/>
        </w:rPr>
        <w:t>第五章 金融资产的价格决定</w:t>
      </w:r>
    </w:p>
    <w:p w14:paraId="005A64A7" w14:textId="22FEDEA0" w:rsidR="00E54052" w:rsidRPr="00DF411E" w:rsidRDefault="00E54052" w:rsidP="005A6EA0">
      <w:pPr>
        <w:rPr>
          <w:b/>
          <w:bCs/>
        </w:rPr>
      </w:pPr>
      <w:r w:rsidRPr="00DF411E">
        <w:rPr>
          <w:rFonts w:hint="eastAsia"/>
          <w:b/>
          <w:bCs/>
        </w:rPr>
        <w:t xml:space="preserve">第一节 </w:t>
      </w:r>
      <w:r w:rsidRPr="00FF08D9">
        <w:rPr>
          <w:rFonts w:hint="eastAsia"/>
          <w:b/>
          <w:bCs/>
          <w:highlight w:val="cyan"/>
        </w:rPr>
        <w:t>影响金融资产价格的因素</w:t>
      </w:r>
      <w:r w:rsidR="00FF08D9">
        <w:rPr>
          <w:rFonts w:hint="eastAsia"/>
          <w:b/>
          <w:bCs/>
          <w:highlight w:val="cyan"/>
        </w:rPr>
        <w:t>（必考</w:t>
      </w:r>
      <w:r w:rsidR="00362C32">
        <w:rPr>
          <w:rFonts w:hint="eastAsia"/>
          <w:b/>
          <w:bCs/>
          <w:highlight w:val="cyan"/>
        </w:rPr>
        <w:t>，太重点了，年年考</w:t>
      </w:r>
      <w:r w:rsidR="00FF08D9">
        <w:rPr>
          <w:rFonts w:hint="eastAsia"/>
          <w:b/>
          <w:bCs/>
          <w:highlight w:val="cyan"/>
        </w:rPr>
        <w:t>）</w:t>
      </w:r>
    </w:p>
    <w:p w14:paraId="30D06BE0" w14:textId="6C54AB58" w:rsidR="005A6EA0" w:rsidRPr="00DF411E" w:rsidRDefault="009A1DF9" w:rsidP="005A6EA0">
      <w:pPr>
        <w:ind w:firstLineChars="200" w:firstLine="420"/>
        <w:rPr>
          <w:b/>
          <w:bCs/>
        </w:rPr>
      </w:pPr>
      <w:r w:rsidRPr="00DF411E">
        <w:rPr>
          <w:b/>
          <w:bCs/>
        </w:rPr>
        <w:t>一.</w:t>
      </w:r>
      <w:r w:rsidRPr="009A2A25">
        <w:rPr>
          <w:b/>
          <w:bCs/>
          <w:highlight w:val="yellow"/>
        </w:rPr>
        <w:t>企业盈利水平</w:t>
      </w:r>
      <w:r w:rsidRPr="00DF411E">
        <w:rPr>
          <w:b/>
          <w:bCs/>
        </w:rPr>
        <w:t>（收益率的变动</w:t>
      </w:r>
      <w:r w:rsidR="00BF554B">
        <w:rPr>
          <w:rFonts w:hint="eastAsia"/>
          <w:b/>
          <w:bCs/>
        </w:rPr>
        <w:t>，</w:t>
      </w:r>
      <w:r w:rsidR="00BF554B" w:rsidRPr="00BF554B">
        <w:rPr>
          <w:rFonts w:hint="eastAsia"/>
          <w:b/>
          <w:bCs/>
          <w:color w:val="FF0000"/>
        </w:rPr>
        <w:t>业绩驱动</w:t>
      </w:r>
      <w:r w:rsidRPr="00DF411E">
        <w:rPr>
          <w:b/>
          <w:bCs/>
        </w:rPr>
        <w:t>）</w:t>
      </w:r>
      <w:r w:rsidR="00EF5D73">
        <w:rPr>
          <w:rFonts w:hint="eastAsia"/>
          <w:b/>
          <w:bCs/>
        </w:rPr>
        <w:t xml:space="preserve"> 分子端</w:t>
      </w:r>
      <w:r w:rsidR="00340E03">
        <w:rPr>
          <w:rFonts w:hint="eastAsia"/>
          <w:b/>
          <w:bCs/>
        </w:rPr>
        <w:t xml:space="preserve"> </w:t>
      </w:r>
      <w:r w:rsidR="00340E03">
        <w:rPr>
          <w:b/>
          <w:bCs/>
        </w:rPr>
        <w:t>EPS</w:t>
      </w:r>
    </w:p>
    <w:p w14:paraId="46C73130" w14:textId="62C342A8" w:rsidR="005A6EA0" w:rsidRPr="00DF411E" w:rsidRDefault="009A1DF9" w:rsidP="005A6EA0">
      <w:pPr>
        <w:ind w:firstLineChars="200" w:firstLine="420"/>
        <w:rPr>
          <w:b/>
          <w:bCs/>
        </w:rPr>
      </w:pPr>
      <w:r w:rsidRPr="00DF411E">
        <w:rPr>
          <w:b/>
          <w:bCs/>
        </w:rPr>
        <w:t>二.</w:t>
      </w:r>
      <w:r w:rsidRPr="009A2A25">
        <w:rPr>
          <w:b/>
          <w:bCs/>
          <w:highlight w:val="yellow"/>
        </w:rPr>
        <w:t>无风险收益率</w:t>
      </w:r>
      <w:r w:rsidRPr="00DF411E">
        <w:rPr>
          <w:b/>
          <w:bCs/>
        </w:rPr>
        <w:t>（</w:t>
      </w:r>
      <w:r w:rsidR="00B745DD">
        <w:rPr>
          <w:rFonts w:hint="eastAsia"/>
          <w:b/>
          <w:bCs/>
        </w:rPr>
        <w:t>无风险</w:t>
      </w:r>
      <w:r w:rsidRPr="00DF411E">
        <w:rPr>
          <w:b/>
          <w:bCs/>
        </w:rPr>
        <w:t>利率水平的变动</w:t>
      </w:r>
      <w:r w:rsidR="00627F86">
        <w:rPr>
          <w:rFonts w:hint="eastAsia"/>
          <w:b/>
          <w:bCs/>
        </w:rPr>
        <w:t>，影响</w:t>
      </w:r>
      <w:r w:rsidR="00627F86" w:rsidRPr="00627F86">
        <w:rPr>
          <w:rFonts w:hint="eastAsia"/>
          <w:b/>
          <w:bCs/>
          <w:color w:val="FF0000"/>
        </w:rPr>
        <w:t>估值驱动</w:t>
      </w:r>
      <w:r w:rsidRPr="00DF411E">
        <w:rPr>
          <w:b/>
          <w:bCs/>
        </w:rPr>
        <w:t>）</w:t>
      </w:r>
      <w:r w:rsidR="00EF5D73">
        <w:rPr>
          <w:rFonts w:hint="eastAsia"/>
          <w:b/>
          <w:bCs/>
        </w:rPr>
        <w:t xml:space="preserve"> </w:t>
      </w:r>
      <w:bookmarkStart w:id="0" w:name="_Hlk137388192"/>
      <w:r w:rsidR="00EF5D73">
        <w:rPr>
          <w:rFonts w:hint="eastAsia"/>
          <w:b/>
          <w:bCs/>
        </w:rPr>
        <w:t>分母端</w:t>
      </w:r>
      <w:bookmarkEnd w:id="0"/>
    </w:p>
    <w:p w14:paraId="5EBECF18" w14:textId="77721D0B" w:rsidR="00FB7E5C" w:rsidRDefault="009A1DF9" w:rsidP="00FB7E5C">
      <w:pPr>
        <w:ind w:firstLineChars="200" w:firstLine="420"/>
        <w:rPr>
          <w:b/>
          <w:bCs/>
        </w:rPr>
      </w:pPr>
      <w:r w:rsidRPr="00DF411E">
        <w:rPr>
          <w:b/>
          <w:bCs/>
        </w:rPr>
        <w:t>三.</w:t>
      </w:r>
      <w:r w:rsidRPr="009A2A25">
        <w:rPr>
          <w:b/>
          <w:bCs/>
          <w:highlight w:val="yellow"/>
        </w:rPr>
        <w:t>情绪驱动</w:t>
      </w:r>
      <w:r w:rsidRPr="00DF411E">
        <w:rPr>
          <w:b/>
          <w:bCs/>
        </w:rPr>
        <w:t>（人气心理因素的变动）</w:t>
      </w:r>
      <w:r w:rsidR="00861350" w:rsidRPr="00861350">
        <w:rPr>
          <w:rFonts w:hint="eastAsia"/>
          <w:u w:val="single"/>
        </w:rPr>
        <w:t>短期基本都是情绪</w:t>
      </w:r>
      <w:r w:rsidR="00905D94">
        <w:rPr>
          <w:rFonts w:hint="eastAsia"/>
          <w:u w:val="single"/>
        </w:rPr>
        <w:t xml:space="preserve"> </w:t>
      </w:r>
      <w:r w:rsidR="00905D94">
        <w:rPr>
          <w:u w:val="single"/>
        </w:rPr>
        <w:t xml:space="preserve">  </w:t>
      </w:r>
      <w:r w:rsidR="00905D94" w:rsidRPr="00905D94">
        <w:rPr>
          <w:rFonts w:hint="eastAsia"/>
          <w:b/>
          <w:bCs/>
          <w:u w:val="single"/>
        </w:rPr>
        <w:t>分母端</w:t>
      </w:r>
    </w:p>
    <w:p w14:paraId="1C434594" w14:textId="6BB375E5" w:rsidR="00E54052" w:rsidRPr="00DF411E" w:rsidRDefault="00E54052" w:rsidP="00FB7E5C">
      <w:pPr>
        <w:ind w:firstLineChars="200" w:firstLine="420"/>
        <w:rPr>
          <w:b/>
          <w:bCs/>
        </w:rPr>
      </w:pPr>
      <w:r w:rsidRPr="00DF411E">
        <w:rPr>
          <w:b/>
          <w:bCs/>
        </w:rPr>
        <w:t>四.其他因素（如政策与规章制度变动）</w:t>
      </w:r>
    </w:p>
    <w:p w14:paraId="5BD102F3" w14:textId="2841DE3F" w:rsidR="00E54052" w:rsidRPr="00DF411E" w:rsidRDefault="00E54052" w:rsidP="00915011">
      <w:pPr>
        <w:rPr>
          <w:bCs/>
        </w:rPr>
      </w:pPr>
      <w:r w:rsidRPr="006B6B92">
        <w:rPr>
          <w:rFonts w:hint="eastAsia"/>
          <w:b/>
        </w:rPr>
        <w:t>分子端</w:t>
      </w:r>
      <w:r w:rsidRPr="00DF411E">
        <w:rPr>
          <w:rFonts w:hint="eastAsia"/>
          <w:bCs/>
        </w:rPr>
        <w:t>是股利，与企业盈利有关；</w:t>
      </w:r>
      <w:r w:rsidRPr="006B6B92">
        <w:rPr>
          <w:rFonts w:hint="eastAsia"/>
          <w:b/>
        </w:rPr>
        <w:t>分母端</w:t>
      </w:r>
      <w:r w:rsidRPr="00DF411E">
        <w:rPr>
          <w:rFonts w:hint="eastAsia"/>
          <w:bCs/>
        </w:rPr>
        <w:t>的贴现率有两个因素：一个是无风险利率，与央行有关；还有一个是风险溢价，代表你愿意为买股票多付的成本，由情绪决定。</w:t>
      </w:r>
    </w:p>
    <w:p w14:paraId="7C6B095A" w14:textId="1AE668AC" w:rsidR="00E54052" w:rsidRPr="00DF411E" w:rsidRDefault="00E54052" w:rsidP="00915011">
      <w:r w:rsidRPr="00687D5E">
        <w:rPr>
          <w:rFonts w:hint="eastAsia"/>
          <w:b/>
          <w:bCs/>
          <w:highlight w:val="cyan"/>
        </w:rPr>
        <w:t xml:space="preserve">第二节 </w:t>
      </w:r>
      <w:r w:rsidRPr="00687D5E">
        <w:rPr>
          <w:rFonts w:hint="eastAsia"/>
          <w:b/>
          <w:bCs/>
          <w:color w:val="FF0000"/>
          <w:highlight w:val="cyan"/>
        </w:rPr>
        <w:t>公司估值</w:t>
      </w:r>
      <w:r w:rsidRPr="00687D5E">
        <w:rPr>
          <w:rFonts w:hint="eastAsia"/>
          <w:b/>
          <w:bCs/>
          <w:highlight w:val="cyan"/>
        </w:rPr>
        <w:t>的基本方法</w:t>
      </w:r>
      <w:r w:rsidR="0050368C" w:rsidRPr="00687D5E">
        <w:rPr>
          <w:rFonts w:hint="eastAsia"/>
          <w:b/>
          <w:bCs/>
          <w:highlight w:val="cyan"/>
        </w:rPr>
        <w:t>（老李：这门课如果只教一个的话）</w:t>
      </w:r>
    </w:p>
    <w:p w14:paraId="3152C32C" w14:textId="77777777" w:rsidR="00E54052" w:rsidRPr="00DF411E" w:rsidRDefault="00E54052" w:rsidP="00E54052">
      <w:pPr>
        <w:rPr>
          <w:bCs/>
        </w:rPr>
      </w:pPr>
      <w:r w:rsidRPr="00DF411E">
        <w:rPr>
          <w:bCs/>
        </w:rPr>
        <w:t xml:space="preserve">    公司估值方法主要分两大类，一类为相对估值法，特点是主要采用</w:t>
      </w:r>
      <w:r w:rsidRPr="00687D5E">
        <w:rPr>
          <w:b/>
        </w:rPr>
        <w:t>乘数</w:t>
      </w:r>
      <w:r w:rsidRPr="00DF411E">
        <w:rPr>
          <w:bCs/>
        </w:rPr>
        <w:t>方法；另一类为绝对估值法，特点是主要采用</w:t>
      </w:r>
      <w:r w:rsidRPr="00687D5E">
        <w:rPr>
          <w:b/>
        </w:rPr>
        <w:t>折现</w:t>
      </w:r>
      <w:r w:rsidRPr="00DF411E">
        <w:rPr>
          <w:bCs/>
        </w:rPr>
        <w:t>方法。</w:t>
      </w:r>
    </w:p>
    <w:p w14:paraId="4F164407" w14:textId="6B65F4DE" w:rsidR="00E54052" w:rsidRPr="002F7658" w:rsidRDefault="00E54052" w:rsidP="00915011">
      <w:pPr>
        <w:rPr>
          <w:b/>
          <w:bCs/>
          <w:color w:val="C45911" w:themeColor="accent2" w:themeShade="BF"/>
        </w:rPr>
      </w:pPr>
      <w:r w:rsidRPr="002F7658">
        <w:rPr>
          <w:rFonts w:hint="eastAsia"/>
          <w:b/>
          <w:bCs/>
          <w:color w:val="C45911" w:themeColor="accent2" w:themeShade="BF"/>
        </w:rPr>
        <w:t>一.相对估值法</w:t>
      </w:r>
      <w:r w:rsidR="00D2232A">
        <w:rPr>
          <w:rFonts w:hint="eastAsia"/>
          <w:b/>
          <w:bCs/>
          <w:color w:val="C45911" w:themeColor="accent2" w:themeShade="BF"/>
        </w:rPr>
        <w:t xml:space="preserve"> </w:t>
      </w:r>
      <w:r w:rsidR="00D2232A" w:rsidRPr="00D2232A">
        <w:rPr>
          <w:b/>
          <w:bCs/>
          <w:color w:val="4472C4" w:themeColor="accent1"/>
        </w:rPr>
        <w:t xml:space="preserve"> </w:t>
      </w:r>
    </w:p>
    <w:p w14:paraId="310A838F" w14:textId="2CA636A5" w:rsidR="002E6185" w:rsidRDefault="00E54052" w:rsidP="002E6185">
      <w:pPr>
        <w:ind w:left="360"/>
        <w:rPr>
          <w:bCs/>
        </w:rPr>
      </w:pPr>
      <w:r w:rsidRPr="00DF411E">
        <w:rPr>
          <w:rFonts w:hint="eastAsia"/>
          <w:bCs/>
        </w:rPr>
        <w:t>1</w:t>
      </w:r>
      <w:r w:rsidRPr="00DF411E">
        <w:rPr>
          <w:bCs/>
        </w:rPr>
        <w:t>.</w:t>
      </w:r>
      <w:r w:rsidRPr="00507519">
        <w:rPr>
          <w:rFonts w:hint="eastAsia"/>
          <w:b/>
          <w:color w:val="70AD47" w:themeColor="accent6"/>
        </w:rPr>
        <w:t>PE</w:t>
      </w:r>
      <w:r w:rsidRPr="00DF411E">
        <w:rPr>
          <w:rFonts w:hint="eastAsia"/>
          <w:bCs/>
        </w:rPr>
        <w:t xml:space="preserve"> </w:t>
      </w:r>
      <w:r w:rsidRPr="00DF411E">
        <w:rPr>
          <w:bCs/>
        </w:rPr>
        <w:t>(市盈率）估值法</w:t>
      </w:r>
      <w:r w:rsidR="00934B97">
        <w:rPr>
          <w:rFonts w:hint="eastAsia"/>
          <w:bCs/>
        </w:rPr>
        <w:t>：</w:t>
      </w:r>
      <w:r w:rsidR="00934B97" w:rsidRPr="009322EA">
        <w:rPr>
          <w:rFonts w:hint="eastAsia"/>
          <w:bCs/>
          <w:color w:val="FF0000"/>
        </w:rPr>
        <w:t>本利比，</w:t>
      </w:r>
      <w:r w:rsidR="00604E1B" w:rsidRPr="00B4461E">
        <w:rPr>
          <w:rFonts w:hint="eastAsia"/>
          <w:bCs/>
          <w:color w:val="FF0000"/>
          <w:highlight w:val="yellow"/>
        </w:rPr>
        <w:t>收回投资年限</w:t>
      </w:r>
      <w:r w:rsidR="002E6185">
        <w:rPr>
          <w:rFonts w:hint="eastAsia"/>
          <w:bCs/>
          <w:color w:val="FF0000"/>
        </w:rPr>
        <w:t xml:space="preserve"> </w:t>
      </w:r>
      <w:r w:rsidR="002E6185">
        <w:rPr>
          <w:bCs/>
          <w:color w:val="FF0000"/>
        </w:rPr>
        <w:t xml:space="preserve">  </w:t>
      </w:r>
      <w:r w:rsidR="002E6185" w:rsidRPr="002E6185">
        <w:rPr>
          <w:rFonts w:hint="eastAsia"/>
          <w:bCs/>
        </w:rPr>
        <w:t>市场对公司收益预期</w:t>
      </w:r>
      <w:r w:rsidR="00A66B85" w:rsidRPr="00A66B85">
        <w:rPr>
          <w:rFonts w:hint="eastAsia"/>
          <w:bCs/>
        </w:rPr>
        <w:t>，与自己的历史比来判断当前该股票是低估还是高估</w:t>
      </w:r>
      <w:r w:rsidR="00B4461E">
        <w:rPr>
          <w:rFonts w:hint="eastAsia"/>
          <w:bCs/>
        </w:rPr>
        <w:t xml:space="preserve"> </w:t>
      </w:r>
      <w:r w:rsidR="00B4461E">
        <w:rPr>
          <w:bCs/>
        </w:rPr>
        <w:t xml:space="preserve"> </w:t>
      </w:r>
      <w:r w:rsidR="00B4461E">
        <w:rPr>
          <w:rFonts w:hint="eastAsia"/>
          <w:b/>
          <w:bCs/>
          <w:color w:val="4472C4" w:themeColor="accent1"/>
        </w:rPr>
        <w:t>可以对整个市场做一个判断</w:t>
      </w:r>
    </w:p>
    <w:p w14:paraId="5E9B3FBD" w14:textId="62408339" w:rsidR="002E6185" w:rsidRDefault="002E6185" w:rsidP="002E6185">
      <w:pPr>
        <w:ind w:left="360"/>
        <w:jc w:val="center"/>
        <w:rPr>
          <w:bCs/>
          <w:color w:val="FF0000"/>
        </w:rPr>
      </w:pPr>
      <w:r>
        <w:rPr>
          <w:noProof/>
        </w:rPr>
        <w:drawing>
          <wp:inline distT="0" distB="0" distL="0" distR="0" wp14:anchorId="78536CD6" wp14:editId="2829A9E0">
            <wp:extent cx="1630680" cy="468434"/>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5283" cy="472629"/>
                    </a:xfrm>
                    <a:prstGeom prst="rect">
                      <a:avLst/>
                    </a:prstGeom>
                  </pic:spPr>
                </pic:pic>
              </a:graphicData>
            </a:graphic>
          </wp:inline>
        </w:drawing>
      </w:r>
      <w:r w:rsidR="00A66B85">
        <w:rPr>
          <w:rFonts w:hint="eastAsia"/>
          <w:bCs/>
          <w:color w:val="FF0000"/>
        </w:rPr>
        <w:t xml:space="preserve"> </w:t>
      </w:r>
      <w:r w:rsidR="00A66B85">
        <w:rPr>
          <w:bCs/>
          <w:color w:val="FF0000"/>
        </w:rPr>
        <w:t xml:space="preserve">   </w:t>
      </w:r>
      <w:r w:rsidR="00A66B85">
        <w:rPr>
          <w:noProof/>
        </w:rPr>
        <w:drawing>
          <wp:inline distT="0" distB="0" distL="0" distR="0" wp14:anchorId="5D99DF70" wp14:editId="2BF4CD7D">
            <wp:extent cx="2689860" cy="39686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115" cy="400443"/>
                    </a:xfrm>
                    <a:prstGeom prst="rect">
                      <a:avLst/>
                    </a:prstGeom>
                  </pic:spPr>
                </pic:pic>
              </a:graphicData>
            </a:graphic>
          </wp:inline>
        </w:drawing>
      </w:r>
    </w:p>
    <w:p w14:paraId="5FF6FC5E" w14:textId="60D46177" w:rsidR="006F7296" w:rsidRDefault="006F7296" w:rsidP="002E6185">
      <w:pPr>
        <w:ind w:left="360"/>
        <w:jc w:val="center"/>
        <w:rPr>
          <w:bCs/>
          <w:color w:val="FF0000"/>
        </w:rPr>
      </w:pPr>
      <w:r w:rsidRPr="006F7296">
        <w:rPr>
          <w:rFonts w:hint="eastAsia"/>
          <w:bCs/>
          <w:color w:val="FF0000"/>
        </w:rPr>
        <w:t>合理股价</w:t>
      </w:r>
      <w:r w:rsidRPr="006F7296">
        <w:rPr>
          <w:bCs/>
          <w:color w:val="FF0000"/>
        </w:rPr>
        <w:t xml:space="preserve"> = 每股收益（EPS）x合理的市盈率(P/E)</w:t>
      </w:r>
    </w:p>
    <w:p w14:paraId="706900EE" w14:textId="255255F8" w:rsidR="00B4461E" w:rsidRPr="00B4461E" w:rsidRDefault="006F7296" w:rsidP="00B4461E">
      <w:pPr>
        <w:ind w:left="360"/>
        <w:rPr>
          <w:bCs/>
          <w:color w:val="FF0000"/>
        </w:rPr>
      </w:pPr>
      <w:r w:rsidRPr="006F7296">
        <w:rPr>
          <w:rFonts w:hint="eastAsia"/>
          <w:bCs/>
          <w:color w:val="FF0000"/>
        </w:rPr>
        <w:t>如果某上市公司市盈率高于</w:t>
      </w:r>
      <w:r w:rsidRPr="006F7296">
        <w:rPr>
          <w:rFonts w:hint="eastAsia"/>
          <w:b/>
          <w:color w:val="4472C4" w:themeColor="accent1"/>
        </w:rPr>
        <w:t>之前年度市盈率</w:t>
      </w:r>
      <w:r w:rsidRPr="006F7296">
        <w:rPr>
          <w:rFonts w:hint="eastAsia"/>
          <w:bCs/>
          <w:color w:val="FF0000"/>
        </w:rPr>
        <w:t>或行业平均市盈率，说明市场预计该公司未来盈利会上升；反之，如果市盈率低于</w:t>
      </w:r>
      <w:r w:rsidRPr="006F7296">
        <w:rPr>
          <w:rFonts w:hint="eastAsia"/>
          <w:b/>
          <w:color w:val="4472C4" w:themeColor="accent1"/>
        </w:rPr>
        <w:t>行业平均水平</w:t>
      </w:r>
      <w:r w:rsidRPr="006F7296">
        <w:rPr>
          <w:rFonts w:hint="eastAsia"/>
          <w:bCs/>
          <w:color w:val="FF0000"/>
        </w:rPr>
        <w:t>，则表示与同业相比，市场预计该公司未来盈利会下降</w:t>
      </w:r>
    </w:p>
    <w:p w14:paraId="329738B3" w14:textId="6DAA2CD2" w:rsidR="00203292" w:rsidRDefault="00E54052" w:rsidP="00915011">
      <w:pPr>
        <w:ind w:left="360"/>
        <w:rPr>
          <w:bCs/>
        </w:rPr>
      </w:pPr>
      <w:r w:rsidRPr="00DF411E">
        <w:rPr>
          <w:rFonts w:hint="eastAsia"/>
          <w:bCs/>
        </w:rPr>
        <w:t>2</w:t>
      </w:r>
      <w:r w:rsidRPr="00DF411E">
        <w:rPr>
          <w:bCs/>
        </w:rPr>
        <w:t>.</w:t>
      </w:r>
      <w:r w:rsidRPr="00507519">
        <w:rPr>
          <w:rFonts w:hint="eastAsia"/>
          <w:b/>
          <w:color w:val="70AD47" w:themeColor="accent6"/>
        </w:rPr>
        <w:t xml:space="preserve">PB </w:t>
      </w:r>
      <w:r w:rsidRPr="00DF411E">
        <w:rPr>
          <w:bCs/>
        </w:rPr>
        <w:t>(市净率）估值法</w:t>
      </w:r>
      <w:r w:rsidR="00987E4C">
        <w:rPr>
          <w:rFonts w:hint="eastAsia"/>
          <w:bCs/>
        </w:rPr>
        <w:t xml:space="preserve"> </w:t>
      </w:r>
      <w:r w:rsidR="00203292" w:rsidRPr="00203292">
        <w:rPr>
          <w:rFonts w:hint="eastAsia"/>
          <w:bCs/>
        </w:rPr>
        <w:t>从公司资产价值的角度</w:t>
      </w:r>
      <w:r w:rsidR="00B4461E">
        <w:rPr>
          <w:rFonts w:hint="eastAsia"/>
          <w:bCs/>
        </w:rPr>
        <w:t xml:space="preserve"> </w:t>
      </w:r>
      <w:r w:rsidR="00B4461E">
        <w:rPr>
          <w:bCs/>
        </w:rPr>
        <w:t xml:space="preserve"> </w:t>
      </w:r>
      <w:r w:rsidR="00B4461E" w:rsidRPr="00B7043C">
        <w:rPr>
          <w:rFonts w:hint="eastAsia"/>
          <w:b/>
          <w:bCs/>
          <w:color w:val="FF0000"/>
        </w:rPr>
        <w:t>市净率=股票市价/</w:t>
      </w:r>
      <w:r w:rsidR="00B4461E" w:rsidRPr="00CB223E">
        <w:rPr>
          <w:rFonts w:hint="eastAsia"/>
          <w:b/>
          <w:bCs/>
          <w:color w:val="FF0000"/>
          <w:highlight w:val="yellow"/>
        </w:rPr>
        <w:t>每股净资产</w:t>
      </w:r>
    </w:p>
    <w:p w14:paraId="5231B397" w14:textId="2222CE99" w:rsidR="008879C8" w:rsidRDefault="00565190" w:rsidP="00E45642">
      <w:pPr>
        <w:ind w:left="360" w:firstLine="420"/>
        <w:rPr>
          <w:b/>
        </w:rPr>
      </w:pPr>
      <w:r w:rsidRPr="00D31BA5">
        <w:rPr>
          <w:b/>
          <w:highlight w:val="yellow"/>
        </w:rPr>
        <w:t>PB=PE×ROE</w:t>
      </w:r>
    </w:p>
    <w:p w14:paraId="5B9DB58B" w14:textId="01A62B09" w:rsidR="008879C8" w:rsidRPr="008879C8" w:rsidRDefault="008879C8" w:rsidP="008879C8">
      <w:pPr>
        <w:ind w:left="360" w:firstLine="420"/>
        <w:rPr>
          <w:b/>
        </w:rPr>
      </w:pPr>
      <w:r w:rsidRPr="008879C8">
        <w:rPr>
          <w:b/>
        </w:rPr>
        <w:t xml:space="preserve">ROE(净资产收益率) = </w:t>
      </w:r>
      <w:r w:rsidRPr="00CB223E">
        <w:rPr>
          <w:b/>
          <w:highlight w:val="yellow"/>
        </w:rPr>
        <w:t>净利润</w:t>
      </w:r>
      <w:r w:rsidRPr="008879C8">
        <w:rPr>
          <w:b/>
        </w:rPr>
        <w:t xml:space="preserve"> / </w:t>
      </w:r>
      <w:r w:rsidRPr="008879C8">
        <w:rPr>
          <w:b/>
          <w:color w:val="FF0000"/>
        </w:rPr>
        <w:t>所有者权益</w:t>
      </w:r>
      <w:r>
        <w:rPr>
          <w:b/>
          <w:color w:val="FF0000"/>
        </w:rPr>
        <w:t>(</w:t>
      </w:r>
      <w:r>
        <w:rPr>
          <w:rFonts w:hint="eastAsia"/>
          <w:b/>
          <w:color w:val="FF0000"/>
        </w:rPr>
        <w:t>净资产</w:t>
      </w:r>
      <w:r>
        <w:rPr>
          <w:b/>
          <w:color w:val="FF0000"/>
        </w:rPr>
        <w:t>)</w:t>
      </w:r>
    </w:p>
    <w:p w14:paraId="04DA1E3E" w14:textId="3EBFC870" w:rsidR="008879C8" w:rsidRDefault="008879C8" w:rsidP="008879C8">
      <w:pPr>
        <w:ind w:left="360" w:firstLine="420"/>
        <w:rPr>
          <w:b/>
        </w:rPr>
      </w:pPr>
      <w:r w:rsidRPr="008879C8">
        <w:rPr>
          <w:b/>
        </w:rPr>
        <w:t>ROA(总资产收益率) = 净利润 / 总资产</w:t>
      </w:r>
      <w:r w:rsidR="00E45642">
        <w:rPr>
          <w:rFonts w:hint="eastAsia"/>
          <w:b/>
        </w:rPr>
        <w:t xml:space="preserve"> </w:t>
      </w:r>
      <w:r w:rsidR="00E45642">
        <w:rPr>
          <w:b/>
        </w:rPr>
        <w:t xml:space="preserve">= </w:t>
      </w:r>
      <w:r w:rsidR="00E45642">
        <w:rPr>
          <w:rFonts w:hint="eastAsia"/>
          <w:b/>
        </w:rPr>
        <w:t>净利率*资金周转率</w:t>
      </w:r>
    </w:p>
    <w:p w14:paraId="76F93673" w14:textId="23A7FAAA" w:rsidR="00E45642" w:rsidRDefault="00E45642" w:rsidP="00EA7A00">
      <w:pPr>
        <w:ind w:left="360" w:firstLine="420"/>
        <w:rPr>
          <w:b/>
        </w:rPr>
      </w:pPr>
      <w:r w:rsidRPr="00F371B5">
        <w:rPr>
          <w:rFonts w:hint="eastAsia"/>
          <w:b/>
          <w:highlight w:val="cyan"/>
        </w:rPr>
        <w:lastRenderedPageBreak/>
        <w:t xml:space="preserve">杜邦恒等式： </w:t>
      </w:r>
      <w:r w:rsidR="000E3B6A" w:rsidRPr="00F371B5">
        <w:rPr>
          <w:b/>
          <w:highlight w:val="cyan"/>
        </w:rPr>
        <w:t>ROE=ROA*</w:t>
      </w:r>
      <w:r w:rsidR="000E3B6A" w:rsidRPr="00F371B5">
        <w:rPr>
          <w:rFonts w:hint="eastAsia"/>
          <w:b/>
          <w:highlight w:val="cyan"/>
        </w:rPr>
        <w:t>权益乘数</w:t>
      </w:r>
    </w:p>
    <w:p w14:paraId="6A52E370" w14:textId="2CE2615C" w:rsidR="00EA7A00" w:rsidRPr="00EA7A00" w:rsidRDefault="00EA7A00" w:rsidP="00EA7A00">
      <w:pPr>
        <w:ind w:left="360" w:firstLine="420"/>
        <w:rPr>
          <w:b/>
        </w:rPr>
      </w:pPr>
      <w:r w:rsidRPr="00EA7A00">
        <w:rPr>
          <w:rFonts w:hint="eastAsia"/>
          <w:b/>
        </w:rPr>
        <w:t>这个指标可以分解为如下三者之积，这就是杜邦公式。</w:t>
      </w:r>
    </w:p>
    <w:p w14:paraId="679B9F2F" w14:textId="7E481063" w:rsidR="00EA7A00" w:rsidRPr="00EA7A00" w:rsidRDefault="00EA7A00" w:rsidP="00EA7A00">
      <w:pPr>
        <w:ind w:left="360" w:firstLine="420"/>
        <w:rPr>
          <w:b/>
        </w:rPr>
      </w:pPr>
      <w:r w:rsidRPr="00EA7A00">
        <w:rPr>
          <w:rFonts w:hint="eastAsia"/>
          <w:b/>
        </w:rPr>
        <w:t>权益收益率</w:t>
      </w:r>
      <w:r w:rsidRPr="00EA7A00">
        <w:rPr>
          <w:b/>
        </w:rPr>
        <w:t>=净利润/销售额*销售额/资产*资产/总权益</w:t>
      </w:r>
    </w:p>
    <w:p w14:paraId="4597D960" w14:textId="0D450BCD" w:rsidR="00EA7A00" w:rsidRPr="00EA7A00" w:rsidRDefault="00EA7A00" w:rsidP="00EA7A00">
      <w:pPr>
        <w:ind w:left="360" w:firstLine="420"/>
        <w:rPr>
          <w:b/>
        </w:rPr>
      </w:pPr>
      <w:r w:rsidRPr="00EA7A00">
        <w:rPr>
          <w:rFonts w:hint="eastAsia"/>
          <w:b/>
        </w:rPr>
        <w:t>杜邦恒等式说明，</w:t>
      </w:r>
      <w:r w:rsidRPr="00EA7A00">
        <w:rPr>
          <w:b/>
        </w:rPr>
        <w:t>ROE受三个方面因素的影响：</w:t>
      </w:r>
    </w:p>
    <w:p w14:paraId="26188302" w14:textId="6AF67DCD" w:rsidR="00EA7A00" w:rsidRPr="00EA7A00" w:rsidRDefault="00EA7A00" w:rsidP="00EA7A00">
      <w:pPr>
        <w:ind w:left="360" w:firstLine="420"/>
        <w:rPr>
          <w:b/>
        </w:rPr>
      </w:pPr>
      <w:r w:rsidRPr="00EA7A00">
        <w:rPr>
          <w:rFonts w:hint="eastAsia"/>
          <w:b/>
        </w:rPr>
        <w:t>（</w:t>
      </w:r>
      <w:r w:rsidRPr="00EA7A00">
        <w:rPr>
          <w:b/>
        </w:rPr>
        <w:t>1）经营效率（以销售利润率度量）</w:t>
      </w:r>
    </w:p>
    <w:p w14:paraId="1D0B28D2" w14:textId="3B41EB8E" w:rsidR="00EA7A00" w:rsidRPr="00EA7A00" w:rsidRDefault="00EA7A00" w:rsidP="00EA7A00">
      <w:pPr>
        <w:ind w:left="360" w:firstLine="420"/>
        <w:rPr>
          <w:b/>
        </w:rPr>
      </w:pPr>
      <w:r w:rsidRPr="00EA7A00">
        <w:rPr>
          <w:rFonts w:hint="eastAsia"/>
          <w:b/>
        </w:rPr>
        <w:t>（</w:t>
      </w:r>
      <w:r w:rsidRPr="00EA7A00">
        <w:rPr>
          <w:b/>
        </w:rPr>
        <w:t>2）资产运用效率（以总资产周转率度量）</w:t>
      </w:r>
    </w:p>
    <w:p w14:paraId="1F124B0B" w14:textId="6F2686BB" w:rsidR="00E45642" w:rsidRDefault="00EA7A00" w:rsidP="00EA7A00">
      <w:pPr>
        <w:ind w:left="360" w:firstLine="420"/>
        <w:rPr>
          <w:b/>
        </w:rPr>
      </w:pPr>
      <w:r w:rsidRPr="00EA7A00">
        <w:rPr>
          <w:rFonts w:hint="eastAsia"/>
          <w:b/>
        </w:rPr>
        <w:t>（</w:t>
      </w:r>
      <w:r w:rsidRPr="00EA7A00">
        <w:rPr>
          <w:b/>
        </w:rPr>
        <w:t>3）财务杠杆（以权益乘数度量）</w:t>
      </w:r>
    </w:p>
    <w:p w14:paraId="340B9438" w14:textId="6BD1205A" w:rsidR="00EA7A00" w:rsidRPr="00842247" w:rsidRDefault="00842247" w:rsidP="00EA7A00">
      <w:pPr>
        <w:ind w:left="360" w:firstLine="420"/>
        <w:rPr>
          <w:bCs/>
        </w:rPr>
      </w:pPr>
      <w:r w:rsidRPr="00842247">
        <w:rPr>
          <w:rFonts w:hint="eastAsia"/>
          <w:bCs/>
        </w:rPr>
        <w:t>照杜邦恒等式，增加公司负债似乎有利于提高</w:t>
      </w:r>
      <w:r w:rsidRPr="00842247">
        <w:rPr>
          <w:bCs/>
        </w:rPr>
        <w:t>ROE，但是，增加负债的同时也会提高利息费用，而利息费用的提高会降低销售利润率，并进而引起ROE的降低。所以，ROE可能会随着负债的增加而上升，也可能会随着负债的增加而下降，视情况而定。</w:t>
      </w:r>
    </w:p>
    <w:p w14:paraId="50D2FD94" w14:textId="77777777" w:rsidR="00842247" w:rsidRPr="00565190" w:rsidRDefault="00842247" w:rsidP="00EA7A00">
      <w:pPr>
        <w:ind w:left="360" w:firstLine="420"/>
        <w:rPr>
          <w:b/>
        </w:rPr>
      </w:pPr>
    </w:p>
    <w:p w14:paraId="7FFC1849" w14:textId="3C19F2FB" w:rsidR="00203292" w:rsidRDefault="00203292" w:rsidP="00915011">
      <w:pPr>
        <w:ind w:left="360"/>
        <w:rPr>
          <w:bCs/>
        </w:rPr>
      </w:pPr>
      <w:r w:rsidRPr="00203292">
        <w:rPr>
          <w:rFonts w:hint="eastAsia"/>
          <w:bCs/>
        </w:rPr>
        <w:t>没有考虑企业</w:t>
      </w:r>
      <w:r w:rsidRPr="00CB223E">
        <w:rPr>
          <w:rFonts w:hint="eastAsia"/>
          <w:b/>
        </w:rPr>
        <w:t>的盈利</w:t>
      </w:r>
      <w:r w:rsidRPr="00203292">
        <w:rPr>
          <w:rFonts w:hint="eastAsia"/>
          <w:bCs/>
        </w:rPr>
        <w:t>，也没有考虑公司的</w:t>
      </w:r>
      <w:r w:rsidRPr="00CB223E">
        <w:rPr>
          <w:rFonts w:hint="eastAsia"/>
          <w:b/>
        </w:rPr>
        <w:t>业绩增速</w:t>
      </w:r>
      <w:r w:rsidRPr="00203292">
        <w:rPr>
          <w:rFonts w:hint="eastAsia"/>
          <w:bCs/>
        </w:rPr>
        <w:t>，单纯就是从公司清算的角度出发，我以现在的价格买下这家公司，然后退市清盘，到底划不划算</w:t>
      </w:r>
    </w:p>
    <w:p w14:paraId="44EA088A" w14:textId="4C28723F" w:rsidR="00E54052" w:rsidRDefault="00987E4C" w:rsidP="00915011">
      <w:pPr>
        <w:ind w:left="360"/>
        <w:rPr>
          <w:bCs/>
        </w:rPr>
      </w:pPr>
      <w:r>
        <w:rPr>
          <w:bCs/>
        </w:rPr>
        <w:t xml:space="preserve"> </w:t>
      </w:r>
      <w:r w:rsidR="00E43CEB">
        <w:rPr>
          <w:rFonts w:hint="eastAsia"/>
          <w:bCs/>
        </w:rPr>
        <w:t>一般用于银行</w:t>
      </w:r>
      <w:r w:rsidR="00203292" w:rsidRPr="00203292">
        <w:rPr>
          <w:rFonts w:hint="eastAsia"/>
          <w:bCs/>
        </w:rPr>
        <w:t>保险</w:t>
      </w:r>
      <w:r w:rsidR="009A0EF2">
        <w:rPr>
          <w:rFonts w:hint="eastAsia"/>
          <w:bCs/>
        </w:rPr>
        <w:t>地产</w:t>
      </w:r>
      <w:r w:rsidR="00203292" w:rsidRPr="00203292">
        <w:rPr>
          <w:rFonts w:hint="eastAsia"/>
          <w:bCs/>
        </w:rPr>
        <w:t>公司</w:t>
      </w:r>
      <w:r w:rsidR="00203292" w:rsidRPr="00CB223E">
        <w:rPr>
          <w:rFonts w:hint="eastAsia"/>
          <w:b/>
        </w:rPr>
        <w:t>这类</w:t>
      </w:r>
      <w:r w:rsidR="00565190" w:rsidRPr="00CB223E">
        <w:rPr>
          <w:rFonts w:hint="eastAsia"/>
          <w:b/>
        </w:rPr>
        <w:t>运行大规模资产的公式</w:t>
      </w:r>
      <w:r w:rsidR="00550AA7">
        <w:rPr>
          <w:rFonts w:hint="eastAsia"/>
          <w:bCs/>
        </w:rPr>
        <w:t>，更好能反映企业是否被低估</w:t>
      </w:r>
      <w:r w:rsidR="00565190">
        <w:rPr>
          <w:rFonts w:hint="eastAsia"/>
          <w:bCs/>
        </w:rPr>
        <w:t>（R</w:t>
      </w:r>
      <w:r w:rsidR="00565190">
        <w:rPr>
          <w:bCs/>
        </w:rPr>
        <w:t>OE</w:t>
      </w:r>
      <w:r w:rsidR="00565190">
        <w:rPr>
          <w:rFonts w:hint="eastAsia"/>
          <w:bCs/>
        </w:rPr>
        <w:t>高，P</w:t>
      </w:r>
      <w:r w:rsidR="00565190">
        <w:rPr>
          <w:bCs/>
        </w:rPr>
        <w:t>B</w:t>
      </w:r>
      <w:r w:rsidR="00565190">
        <w:rPr>
          <w:rFonts w:hint="eastAsia"/>
          <w:bCs/>
        </w:rPr>
        <w:t>低的股票很好）</w:t>
      </w:r>
      <w:r w:rsidR="00203292">
        <w:rPr>
          <w:rFonts w:hint="eastAsia"/>
          <w:bCs/>
        </w:rPr>
        <w:t>。</w:t>
      </w:r>
      <w:r w:rsidR="00203292" w:rsidRPr="00CB223E">
        <w:rPr>
          <w:rFonts w:hint="eastAsia"/>
          <w:b/>
        </w:rPr>
        <w:t>企业未来的盈利能力不稳定，</w:t>
      </w:r>
      <w:r w:rsidR="00EF5B30" w:rsidRPr="00CB223E">
        <w:rPr>
          <w:rFonts w:hint="eastAsia"/>
          <w:b/>
        </w:rPr>
        <w:t>高风险，周期性</w:t>
      </w:r>
      <w:r w:rsidR="00EF5B30">
        <w:rPr>
          <w:rFonts w:hint="eastAsia"/>
          <w:bCs/>
        </w:rPr>
        <w:t>，蔽日</w:t>
      </w:r>
      <w:r w:rsidR="00203292" w:rsidRPr="00203292">
        <w:rPr>
          <w:bCs/>
        </w:rPr>
        <w:t>宝钢股份</w:t>
      </w:r>
    </w:p>
    <w:p w14:paraId="7DF5F899" w14:textId="31B8CB44" w:rsidR="00203292" w:rsidRPr="00DF411E" w:rsidRDefault="00203292" w:rsidP="00915011">
      <w:pPr>
        <w:ind w:left="360"/>
        <w:rPr>
          <w:bCs/>
        </w:rPr>
      </w:pPr>
      <w:r w:rsidRPr="00203292">
        <w:rPr>
          <w:rFonts w:hint="eastAsia"/>
          <w:bCs/>
        </w:rPr>
        <w:t>一个相对高的</w:t>
      </w:r>
      <w:r w:rsidRPr="00203292">
        <w:rPr>
          <w:bCs/>
        </w:rPr>
        <w:t>PB倍数反映投资者预期较高的回报</w:t>
      </w:r>
    </w:p>
    <w:p w14:paraId="23256852" w14:textId="4E2A8AA0" w:rsidR="002439D2" w:rsidRDefault="00E54052" w:rsidP="00915011">
      <w:pPr>
        <w:ind w:left="360"/>
        <w:rPr>
          <w:bCs/>
        </w:rPr>
      </w:pPr>
      <w:r w:rsidRPr="00DF411E">
        <w:rPr>
          <w:rFonts w:hint="eastAsia"/>
          <w:bCs/>
        </w:rPr>
        <w:t>3</w:t>
      </w:r>
      <w:r w:rsidRPr="00DF411E">
        <w:rPr>
          <w:bCs/>
        </w:rPr>
        <w:t>.</w:t>
      </w:r>
      <w:r w:rsidRPr="00507519">
        <w:rPr>
          <w:rFonts w:hint="eastAsia"/>
          <w:b/>
          <w:color w:val="70AD47" w:themeColor="accent6"/>
        </w:rPr>
        <w:t>PEG(PE/增长率)</w:t>
      </w:r>
      <w:r w:rsidRPr="00DF411E">
        <w:rPr>
          <w:rFonts w:hint="eastAsia"/>
          <w:bCs/>
        </w:rPr>
        <w:t>估值法</w:t>
      </w:r>
      <w:r w:rsidR="00E43CEB">
        <w:rPr>
          <w:rFonts w:hint="eastAsia"/>
          <w:bCs/>
        </w:rPr>
        <w:t xml:space="preserve"> </w:t>
      </w:r>
      <w:r w:rsidR="00E43CEB">
        <w:rPr>
          <w:bCs/>
        </w:rPr>
        <w:t xml:space="preserve"> </w:t>
      </w:r>
      <w:r w:rsidR="002439D2" w:rsidRPr="002439D2">
        <w:rPr>
          <w:bCs/>
        </w:rPr>
        <w:t>PEG=PE/</w:t>
      </w:r>
      <w:r w:rsidR="002439D2">
        <w:rPr>
          <w:rFonts w:hint="eastAsia"/>
          <w:bCs/>
        </w:rPr>
        <w:t>g</w:t>
      </w:r>
      <w:r w:rsidR="002439D2" w:rsidRPr="002439D2">
        <w:rPr>
          <w:bCs/>
        </w:rPr>
        <w:t>盈利增长率</w:t>
      </w:r>
      <w:r w:rsidR="002439D2">
        <w:rPr>
          <w:rFonts w:hint="eastAsia"/>
          <w:bCs/>
        </w:rPr>
        <w:t xml:space="preserve">(主营业务的增长率 </w:t>
      </w:r>
      <w:r w:rsidR="002439D2">
        <w:rPr>
          <w:bCs/>
        </w:rPr>
        <w:t>)</w:t>
      </w:r>
    </w:p>
    <w:p w14:paraId="615672BE" w14:textId="11CD262F" w:rsidR="00E54052" w:rsidRDefault="00E43CEB" w:rsidP="00915011">
      <w:pPr>
        <w:ind w:left="360"/>
        <w:rPr>
          <w:bCs/>
        </w:rPr>
      </w:pPr>
      <w:r>
        <w:rPr>
          <w:rFonts w:hint="eastAsia"/>
          <w:bCs/>
        </w:rPr>
        <w:t>评估</w:t>
      </w:r>
      <w:r w:rsidRPr="00D7495A">
        <w:rPr>
          <w:rFonts w:hint="eastAsia"/>
          <w:b/>
        </w:rPr>
        <w:t>成长</w:t>
      </w:r>
      <w:r w:rsidR="0005763E" w:rsidRPr="00D7495A">
        <w:rPr>
          <w:rFonts w:hint="eastAsia"/>
          <w:b/>
        </w:rPr>
        <w:t>型企业</w:t>
      </w:r>
    </w:p>
    <w:p w14:paraId="063EA13C" w14:textId="5627C12C" w:rsidR="00D7495A" w:rsidRDefault="00D7495A" w:rsidP="00915011">
      <w:pPr>
        <w:ind w:left="360"/>
        <w:rPr>
          <w:bCs/>
        </w:rPr>
      </w:pPr>
      <w:r w:rsidRPr="00D7495A">
        <w:rPr>
          <w:rFonts w:hint="eastAsia"/>
          <w:bCs/>
        </w:rPr>
        <w:t>里面考虑到了</w:t>
      </w:r>
      <w:r w:rsidRPr="00D7495A">
        <w:rPr>
          <w:rFonts w:hint="eastAsia"/>
          <w:b/>
        </w:rPr>
        <w:t>企业的盈利</w:t>
      </w:r>
      <w:r w:rsidRPr="00D7495A">
        <w:rPr>
          <w:rFonts w:hint="eastAsia"/>
          <w:bCs/>
        </w:rPr>
        <w:t>、</w:t>
      </w:r>
      <w:r w:rsidRPr="00D7495A">
        <w:rPr>
          <w:rFonts w:hint="eastAsia"/>
          <w:b/>
        </w:rPr>
        <w:t>市值</w:t>
      </w:r>
      <w:r w:rsidRPr="00D7495A">
        <w:rPr>
          <w:rFonts w:hint="eastAsia"/>
          <w:bCs/>
        </w:rPr>
        <w:t>以及</w:t>
      </w:r>
      <w:r w:rsidRPr="00D7495A">
        <w:rPr>
          <w:rFonts w:hint="eastAsia"/>
          <w:b/>
        </w:rPr>
        <w:t>业绩增速</w:t>
      </w:r>
      <w:r w:rsidRPr="00D7495A">
        <w:rPr>
          <w:rFonts w:hint="eastAsia"/>
          <w:bCs/>
        </w:rPr>
        <w:t>，没有考虑</w:t>
      </w:r>
      <w:r w:rsidRPr="00CB223E">
        <w:rPr>
          <w:rFonts w:hint="eastAsia"/>
          <w:b/>
        </w:rPr>
        <w:t>到净资产</w:t>
      </w:r>
    </w:p>
    <w:p w14:paraId="2FB64DAA" w14:textId="0228CE0C" w:rsidR="00D7495A" w:rsidRDefault="00FC5D53" w:rsidP="00915011">
      <w:pPr>
        <w:ind w:left="360"/>
        <w:rPr>
          <w:bCs/>
        </w:rPr>
      </w:pPr>
      <w:r>
        <w:rPr>
          <w:rFonts w:hint="eastAsia"/>
          <w:bCs/>
        </w:rPr>
        <w:t>4</w:t>
      </w:r>
      <w:r>
        <w:rPr>
          <w:bCs/>
        </w:rPr>
        <w:t>.</w:t>
      </w:r>
      <w:r w:rsidRPr="00507519">
        <w:rPr>
          <w:b/>
          <w:color w:val="70AD47" w:themeColor="accent6"/>
        </w:rPr>
        <w:t xml:space="preserve">PS </w:t>
      </w:r>
      <w:r>
        <w:rPr>
          <w:rFonts w:hint="eastAsia"/>
          <w:bCs/>
        </w:rPr>
        <w:t>市售</w:t>
      </w:r>
      <w:r w:rsidR="002961E9">
        <w:rPr>
          <w:rFonts w:hint="eastAsia"/>
          <w:bCs/>
        </w:rPr>
        <w:t>率</w:t>
      </w:r>
      <w:r w:rsidR="00642961">
        <w:rPr>
          <w:rFonts w:hint="eastAsia"/>
          <w:bCs/>
        </w:rPr>
        <w:t xml:space="preserve"> </w:t>
      </w:r>
      <w:r w:rsidR="00642961">
        <w:rPr>
          <w:bCs/>
        </w:rPr>
        <w:t xml:space="preserve"> </w:t>
      </w:r>
      <w:r w:rsidR="00C7592D">
        <w:rPr>
          <w:rFonts w:hint="eastAsia"/>
          <w:bCs/>
        </w:rPr>
        <w:t>适合没有实现盈利的公司</w:t>
      </w:r>
    </w:p>
    <w:p w14:paraId="7248C99E" w14:textId="546555A9" w:rsidR="00E838A4" w:rsidRPr="00E838A4" w:rsidRDefault="00E838A4" w:rsidP="00E838A4">
      <w:pPr>
        <w:ind w:left="360"/>
        <w:rPr>
          <w:b/>
        </w:rPr>
      </w:pPr>
      <w:r w:rsidRPr="00E838A4">
        <w:rPr>
          <w:b/>
        </w:rPr>
        <w:t>PS=P/S=股价/每股销售收入=市值/销售额</w:t>
      </w:r>
    </w:p>
    <w:p w14:paraId="293AB14C" w14:textId="6D6B9CA5" w:rsidR="00D7495A" w:rsidRPr="00E838A4" w:rsidRDefault="00E838A4" w:rsidP="00E838A4">
      <w:pPr>
        <w:ind w:left="360"/>
        <w:rPr>
          <w:b/>
        </w:rPr>
      </w:pPr>
      <w:r w:rsidRPr="00E838A4">
        <w:rPr>
          <w:b/>
        </w:rPr>
        <w:t>PS=PE*（净利润/销售额）=PE*销售净利率</w:t>
      </w:r>
    </w:p>
    <w:p w14:paraId="09B389B6" w14:textId="2926F6FA" w:rsidR="00FC5D53" w:rsidRDefault="00642961" w:rsidP="00915011">
      <w:pPr>
        <w:ind w:left="360"/>
        <w:rPr>
          <w:bCs/>
        </w:rPr>
      </w:pPr>
      <w:r w:rsidRPr="00E838A4">
        <w:rPr>
          <w:rFonts w:hint="eastAsia"/>
          <w:bCs/>
          <w:highlight w:val="yellow"/>
        </w:rPr>
        <w:t>平台类</w:t>
      </w:r>
      <w:r w:rsidR="00D7495A" w:rsidRPr="00E838A4">
        <w:rPr>
          <w:rFonts w:hint="eastAsia"/>
          <w:bCs/>
          <w:highlight w:val="yellow"/>
        </w:rPr>
        <w:t>(京东、瑞信)</w:t>
      </w:r>
      <w:r w:rsidRPr="00E838A4">
        <w:rPr>
          <w:rFonts w:hint="eastAsia"/>
          <w:bCs/>
          <w:highlight w:val="yellow"/>
        </w:rPr>
        <w:t>和科技类公司</w:t>
      </w:r>
    </w:p>
    <w:p w14:paraId="4B62D1D8" w14:textId="4268A7C5" w:rsidR="00DC07BB" w:rsidRPr="00DF411E" w:rsidRDefault="00E838A4" w:rsidP="00915011">
      <w:pPr>
        <w:ind w:left="360"/>
        <w:rPr>
          <w:bCs/>
        </w:rPr>
      </w:pPr>
      <w:r w:rsidRPr="00E838A4">
        <w:rPr>
          <w:rFonts w:hint="eastAsia"/>
          <w:bCs/>
        </w:rPr>
        <w:t>无法反映公司的成本控制能力</w:t>
      </w:r>
    </w:p>
    <w:p w14:paraId="4C7CD058" w14:textId="45E4CA13" w:rsidR="009A1DF9" w:rsidRPr="00D31BA5" w:rsidRDefault="009A1DF9" w:rsidP="003C1E14">
      <w:pPr>
        <w:pStyle w:val="a3"/>
        <w:numPr>
          <w:ilvl w:val="0"/>
          <w:numId w:val="5"/>
        </w:numPr>
        <w:ind w:firstLineChars="0"/>
        <w:rPr>
          <w:b/>
          <w:color w:val="C45911" w:themeColor="accent2" w:themeShade="BF"/>
        </w:rPr>
      </w:pPr>
      <w:r w:rsidRPr="002F7658">
        <w:rPr>
          <w:rFonts w:hint="eastAsia"/>
          <w:b/>
          <w:bCs/>
          <w:color w:val="C45911" w:themeColor="accent2" w:themeShade="BF"/>
        </w:rPr>
        <w:t>绝对估值法</w:t>
      </w:r>
      <w:r w:rsidR="00D2232A">
        <w:rPr>
          <w:rFonts w:hint="eastAsia"/>
          <w:b/>
          <w:bCs/>
          <w:color w:val="C45911" w:themeColor="accent2" w:themeShade="BF"/>
        </w:rPr>
        <w:t xml:space="preserve"> </w:t>
      </w:r>
      <w:r w:rsidR="00BC5E82">
        <w:rPr>
          <w:b/>
          <w:bCs/>
          <w:color w:val="C45911" w:themeColor="accent2" w:themeShade="BF"/>
        </w:rPr>
        <w:t xml:space="preserve">  </w:t>
      </w:r>
    </w:p>
    <w:p w14:paraId="7529102B" w14:textId="5B14236D" w:rsidR="00D31BA5" w:rsidRPr="005B0CE2" w:rsidRDefault="005B0CE2" w:rsidP="00D31BA5">
      <w:pPr>
        <w:rPr>
          <w:b/>
          <w:color w:val="4472C4" w:themeColor="accent1"/>
        </w:rPr>
      </w:pPr>
      <w:r w:rsidRPr="00BB602F">
        <w:rPr>
          <w:b/>
          <w:color w:val="4472C4" w:themeColor="accent1"/>
          <w:highlight w:val="lightGray"/>
        </w:rPr>
        <w:t>DDM估值法</w:t>
      </w:r>
      <w:r w:rsidR="00BB602F">
        <w:rPr>
          <w:rFonts w:hint="eastAsia"/>
          <w:b/>
          <w:color w:val="4472C4" w:themeColor="accent1"/>
        </w:rPr>
        <w:t xml:space="preserve"> </w:t>
      </w:r>
      <w:r w:rsidR="00BB602F">
        <w:rPr>
          <w:b/>
          <w:color w:val="4472C4" w:themeColor="accent1"/>
        </w:rPr>
        <w:t xml:space="preserve"> </w:t>
      </w:r>
      <w:r w:rsidR="00BB602F">
        <w:rPr>
          <w:rFonts w:hint="eastAsia"/>
          <w:b/>
          <w:color w:val="4472C4" w:themeColor="accent1"/>
        </w:rPr>
        <w:t>感觉考的可能性也挺大的</w:t>
      </w:r>
      <w:r w:rsidR="00EA7A00" w:rsidRPr="00DF411E">
        <w:rPr>
          <w:rFonts w:hint="eastAsia"/>
        </w:rPr>
        <w:t>股票的内在价值等于其日后获得的全部股息的现值</w:t>
      </w:r>
    </w:p>
    <w:p w14:paraId="44A8DB5A" w14:textId="419686EA" w:rsidR="00D31BA5" w:rsidRPr="00D31BA5" w:rsidRDefault="00D31BA5" w:rsidP="00D31BA5">
      <w:pPr>
        <w:rPr>
          <w:bCs/>
          <w:color w:val="C45911" w:themeColor="accent2" w:themeShade="BF"/>
        </w:rPr>
      </w:pPr>
      <w:r>
        <w:rPr>
          <w:noProof/>
        </w:rPr>
        <w:drawing>
          <wp:inline distT="0" distB="0" distL="0" distR="0" wp14:anchorId="46C28597" wp14:editId="75EC5DBD">
            <wp:extent cx="5274310" cy="1392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92555"/>
                    </a:xfrm>
                    <a:prstGeom prst="rect">
                      <a:avLst/>
                    </a:prstGeom>
                  </pic:spPr>
                </pic:pic>
              </a:graphicData>
            </a:graphic>
          </wp:inline>
        </w:drawing>
      </w:r>
    </w:p>
    <w:p w14:paraId="6B519A54" w14:textId="6CA04215" w:rsidR="009A1DF9" w:rsidRPr="00DF411E" w:rsidRDefault="009A1DF9" w:rsidP="00B75BB3">
      <w:r w:rsidRPr="00B75BB3">
        <w:rPr>
          <w:rFonts w:hint="eastAsia"/>
          <w:bCs/>
        </w:rPr>
        <w:t>1</w:t>
      </w:r>
      <w:r w:rsidRPr="00B75BB3">
        <w:rPr>
          <w:bCs/>
        </w:rPr>
        <w:t>.</w:t>
      </w:r>
      <w:r w:rsidRPr="00E65E6B">
        <w:rPr>
          <w:rFonts w:hint="eastAsia"/>
          <w:b/>
          <w:color w:val="4472C4" w:themeColor="accent1"/>
        </w:rPr>
        <w:t>D</w:t>
      </w:r>
      <w:r w:rsidRPr="00B75BB3">
        <w:rPr>
          <w:rFonts w:hint="eastAsia"/>
          <w:b/>
          <w:color w:val="4472C4" w:themeColor="accent1"/>
        </w:rPr>
        <w:t>CF方法</w:t>
      </w:r>
      <w:r w:rsidR="00915011" w:rsidRPr="00B75BB3">
        <w:rPr>
          <w:b/>
          <w:color w:val="4472C4" w:themeColor="accent1"/>
        </w:rPr>
        <w:t xml:space="preserve"> </w:t>
      </w:r>
    </w:p>
    <w:p w14:paraId="13202533" w14:textId="1AAAE3E5" w:rsidR="00994711" w:rsidRPr="00994711" w:rsidRDefault="009A1DF9" w:rsidP="00994711">
      <w:pPr>
        <w:ind w:firstLineChars="150" w:firstLine="315"/>
      </w:pPr>
      <w:r w:rsidRPr="00DF411E">
        <w:rPr>
          <w:rFonts w:hint="eastAsia"/>
        </w:rPr>
        <w:t>目前国际评估惯例中，最基本评估方法之一就是</w:t>
      </w:r>
      <w:r w:rsidRPr="00493E90">
        <w:rPr>
          <w:rFonts w:hint="eastAsia"/>
          <w:b/>
          <w:bCs/>
          <w:color w:val="FF0000"/>
        </w:rPr>
        <w:t>现金流量折现模型</w:t>
      </w:r>
      <w:r w:rsidRPr="00DF411E">
        <w:rPr>
          <w:rFonts w:hint="eastAsia"/>
        </w:rPr>
        <w:t>（Discounted Cash Flow Model, DCF）。</w:t>
      </w:r>
      <w:r w:rsidR="005862EC">
        <w:rPr>
          <w:rFonts w:hint="eastAsia"/>
        </w:rPr>
        <w:t>即</w:t>
      </w:r>
      <w:r w:rsidR="005862EC" w:rsidRPr="00EA7A00">
        <w:rPr>
          <w:rFonts w:hint="eastAsia"/>
          <w:highlight w:val="cyan"/>
        </w:rPr>
        <w:t>通过预测企业未来期间的现金流量，以企业的加权资本成本作为折现率，对预测的各期实体现金流量进行折现，</w:t>
      </w:r>
      <w:r w:rsidRPr="00EA7A00">
        <w:rPr>
          <w:rFonts w:hint="eastAsia"/>
          <w:highlight w:val="cyan"/>
        </w:rPr>
        <w:t>评估</w:t>
      </w:r>
      <w:r w:rsidRPr="00EA7A00">
        <w:rPr>
          <w:rFonts w:hint="eastAsia"/>
          <w:b/>
          <w:bCs/>
          <w:highlight w:val="cyan"/>
        </w:rPr>
        <w:t>企业将来的预期经济收益</w:t>
      </w:r>
      <w:r w:rsidR="00994711">
        <w:t xml:space="preserve"> </w:t>
      </w:r>
    </w:p>
    <w:p w14:paraId="50684489" w14:textId="4B1A1E00" w:rsidR="00994711" w:rsidRDefault="00994711" w:rsidP="005862EC">
      <w:pPr>
        <w:ind w:firstLineChars="150" w:firstLine="315"/>
      </w:pPr>
    </w:p>
    <w:p w14:paraId="089EC7F9" w14:textId="77777777" w:rsidR="00994711" w:rsidRDefault="00994711" w:rsidP="00994711">
      <w:pPr>
        <w:ind w:firstLineChars="150" w:firstLine="315"/>
      </w:pPr>
      <w:r>
        <w:t>P0 = (E0CF1)/(1 + r) + (E0CF2)/(1 + r)2 + ... (延续到无限期)</w:t>
      </w:r>
    </w:p>
    <w:p w14:paraId="43FDC4DC" w14:textId="4F6EA10D" w:rsidR="00994711" w:rsidRDefault="00994711" w:rsidP="00994711">
      <w:r>
        <w:t>P0代表某一企业、资产或工程的现值（当前价值），E0CFn代表当前预测的未来第n期产生的自由现金流，r代表自由现金流的折现率，即资本成本。这一模型的涵义是：一项投资或一个企业的当前价值，等于其未来所产生的现金流的现值之和。</w:t>
      </w:r>
    </w:p>
    <w:p w14:paraId="3F889E5B" w14:textId="77777777" w:rsidR="00994711" w:rsidRDefault="00994711" w:rsidP="005862EC">
      <w:pPr>
        <w:ind w:firstLineChars="150" w:firstLine="315"/>
      </w:pPr>
    </w:p>
    <w:p w14:paraId="4001D4C4" w14:textId="525496DD" w:rsidR="005862EC" w:rsidRDefault="005862EC" w:rsidP="005862EC">
      <w:pPr>
        <w:ind w:firstLineChars="150" w:firstLine="315"/>
      </w:pPr>
      <w:r>
        <w:t>加权资本成本既要考虑债务资本成本也要考</w:t>
      </w:r>
      <w:r>
        <w:rPr>
          <w:rFonts w:hint="eastAsia"/>
        </w:rPr>
        <w:t>虑股权资本成本，同时还要考虑企业的资本结构。</w:t>
      </w:r>
      <w:r>
        <w:t>所谓债务资本成本即债权人要求的最低报酬</w:t>
      </w:r>
      <w:r>
        <w:rPr>
          <w:rFonts w:hint="eastAsia"/>
        </w:rPr>
        <w:t>率，或则说必要报酬率；股权资本成本即股东要求的最低报酬率</w:t>
      </w:r>
    </w:p>
    <w:p w14:paraId="122C7826" w14:textId="5CB5F603" w:rsidR="005862EC" w:rsidRDefault="005862EC" w:rsidP="005862EC">
      <w:pPr>
        <w:ind w:firstLineChars="150" w:firstLine="315"/>
      </w:pPr>
      <w:r>
        <w:rPr>
          <w:rFonts w:hint="eastAsia"/>
        </w:rPr>
        <w:t>债务资本成本一般会采用到期收益率法、可比公司法，风险调整法预测；股权资本成本一般采用资本资产定价模型或则债券风险调整法等</w:t>
      </w:r>
      <w:r w:rsidR="00EA7A00">
        <w:rPr>
          <w:rFonts w:hint="eastAsia"/>
        </w:rPr>
        <w:t>。</w:t>
      </w:r>
      <w:r w:rsidR="00EA7A00" w:rsidRPr="00EA7A00">
        <w:rPr>
          <w:rFonts w:hint="eastAsia"/>
        </w:rPr>
        <w:t>通常</w:t>
      </w:r>
      <w:r w:rsidR="00EA7A00" w:rsidRPr="00EA7A00">
        <w:t>DCF被视为最保守的估值方法，其估值结果会作为目标价的底线。</w:t>
      </w:r>
    </w:p>
    <w:p w14:paraId="5237C108" w14:textId="2E1E16E1" w:rsidR="005862EC" w:rsidRPr="00994711" w:rsidRDefault="005862EC" w:rsidP="005862EC">
      <w:pPr>
        <w:ind w:firstLineChars="150" w:firstLine="315"/>
        <w:rPr>
          <w:b/>
          <w:bCs/>
          <w:color w:val="4472C4" w:themeColor="accent1"/>
        </w:rPr>
      </w:pPr>
      <w:r w:rsidRPr="00994711">
        <w:rPr>
          <w:rFonts w:hint="eastAsia"/>
          <w:b/>
          <w:bCs/>
          <w:color w:val="4472C4" w:themeColor="accent1"/>
        </w:rPr>
        <w:t>企业加权平均资本成本</w:t>
      </w:r>
      <w:r w:rsidR="00BF4FE4">
        <w:rPr>
          <w:rFonts w:hint="eastAsia"/>
          <w:b/>
          <w:bCs/>
          <w:color w:val="4472C4" w:themeColor="accent1"/>
        </w:rPr>
        <w:t>r</w:t>
      </w:r>
      <w:r w:rsidR="00BF4FE4" w:rsidRPr="00994711">
        <w:rPr>
          <w:b/>
          <w:bCs/>
          <w:color w:val="4472C4" w:themeColor="accent1"/>
        </w:rPr>
        <w:t xml:space="preserve"> </w:t>
      </w:r>
      <w:r w:rsidRPr="00994711">
        <w:rPr>
          <w:b/>
          <w:bCs/>
          <w:color w:val="4472C4" w:themeColor="accent1"/>
        </w:rPr>
        <w:t>= 债务资本成本</w:t>
      </w:r>
      <w:r w:rsidRPr="00994711">
        <w:rPr>
          <w:rFonts w:hint="eastAsia"/>
          <w:b/>
          <w:bCs/>
          <w:color w:val="4472C4" w:themeColor="accent1"/>
        </w:rPr>
        <w:t>（</w:t>
      </w:r>
      <w:r w:rsidRPr="00994711">
        <w:rPr>
          <w:b/>
          <w:bCs/>
          <w:color w:val="4472C4" w:themeColor="accent1"/>
        </w:rPr>
        <w:t>1</w:t>
      </w:r>
      <w:r w:rsidRPr="00CB223E">
        <w:rPr>
          <w:b/>
          <w:bCs/>
          <w:color w:val="4472C4" w:themeColor="accent1"/>
          <w:highlight w:val="yellow"/>
        </w:rPr>
        <w:t>-</w:t>
      </w:r>
      <w:r w:rsidRPr="00BF4FE4">
        <w:rPr>
          <w:b/>
          <w:bCs/>
          <w:color w:val="FF0000"/>
        </w:rPr>
        <w:t>所得税税率</w:t>
      </w:r>
      <w:r w:rsidRPr="00994711">
        <w:rPr>
          <w:b/>
          <w:bCs/>
          <w:color w:val="4472C4" w:themeColor="accent1"/>
        </w:rPr>
        <w:t>）*（债务资本/ 总资本</w:t>
      </w:r>
      <w:r w:rsidRPr="00994711">
        <w:rPr>
          <w:rFonts w:hint="eastAsia"/>
          <w:b/>
          <w:bCs/>
          <w:color w:val="4472C4" w:themeColor="accent1"/>
        </w:rPr>
        <w:t>）</w:t>
      </w:r>
      <w:r w:rsidRPr="00994711">
        <w:rPr>
          <w:b/>
          <w:bCs/>
          <w:color w:val="4472C4" w:themeColor="accent1"/>
        </w:rPr>
        <w:t>+ 股权资本成本*（股权资本/ 总资本</w:t>
      </w:r>
      <w:r w:rsidRPr="00994711">
        <w:rPr>
          <w:rFonts w:hint="eastAsia"/>
          <w:b/>
          <w:bCs/>
          <w:color w:val="4472C4" w:themeColor="accent1"/>
        </w:rPr>
        <w:t>）</w:t>
      </w:r>
    </w:p>
    <w:p w14:paraId="5126C8CF" w14:textId="751F18DD" w:rsidR="00181BE1" w:rsidRDefault="00181BE1" w:rsidP="00915011">
      <w:pPr>
        <w:ind w:firstLineChars="150" w:firstLine="315"/>
      </w:pPr>
      <w:r>
        <w:rPr>
          <w:rFonts w:hint="eastAsia"/>
        </w:rPr>
        <w:t>科学：</w:t>
      </w:r>
    </w:p>
    <w:p w14:paraId="4509D6B7" w14:textId="40C8EC95" w:rsidR="00181BE1" w:rsidRDefault="00181BE1" w:rsidP="00915011">
      <w:pPr>
        <w:ind w:firstLineChars="150" w:firstLine="315"/>
      </w:pPr>
      <w:r w:rsidRPr="007264F3">
        <w:rPr>
          <w:rFonts w:hint="eastAsia"/>
          <w:highlight w:val="cyan"/>
        </w:rPr>
        <w:t>困难</w:t>
      </w:r>
      <w:r>
        <w:rPr>
          <w:rFonts w:hint="eastAsia"/>
        </w:rPr>
        <w:t>：</w:t>
      </w:r>
      <w:r w:rsidR="00994711" w:rsidRPr="007264F3">
        <w:rPr>
          <w:rFonts w:hint="eastAsia"/>
          <w:b/>
          <w:bCs/>
          <w:color w:val="FF0000"/>
        </w:rPr>
        <w:t>现金流</w:t>
      </w:r>
      <w:r w:rsidR="00994711">
        <w:rPr>
          <w:rFonts w:hint="eastAsia"/>
        </w:rPr>
        <w:t>难以估计；</w:t>
      </w:r>
      <w:r w:rsidR="00994711" w:rsidRPr="007264F3">
        <w:rPr>
          <w:rFonts w:hint="eastAsia"/>
          <w:b/>
          <w:bCs/>
          <w:color w:val="FF0000"/>
        </w:rPr>
        <w:t>现金流的折现率</w:t>
      </w:r>
      <w:r w:rsidR="007264F3">
        <w:rPr>
          <w:rFonts w:hint="eastAsia"/>
          <w:b/>
          <w:bCs/>
          <w:color w:val="FF0000"/>
        </w:rPr>
        <w:t>W</w:t>
      </w:r>
      <w:r w:rsidR="007264F3">
        <w:rPr>
          <w:b/>
          <w:bCs/>
          <w:color w:val="FF0000"/>
        </w:rPr>
        <w:t>ACC</w:t>
      </w:r>
      <w:r w:rsidR="00994711" w:rsidRPr="00994711">
        <w:rPr>
          <w:rFonts w:hint="eastAsia"/>
        </w:rPr>
        <w:t>即资本成本非常难以估计</w:t>
      </w:r>
      <w:r w:rsidR="00994711">
        <w:rPr>
          <w:rFonts w:hint="eastAsia"/>
        </w:rPr>
        <w:t>（而且对这个非常敏感）</w:t>
      </w:r>
    </w:p>
    <w:p w14:paraId="6FB660AA" w14:textId="791004F8" w:rsidR="00181BE1" w:rsidRPr="00DF411E" w:rsidRDefault="00181BE1" w:rsidP="00915011">
      <w:pPr>
        <w:ind w:firstLineChars="150" w:firstLine="315"/>
      </w:pPr>
      <w:r w:rsidRPr="00CB7FD2">
        <w:rPr>
          <w:rFonts w:hint="eastAsia"/>
          <w:highlight w:val="cyan"/>
        </w:rPr>
        <w:t>适用：</w:t>
      </w:r>
      <w:r w:rsidR="00C92645" w:rsidRPr="00C92645">
        <w:rPr>
          <w:rFonts w:hint="eastAsia"/>
        </w:rPr>
        <w:t>处于</w:t>
      </w:r>
      <w:r w:rsidR="00C92645" w:rsidRPr="00EA7A00">
        <w:rPr>
          <w:rFonts w:hint="eastAsia"/>
          <w:b/>
          <w:bCs/>
          <w:color w:val="FF0000"/>
        </w:rPr>
        <w:t>稳定期的企业</w:t>
      </w:r>
      <w:r w:rsidR="00C92645" w:rsidRPr="00C92645">
        <w:rPr>
          <w:rFonts w:hint="eastAsia"/>
        </w:rPr>
        <w:t>，赚钱能力已经定型，企业自由现金流可以预期，公司未来基本定</w:t>
      </w:r>
      <w:r w:rsidR="00EA7A00">
        <w:rPr>
          <w:rFonts w:hint="eastAsia"/>
        </w:rPr>
        <w:t>。</w:t>
      </w:r>
      <w:r w:rsidR="00EA7A00" w:rsidRPr="00EA7A00">
        <w:rPr>
          <w:rFonts w:hint="eastAsia"/>
        </w:rPr>
        <w:t>尤其适用于那些现金流可预测度较高的行业，如公用事业、电信等，但对于现金流波动频繁、不稳定的行业如科技行业，</w:t>
      </w:r>
      <w:r w:rsidR="00EA7A00" w:rsidRPr="00EA7A00">
        <w:t>DCF估值的准确性和可信度就会降低</w:t>
      </w:r>
    </w:p>
    <w:p w14:paraId="27D208B6" w14:textId="77777777" w:rsidR="009A1DF9" w:rsidRPr="00DF411E" w:rsidRDefault="009A1DF9" w:rsidP="00915011">
      <w:r w:rsidRPr="00DF411E">
        <w:rPr>
          <w:rFonts w:hint="eastAsia"/>
          <w:b/>
          <w:bCs/>
        </w:rPr>
        <w:t>2</w:t>
      </w:r>
      <w:r w:rsidRPr="00DF411E">
        <w:rPr>
          <w:b/>
          <w:bCs/>
        </w:rPr>
        <w:t>.</w:t>
      </w:r>
      <w:r w:rsidRPr="00B75BB3">
        <w:rPr>
          <w:rFonts w:hint="eastAsia"/>
          <w:b/>
          <w:bCs/>
          <w:color w:val="4472C4" w:themeColor="accent1"/>
        </w:rPr>
        <w:t>RNAV(重估净资产值)法</w:t>
      </w:r>
    </w:p>
    <w:p w14:paraId="790878A1" w14:textId="5ABADF90" w:rsidR="00CC055B" w:rsidRDefault="00EA7E5A" w:rsidP="00A82A01">
      <w:pPr>
        <w:ind w:firstLineChars="200" w:firstLine="420"/>
      </w:pPr>
      <w:r w:rsidRPr="00DF411E">
        <w:rPr>
          <w:rFonts w:hint="eastAsia"/>
        </w:rPr>
        <w:t>资产的内在价值</w:t>
      </w:r>
      <w:r w:rsidR="009A1DF9" w:rsidRPr="00DF411E">
        <w:rPr>
          <w:rFonts w:hint="eastAsia"/>
        </w:rPr>
        <w:br/>
        <w:t>（1）</w:t>
      </w:r>
      <w:r w:rsidR="009A1DF9" w:rsidRPr="00A7398A">
        <w:rPr>
          <w:rFonts w:hint="eastAsia"/>
          <w:b/>
          <w:bCs/>
        </w:rPr>
        <w:t>现行市价法</w:t>
      </w:r>
      <w:r>
        <w:rPr>
          <w:rFonts w:hint="eastAsia"/>
          <w:b/>
          <w:bCs/>
        </w:rPr>
        <w:t>（</w:t>
      </w:r>
      <w:r w:rsidRPr="00DF411E">
        <w:rPr>
          <w:rFonts w:hint="eastAsia"/>
        </w:rPr>
        <w:t>未来预期收益、收益期限和贴现率</w:t>
      </w:r>
      <w:r>
        <w:rPr>
          <w:rFonts w:hint="eastAsia"/>
          <w:b/>
          <w:bCs/>
        </w:rPr>
        <w:t>）</w:t>
      </w:r>
      <w:r w:rsidR="00E54052" w:rsidRPr="00DF411E">
        <w:rPr>
          <w:rFonts w:hint="eastAsia"/>
        </w:rPr>
        <w:t>（2）</w:t>
      </w:r>
      <w:r w:rsidR="00E54052" w:rsidRPr="00A7398A">
        <w:rPr>
          <w:rFonts w:hint="eastAsia"/>
          <w:b/>
          <w:bCs/>
        </w:rPr>
        <w:t>重置价值法</w:t>
      </w:r>
      <w:r w:rsidR="008350EE">
        <w:rPr>
          <w:rFonts w:hint="eastAsia"/>
        </w:rPr>
        <w:t>（新建一个要多少钱）</w:t>
      </w:r>
      <w:r w:rsidR="00E54052" w:rsidRPr="00DF411E">
        <w:rPr>
          <w:rFonts w:hint="eastAsia"/>
        </w:rPr>
        <w:t>（3）</w:t>
      </w:r>
      <w:r w:rsidR="00E54052" w:rsidRPr="008350EE">
        <w:rPr>
          <w:rFonts w:hint="eastAsia"/>
          <w:b/>
          <w:bCs/>
        </w:rPr>
        <w:t>收益现值法</w:t>
      </w:r>
    </w:p>
    <w:p w14:paraId="3A6CA9C1" w14:textId="77777777" w:rsidR="009961BD" w:rsidRPr="006A73B4" w:rsidRDefault="009961BD" w:rsidP="00703142">
      <w:pPr>
        <w:jc w:val="center"/>
        <w:rPr>
          <w:color w:val="70AD47" w:themeColor="accent6"/>
          <w:sz w:val="28"/>
          <w:szCs w:val="28"/>
        </w:rPr>
      </w:pPr>
      <w:r w:rsidRPr="006A73B4">
        <w:rPr>
          <w:rFonts w:hint="eastAsia"/>
          <w:b/>
          <w:bCs/>
          <w:color w:val="70AD47" w:themeColor="accent6"/>
          <w:sz w:val="28"/>
          <w:szCs w:val="28"/>
        </w:rPr>
        <w:t>第六章 证券投资的基本分析</w:t>
      </w:r>
    </w:p>
    <w:p w14:paraId="75B93058" w14:textId="77777777" w:rsidR="00A82A01" w:rsidRPr="009322EA" w:rsidRDefault="009A1DF9" w:rsidP="003C1E14">
      <w:pPr>
        <w:pStyle w:val="a3"/>
        <w:numPr>
          <w:ilvl w:val="0"/>
          <w:numId w:val="2"/>
        </w:numPr>
        <w:ind w:firstLineChars="0"/>
        <w:rPr>
          <w:b/>
          <w:bCs/>
          <w:color w:val="538135" w:themeColor="accent6" w:themeShade="BF"/>
        </w:rPr>
      </w:pPr>
      <w:r w:rsidRPr="009322EA">
        <w:rPr>
          <w:rFonts w:hint="eastAsia"/>
          <w:b/>
          <w:bCs/>
          <w:color w:val="538135" w:themeColor="accent6" w:themeShade="BF"/>
        </w:rPr>
        <w:t>宏观分析</w:t>
      </w:r>
    </w:p>
    <w:p w14:paraId="5C809B00" w14:textId="1B1CB121" w:rsidR="009961BD" w:rsidRPr="00DF411E" w:rsidRDefault="009961BD" w:rsidP="00A82A01">
      <w:pPr>
        <w:ind w:firstLineChars="200" w:firstLine="420"/>
        <w:rPr>
          <w:b/>
          <w:bCs/>
        </w:rPr>
      </w:pPr>
      <w:r w:rsidRPr="006878E3">
        <w:rPr>
          <w:rFonts w:hint="eastAsia"/>
          <w:b/>
          <w:color w:val="FF0000"/>
        </w:rPr>
        <w:t>基本分析定义</w:t>
      </w:r>
      <w:r w:rsidR="006878E3">
        <w:rPr>
          <w:rFonts w:hint="eastAsia"/>
          <w:b/>
          <w:color w:val="FF0000"/>
        </w:rPr>
        <w:t>（由价值决定）</w:t>
      </w:r>
      <w:r w:rsidRPr="00DF411E">
        <w:rPr>
          <w:bCs/>
        </w:rPr>
        <w:t>——</w:t>
      </w:r>
      <w:r w:rsidRPr="00DF411E">
        <w:rPr>
          <w:rFonts w:hint="eastAsia"/>
          <w:bCs/>
        </w:rPr>
        <w:t>所谓基本分析是指分析人员根据经济学、金融学、投资学和财务管理等基本原理，对决定证券价值及其价格的基本要素进行分析，评估证券的投资价值的一种分析方法。</w:t>
      </w:r>
      <w:r w:rsidR="00E0509E" w:rsidRPr="00822B4B">
        <w:rPr>
          <w:rFonts w:hint="eastAsia"/>
          <w:b/>
          <w:color w:val="4472C4" w:themeColor="accent1"/>
        </w:rPr>
        <w:t>基本分析决定技术分析</w:t>
      </w:r>
    </w:p>
    <w:p w14:paraId="4CC732BB" w14:textId="77777777" w:rsidR="009961BD" w:rsidRPr="00DF411E" w:rsidRDefault="009961BD" w:rsidP="00A82A01">
      <w:pPr>
        <w:ind w:firstLineChars="200" w:firstLine="420"/>
        <w:rPr>
          <w:bCs/>
        </w:rPr>
      </w:pPr>
      <w:r w:rsidRPr="00DF411E">
        <w:rPr>
          <w:rFonts w:hint="eastAsia"/>
          <w:bCs/>
        </w:rPr>
        <w:t>理论基础—</w:t>
      </w:r>
      <w:r w:rsidRPr="00DF411E">
        <w:rPr>
          <w:bCs/>
        </w:rPr>
        <w:t>—价值决定价格：金融资产的真实（内在）价值=资产所有者预期收益流量的现值。</w:t>
      </w:r>
    </w:p>
    <w:p w14:paraId="10F200B6" w14:textId="77777777" w:rsidR="009961BD" w:rsidRPr="00DF411E" w:rsidRDefault="009961BD" w:rsidP="00A82A01">
      <w:pPr>
        <w:ind w:firstLineChars="200" w:firstLine="420"/>
        <w:rPr>
          <w:bCs/>
        </w:rPr>
      </w:pPr>
      <w:r w:rsidRPr="00DF411E">
        <w:rPr>
          <w:rFonts w:hint="eastAsia"/>
          <w:bCs/>
        </w:rPr>
        <w:t>优缺点</w:t>
      </w:r>
      <w:r w:rsidRPr="00DF411E">
        <w:rPr>
          <w:bCs/>
        </w:rPr>
        <w:t>——</w:t>
      </w:r>
      <w:r w:rsidRPr="00F7294F">
        <w:rPr>
          <w:b/>
          <w:color w:val="FF0000"/>
        </w:rPr>
        <w:t>优点</w:t>
      </w:r>
      <w:r w:rsidRPr="00DF411E">
        <w:rPr>
          <w:bCs/>
        </w:rPr>
        <w:t>：能把握投资目标的真实资产及其内在价值，从而全面把握证券价格的基本趋势。</w:t>
      </w:r>
      <w:r w:rsidRPr="00F7294F">
        <w:rPr>
          <w:b/>
          <w:color w:val="FF0000"/>
        </w:rPr>
        <w:t>缺点</w:t>
      </w:r>
      <w:r w:rsidRPr="00DF411E">
        <w:rPr>
          <w:bCs/>
        </w:rPr>
        <w:t>：分析所需的时间跨度较长，</w:t>
      </w:r>
      <w:r w:rsidRPr="0013085C">
        <w:rPr>
          <w:bCs/>
          <w:u w:val="single"/>
        </w:rPr>
        <w:t>对价格的波动不能给出买卖的时机</w:t>
      </w:r>
      <w:r w:rsidRPr="00DF411E">
        <w:rPr>
          <w:bCs/>
        </w:rPr>
        <w:t>。</w:t>
      </w:r>
    </w:p>
    <w:p w14:paraId="2F11F240" w14:textId="77777777" w:rsidR="009961BD" w:rsidRPr="00DF411E" w:rsidRDefault="009961BD" w:rsidP="009961BD">
      <w:r w:rsidRPr="00DF411E">
        <w:rPr>
          <w:rFonts w:hint="eastAsia"/>
          <w:b/>
          <w:bCs/>
        </w:rPr>
        <w:t>回顾历史，股市趋势性上涨或下跌都有很强的宏观背景。震荡市波动源于风险偏好变化，跟踪股市制度改革和外围环境变化。</w:t>
      </w:r>
    </w:p>
    <w:p w14:paraId="5E875A90" w14:textId="00623407" w:rsidR="009961BD" w:rsidRPr="00F80852" w:rsidRDefault="009961BD" w:rsidP="00F80852">
      <w:pPr>
        <w:pStyle w:val="a3"/>
        <w:numPr>
          <w:ilvl w:val="0"/>
          <w:numId w:val="10"/>
        </w:numPr>
        <w:ind w:firstLineChars="0"/>
        <w:rPr>
          <w:b/>
          <w:bCs/>
        </w:rPr>
      </w:pPr>
      <w:r w:rsidRPr="00F80852">
        <w:rPr>
          <w:rFonts w:hint="eastAsia"/>
          <w:b/>
          <w:bCs/>
          <w:color w:val="C45911" w:themeColor="accent2" w:themeShade="BF"/>
        </w:rPr>
        <w:t>宏观</w:t>
      </w:r>
      <w:r w:rsidRPr="00F80852">
        <w:rPr>
          <w:rFonts w:hint="eastAsia"/>
          <w:b/>
          <w:bCs/>
        </w:rPr>
        <w:t>经济运行分析</w:t>
      </w:r>
      <w:r w:rsidR="00D51AA6" w:rsidRPr="00F80852">
        <w:rPr>
          <w:rFonts w:hint="eastAsia"/>
          <w:b/>
          <w:bCs/>
        </w:rPr>
        <w:t>（宏观配置）</w:t>
      </w:r>
    </w:p>
    <w:p w14:paraId="57F22AD6" w14:textId="19210CFC" w:rsidR="00F80852" w:rsidRPr="00DF411E" w:rsidRDefault="00F80852" w:rsidP="00F80852">
      <w:pPr>
        <w:pStyle w:val="a3"/>
        <w:ind w:left="360" w:firstLineChars="0" w:firstLine="0"/>
      </w:pPr>
      <w:r>
        <w:rPr>
          <w:rFonts w:hint="eastAsia"/>
          <w:b/>
          <w:bCs/>
          <w:color w:val="C45911" w:themeColor="accent2" w:themeShade="BF"/>
        </w:rPr>
        <w:t>通过宏观的分析市场来确定股市</w:t>
      </w:r>
    </w:p>
    <w:p w14:paraId="09AA33F0" w14:textId="77777777" w:rsidR="009961BD" w:rsidRPr="00DF411E" w:rsidRDefault="009961BD" w:rsidP="009961BD">
      <w:r w:rsidRPr="00DF411E">
        <w:rPr>
          <w:rFonts w:hint="eastAsia"/>
        </w:rPr>
        <w:t>评价宏观经济形势的主要指标有：</w:t>
      </w:r>
    </w:p>
    <w:p w14:paraId="619727B2" w14:textId="77777777" w:rsidR="009961BD" w:rsidRPr="00DF411E" w:rsidRDefault="009961BD" w:rsidP="009961BD">
      <w:r w:rsidRPr="00DF411E">
        <w:rPr>
          <w:b/>
          <w:bCs/>
        </w:rPr>
        <w:t>1．GDP（</w:t>
      </w:r>
      <w:r w:rsidRPr="00DF411E">
        <w:rPr>
          <w:rFonts w:hint="eastAsia"/>
          <w:b/>
          <w:bCs/>
        </w:rPr>
        <w:t>国内创造的产品与劳务的价值总额）</w:t>
      </w:r>
    </w:p>
    <w:p w14:paraId="7EDAC9A0" w14:textId="77777777" w:rsidR="009961BD" w:rsidRPr="00DF411E" w:rsidRDefault="009961BD" w:rsidP="009961BD">
      <w:r w:rsidRPr="00DF411E">
        <w:rPr>
          <w:b/>
          <w:bCs/>
        </w:rPr>
        <w:t>2．货币供应量</w:t>
      </w:r>
    </w:p>
    <w:p w14:paraId="2A7609E5" w14:textId="77777777" w:rsidR="009961BD" w:rsidRPr="00DF411E" w:rsidRDefault="009961BD" w:rsidP="009961BD">
      <w:r w:rsidRPr="00DF411E">
        <w:rPr>
          <w:b/>
          <w:bCs/>
        </w:rPr>
        <w:t>3．通货膨胀率</w:t>
      </w:r>
    </w:p>
    <w:p w14:paraId="0D6658F5" w14:textId="77777777" w:rsidR="009961BD" w:rsidRPr="00DF411E" w:rsidRDefault="009961BD" w:rsidP="009961BD">
      <w:r w:rsidRPr="00DF411E">
        <w:rPr>
          <w:b/>
          <w:bCs/>
        </w:rPr>
        <w:t>4．利率水平</w:t>
      </w:r>
    </w:p>
    <w:p w14:paraId="2A6F5C69" w14:textId="77777777" w:rsidR="009961BD" w:rsidRPr="00DF411E" w:rsidRDefault="009961BD" w:rsidP="009961BD">
      <w:r w:rsidRPr="00DF411E">
        <w:rPr>
          <w:b/>
          <w:bCs/>
        </w:rPr>
        <w:t>5．汇率</w:t>
      </w:r>
    </w:p>
    <w:p w14:paraId="0D3904D6" w14:textId="77777777" w:rsidR="009961BD" w:rsidRPr="00DF411E" w:rsidRDefault="009961BD" w:rsidP="009961BD">
      <w:r w:rsidRPr="00DF411E">
        <w:rPr>
          <w:b/>
          <w:bCs/>
        </w:rPr>
        <w:t>6．国际收支</w:t>
      </w:r>
    </w:p>
    <w:p w14:paraId="5F7B2D4E" w14:textId="77777777" w:rsidR="009961BD" w:rsidRPr="00DF411E" w:rsidRDefault="009961BD" w:rsidP="009961BD">
      <w:r w:rsidRPr="00DF411E">
        <w:rPr>
          <w:b/>
          <w:bCs/>
        </w:rPr>
        <w:t>7．固定资产投资规模</w:t>
      </w:r>
    </w:p>
    <w:p w14:paraId="11DF0D3B" w14:textId="74B947AB" w:rsidR="002F314D" w:rsidRDefault="009961BD" w:rsidP="000417F2">
      <w:pPr>
        <w:pStyle w:val="a3"/>
        <w:numPr>
          <w:ilvl w:val="0"/>
          <w:numId w:val="3"/>
        </w:numPr>
        <w:ind w:firstLineChars="0"/>
      </w:pPr>
      <w:r w:rsidRPr="00DF411E">
        <w:rPr>
          <w:b/>
          <w:bCs/>
        </w:rPr>
        <w:t>其他经济指标（如外商投资规模、失业率等）</w:t>
      </w:r>
      <w:r w:rsidR="001C2D54" w:rsidRPr="00DF411E">
        <w:rPr>
          <w:rFonts w:hint="eastAsia"/>
        </w:rPr>
        <w:t>。</w:t>
      </w:r>
    </w:p>
    <w:p w14:paraId="5202CDA4" w14:textId="7BA0F23F" w:rsidR="00617DB6" w:rsidRPr="00DF411E" w:rsidRDefault="00617DB6" w:rsidP="002F314D">
      <w:pPr>
        <w:ind w:firstLine="420"/>
      </w:pPr>
      <w:r w:rsidRPr="00236BC4">
        <w:rPr>
          <w:rFonts w:hint="eastAsia"/>
          <w:highlight w:val="cyan"/>
        </w:rPr>
        <w:t>这部分是重中之重</w:t>
      </w:r>
    </w:p>
    <w:p w14:paraId="350B4974" w14:textId="558DA65F" w:rsidR="002F314D" w:rsidRPr="00DF411E" w:rsidRDefault="00F7294F" w:rsidP="002F314D">
      <w:pPr>
        <w:ind w:firstLine="420"/>
      </w:pPr>
      <w:r w:rsidRPr="00BD39AF">
        <w:rPr>
          <w:rFonts w:hint="eastAsia"/>
          <w:b/>
          <w:shd w:val="pct15" w:color="auto" w:fill="FFFFFF"/>
        </w:rPr>
        <w:t>先行</w:t>
      </w:r>
      <w:r w:rsidR="009A1DF9" w:rsidRPr="00BD39AF">
        <w:rPr>
          <w:rFonts w:hint="eastAsia"/>
          <w:b/>
          <w:shd w:val="pct15" w:color="auto" w:fill="FFFFFF"/>
        </w:rPr>
        <w:t>指标 (leading indicator)</w:t>
      </w:r>
      <w:r w:rsidR="001C2D54" w:rsidRPr="00DF411E">
        <w:rPr>
          <w:rFonts w:hint="eastAsia"/>
        </w:rPr>
        <w:t>能够对经济趋势进行先瞻性预测的指标。</w:t>
      </w:r>
      <w:r w:rsidR="009A1DF9" w:rsidRPr="00DF411E">
        <w:rPr>
          <w:rFonts w:hint="eastAsia"/>
        </w:rPr>
        <w:t>这些指标的变化</w:t>
      </w:r>
      <w:r w:rsidR="009A1DF9" w:rsidRPr="00DF411E">
        <w:rPr>
          <w:rFonts w:hint="eastAsia"/>
        </w:rPr>
        <w:lastRenderedPageBreak/>
        <w:t>反过来又影响经济形势的发展。</w:t>
      </w:r>
      <w:r w:rsidR="009A1DF9" w:rsidRPr="003F5C5B">
        <w:rPr>
          <w:rFonts w:hint="eastAsia"/>
          <w:highlight w:val="yellow"/>
        </w:rPr>
        <w:t>最常见的指标有</w:t>
      </w:r>
      <w:r w:rsidR="009A1DF9" w:rsidRPr="00CB223E">
        <w:rPr>
          <w:rFonts w:hint="eastAsia"/>
          <w:b/>
          <w:bCs/>
          <w:color w:val="FF0000"/>
          <w:highlight w:val="yellow"/>
        </w:rPr>
        <w:t>失业保险申请率</w:t>
      </w:r>
      <w:r w:rsidR="009A1DF9" w:rsidRPr="00CB223E">
        <w:rPr>
          <w:rFonts w:hint="eastAsia"/>
          <w:color w:val="FF0000"/>
          <w:highlight w:val="yellow"/>
        </w:rPr>
        <w:t>、</w:t>
      </w:r>
      <w:r w:rsidR="009A1DF9" w:rsidRPr="00CB223E">
        <w:rPr>
          <w:rFonts w:hint="eastAsia"/>
          <w:b/>
          <w:bCs/>
          <w:color w:val="FF0000"/>
          <w:highlight w:val="yellow"/>
          <w:shd w:val="pct15" w:color="auto" w:fill="FFFFFF"/>
        </w:rPr>
        <w:t>货币供应量</w:t>
      </w:r>
      <w:r w:rsidR="009A1DF9" w:rsidRPr="003F5C5B">
        <w:rPr>
          <w:rFonts w:hint="eastAsia"/>
          <w:highlight w:val="yellow"/>
        </w:rPr>
        <w:t>、周平均工作小时、新房开工率</w:t>
      </w:r>
      <w:r w:rsidR="009A1DF9" w:rsidRPr="004A7F89">
        <w:rPr>
          <w:rFonts w:hint="eastAsia"/>
          <w:b/>
          <w:bCs/>
          <w:color w:val="FF0000"/>
          <w:highlight w:val="yellow"/>
        </w:rPr>
        <w:t>、股票指数走势</w:t>
      </w:r>
      <w:r w:rsidR="009A1DF9" w:rsidRPr="003F5C5B">
        <w:rPr>
          <w:rFonts w:hint="eastAsia"/>
          <w:highlight w:val="yellow"/>
        </w:rPr>
        <w:t>等</w:t>
      </w:r>
      <w:r w:rsidR="009A1DF9" w:rsidRPr="00DF411E">
        <w:rPr>
          <w:rFonts w:hint="eastAsia"/>
        </w:rPr>
        <w:t>。</w:t>
      </w:r>
    </w:p>
    <w:p w14:paraId="0D0DC9C0" w14:textId="5903F70E" w:rsidR="009A1DF9" w:rsidRPr="00DF411E" w:rsidRDefault="009A1DF9" w:rsidP="002F314D">
      <w:pPr>
        <w:ind w:firstLine="420"/>
      </w:pPr>
      <w:r w:rsidRPr="00DF411E">
        <w:rPr>
          <w:rFonts w:hint="eastAsia"/>
        </w:rPr>
        <w:t>8</w:t>
      </w:r>
      <w:r w:rsidRPr="005F4197">
        <w:rPr>
          <w:rFonts w:hint="eastAsia"/>
          <w:shd w:val="pct15" w:color="auto" w:fill="FFFFFF"/>
        </w:rPr>
        <w:t>.货币供应量（指M2</w:t>
      </w:r>
      <w:r w:rsidR="00F1552A" w:rsidRPr="00DF411E">
        <w:rPr>
          <w:rFonts w:hint="eastAsia"/>
        </w:rPr>
        <w:t>的货币供应量）。</w:t>
      </w:r>
      <w:r w:rsidRPr="00DF411E">
        <w:rPr>
          <w:rFonts w:hint="eastAsia"/>
        </w:rPr>
        <w:t>9.企业及消费者未偿还信贷变化。</w:t>
      </w:r>
    </w:p>
    <w:p w14:paraId="65017FB9" w14:textId="77777777" w:rsidR="009A1DF9" w:rsidRPr="00DF411E" w:rsidRDefault="009E3991" w:rsidP="002F314D">
      <w:pPr>
        <w:ind w:firstLineChars="200" w:firstLine="420"/>
      </w:pPr>
      <w:r w:rsidRPr="00DF411E">
        <w:rPr>
          <w:rFonts w:hint="eastAsia"/>
        </w:rPr>
        <w:t>我国一般采用以下这些指标作为领先指标：</w:t>
      </w:r>
      <w:r w:rsidR="009A1DF9" w:rsidRPr="00DF411E">
        <w:rPr>
          <w:rFonts w:hint="eastAsia"/>
        </w:rPr>
        <w:t>轻工业总产值、一次能源生产总量、钢产量、铁矿石产量、10种有色金属产量、国内工业品纯购进、国内钢材库存、</w:t>
      </w:r>
      <w:r w:rsidR="00F1552A" w:rsidRPr="00DF411E">
        <w:rPr>
          <w:rFonts w:hint="eastAsia"/>
        </w:rPr>
        <w:t>国内水泥库存、</w:t>
      </w:r>
      <w:r w:rsidR="001F0655" w:rsidRPr="00DF411E">
        <w:rPr>
          <w:rFonts w:hint="eastAsia"/>
        </w:rPr>
        <w:t>新开工项目数</w:t>
      </w:r>
      <w:r w:rsidR="00F1552A" w:rsidRPr="00DF411E">
        <w:rPr>
          <w:rFonts w:hint="eastAsia"/>
        </w:rPr>
        <w:t>、</w:t>
      </w:r>
      <w:r w:rsidR="009A1DF9" w:rsidRPr="00DF411E">
        <w:rPr>
          <w:rFonts w:hint="eastAsia"/>
        </w:rPr>
        <w:t>基建贷款、海关出口额、经贸部出口成交额</w:t>
      </w:r>
      <w:r w:rsidR="009A1DF9" w:rsidRPr="00CB223E">
        <w:rPr>
          <w:rFonts w:hint="eastAsia"/>
          <w:b/>
          <w:bCs/>
        </w:rPr>
        <w:t>、</w:t>
      </w:r>
      <w:r w:rsidR="00F1552A" w:rsidRPr="00CB223E">
        <w:rPr>
          <w:rFonts w:hint="eastAsia"/>
          <w:b/>
          <w:bCs/>
        </w:rPr>
        <w:t>狭义货币M1</w:t>
      </w:r>
      <w:r w:rsidR="009A1DF9" w:rsidRPr="00DF411E">
        <w:rPr>
          <w:rFonts w:hint="eastAsia"/>
        </w:rPr>
        <w:t>、工业贷款、工资和对个人其他支出、农产品采购支出、现金支出、商品销售收入等共18项。</w:t>
      </w:r>
    </w:p>
    <w:p w14:paraId="058DC629" w14:textId="0713AC4E" w:rsidR="009A1DF9" w:rsidRPr="00DF411E" w:rsidRDefault="009E3991" w:rsidP="009C4936">
      <w:pPr>
        <w:ind w:firstLineChars="200" w:firstLine="420"/>
      </w:pPr>
      <w:r w:rsidRPr="00BD39AF">
        <w:rPr>
          <w:rFonts w:hint="eastAsia"/>
          <w:b/>
          <w:shd w:val="pct15" w:color="auto" w:fill="FFFFFF"/>
        </w:rPr>
        <w:t>同步指标（又称一致指标）</w:t>
      </w:r>
      <w:r w:rsidRPr="00DF411E">
        <w:rPr>
          <w:rFonts w:hint="eastAsia"/>
        </w:rPr>
        <w:t>是指其达到高峰或低谷的时间与总体经济出现高峰或低谷的时间大致相同的指标。同步指标可描述总体经济的运行轨迹，确定总体经济运行的高峰或低谷位置。它是分析现实经济运行态势的重要指标。</w:t>
      </w:r>
      <w:r w:rsidRPr="003F5C5B">
        <w:rPr>
          <w:rFonts w:hint="eastAsia"/>
          <w:highlight w:val="yellow"/>
        </w:rPr>
        <w:t>主要的经济同步指标有：国内生产总值、工业总产值、</w:t>
      </w:r>
      <w:r w:rsidRPr="00802AAA">
        <w:rPr>
          <w:rFonts w:hint="eastAsia"/>
          <w:highlight w:val="lightGray"/>
          <w:shd w:val="pct15" w:color="auto" w:fill="FFFFFF"/>
        </w:rPr>
        <w:t>社会消费品零售总额</w:t>
      </w:r>
      <w:r w:rsidRPr="003F5C5B">
        <w:rPr>
          <w:rFonts w:hint="eastAsia"/>
          <w:highlight w:val="yellow"/>
        </w:rPr>
        <w:t>等。</w:t>
      </w:r>
      <w:r w:rsidR="009322EA" w:rsidRPr="003F5C5B">
        <w:rPr>
          <w:rFonts w:hint="eastAsia"/>
          <w:b/>
          <w:bCs/>
          <w:color w:val="8EAADB" w:themeColor="accent1" w:themeTint="99"/>
          <w:highlight w:val="yellow"/>
        </w:rPr>
        <w:t>比如G</w:t>
      </w:r>
      <w:r w:rsidR="009322EA" w:rsidRPr="003F5C5B">
        <w:rPr>
          <w:b/>
          <w:bCs/>
          <w:color w:val="8EAADB" w:themeColor="accent1" w:themeTint="99"/>
          <w:highlight w:val="yellow"/>
        </w:rPr>
        <w:t>DP</w:t>
      </w:r>
    </w:p>
    <w:p w14:paraId="2AF7C03A" w14:textId="77777777" w:rsidR="009C4936" w:rsidRPr="00DF411E" w:rsidRDefault="009A1DF9" w:rsidP="009C4936">
      <w:pPr>
        <w:ind w:firstLineChars="200" w:firstLine="420"/>
      </w:pPr>
      <w:r w:rsidRPr="00BD39AF">
        <w:rPr>
          <w:rFonts w:hint="eastAsia"/>
          <w:b/>
          <w:shd w:val="pct15" w:color="auto" w:fill="FFFFFF"/>
        </w:rPr>
        <w:t>滞后指标（又称落后指标</w:t>
      </w:r>
      <w:r w:rsidRPr="00DF411E">
        <w:rPr>
          <w:rFonts w:hint="eastAsia"/>
          <w:b/>
        </w:rPr>
        <w:t>）</w:t>
      </w:r>
      <w:r w:rsidRPr="00DF411E">
        <w:rPr>
          <w:rFonts w:hint="eastAsia"/>
        </w:rPr>
        <w:t>是指其高峰或低谷出现的时间晚于总体经济出现高峰或低谷的时间的指标。它有助于分析前一经济循环是否已结束，下一循环将会如何变化。滞后指标一般有：财</w:t>
      </w:r>
      <w:r w:rsidRPr="00CB223E">
        <w:rPr>
          <w:rFonts w:hint="eastAsia"/>
          <w:b/>
          <w:bCs/>
        </w:rPr>
        <w:t>政收入、工业企业实现利税总额、城市居民人均可支配收入</w:t>
      </w:r>
      <w:r w:rsidRPr="00DF411E">
        <w:rPr>
          <w:rFonts w:hint="eastAsia"/>
        </w:rPr>
        <w:t>等。</w:t>
      </w:r>
    </w:p>
    <w:p w14:paraId="7D9646C9" w14:textId="77777777" w:rsidR="009A1DF9" w:rsidRPr="00DF411E" w:rsidRDefault="009A1DF9" w:rsidP="009C4936">
      <w:pPr>
        <w:ind w:firstLineChars="200" w:firstLine="420"/>
      </w:pPr>
      <w:r w:rsidRPr="00DF411E">
        <w:rPr>
          <w:rFonts w:hint="eastAsia"/>
        </w:rPr>
        <w:t>我国的滞后指标主要有：</w:t>
      </w:r>
      <w:r w:rsidRPr="003F5C5B">
        <w:rPr>
          <w:rFonts w:hint="eastAsia"/>
          <w:highlight w:val="yellow"/>
        </w:rPr>
        <w:t>全民固定资产投资、商业贷款、财政收支、零售物价总指数、消费品价格指数、集市贸易价格指数等共６项。滞后指标有助于验证领先指标所表示的经济趋向是否真实。</w:t>
      </w:r>
    </w:p>
    <w:p w14:paraId="0926856F" w14:textId="77777777" w:rsidR="009A1DF9" w:rsidRPr="00DF411E" w:rsidRDefault="009A1DF9" w:rsidP="009C4936">
      <w:r w:rsidRPr="00DF411E">
        <w:rPr>
          <w:rFonts w:hint="eastAsia"/>
          <w:b/>
          <w:bCs/>
        </w:rPr>
        <w:t>二.宏观经济政策分析</w:t>
      </w:r>
    </w:p>
    <w:p w14:paraId="25D9A2E8" w14:textId="77777777" w:rsidR="001F0655" w:rsidRPr="00DF411E" w:rsidRDefault="001F0655" w:rsidP="001F0655">
      <w:r w:rsidRPr="00DF411E">
        <w:rPr>
          <w:b/>
          <w:bCs/>
        </w:rPr>
        <w:t>1．财政政策</w:t>
      </w:r>
      <w:r w:rsidRPr="00DF411E">
        <w:t>——是国家干预经济与货币政策并重的一项手段，主要通过国家预算、税收、国债、财政补贴等手段来影响宏观经济的走向。财政政策可以分为扩张性财政政策、紧缩性财政政策和中性财政政策。</w:t>
      </w:r>
    </w:p>
    <w:p w14:paraId="294B5EDF" w14:textId="77777777" w:rsidR="001F0655" w:rsidRPr="00DF411E" w:rsidRDefault="001F0655" w:rsidP="001F0655">
      <w:r w:rsidRPr="00DF411E">
        <w:rPr>
          <w:b/>
          <w:bCs/>
        </w:rPr>
        <w:t>2．货币政策</w:t>
      </w:r>
      <w:r w:rsidRPr="00DF411E">
        <w:t>——政府为实现一定的宏观经济目标所制定的关于货币供应和货币流通组织管理的基本方针和基本准则.</w:t>
      </w:r>
      <w:r w:rsidRPr="00DF411E">
        <w:rPr>
          <w:rFonts w:hint="eastAsia"/>
          <w:b/>
          <w:bCs/>
        </w:rPr>
        <w:t>其主要手段是：通过调控货币供应量达到对社会总需求的平衡；通过调控利率和货币总量控制通货膨胀，保持物价总水平的稳定；其他调控与引导手段。通常货币政策可以分为紧的货币政策和松的货币政策。</w:t>
      </w:r>
    </w:p>
    <w:p w14:paraId="4B835A84" w14:textId="78C2678F" w:rsidR="001F0655" w:rsidRPr="00DF411E" w:rsidRDefault="001F0655" w:rsidP="001F0655">
      <w:r w:rsidRPr="00DF411E">
        <w:rPr>
          <w:b/>
          <w:bCs/>
        </w:rPr>
        <w:t>3.</w:t>
      </w:r>
      <w:r w:rsidRPr="00DF411E">
        <w:rPr>
          <w:rFonts w:hint="eastAsia"/>
          <w:b/>
          <w:bCs/>
        </w:rPr>
        <w:t>收入</w:t>
      </w:r>
      <w:r w:rsidR="00B233F4">
        <w:rPr>
          <w:rFonts w:hint="eastAsia"/>
          <w:b/>
          <w:bCs/>
        </w:rPr>
        <w:t>分配</w:t>
      </w:r>
      <w:r w:rsidRPr="00DF411E">
        <w:rPr>
          <w:rFonts w:hint="eastAsia"/>
          <w:b/>
          <w:bCs/>
        </w:rPr>
        <w:t>政策</w:t>
      </w:r>
      <w:r w:rsidRPr="00DF411E">
        <w:t xml:space="preserve">——国家为实现宏观调控总目标和总任务，针对居民收入水平高低、收入差距大小在分配方面制定的原则和方针。收入政策目标包括收入总量目标和收入结构目标。 </w:t>
      </w:r>
    </w:p>
    <w:p w14:paraId="09345B10" w14:textId="77777777" w:rsidR="001F0655" w:rsidRPr="00DF411E" w:rsidRDefault="001F0655" w:rsidP="001F0655">
      <w:r w:rsidRPr="00DF411E">
        <w:rPr>
          <w:rFonts w:hint="eastAsia"/>
          <w:b/>
          <w:bCs/>
        </w:rPr>
        <w:t>三.国际金融形势分析</w:t>
      </w:r>
    </w:p>
    <w:p w14:paraId="389637E0" w14:textId="77777777" w:rsidR="009C4936" w:rsidRPr="00DF411E" w:rsidRDefault="001F0655" w:rsidP="009C4936">
      <w:pPr>
        <w:ind w:firstLine="420"/>
      </w:pPr>
      <w:r w:rsidRPr="00DF411E">
        <w:t>国际金融市场按经营业务的种类划分，可以分为货币市场、证券市场、外汇市场、黄金市场等等。</w:t>
      </w:r>
    </w:p>
    <w:p w14:paraId="75EA55A7" w14:textId="77777777" w:rsidR="001F0655" w:rsidRPr="00DF411E" w:rsidRDefault="001F0655" w:rsidP="009C4936">
      <w:pPr>
        <w:ind w:firstLine="420"/>
      </w:pPr>
      <w:r w:rsidRPr="00DF411E">
        <w:rPr>
          <w:rFonts w:hint="eastAsia"/>
        </w:rPr>
        <w:t>国际金融市场对我国证券市场造成影响的主要途径有：</w:t>
      </w:r>
    </w:p>
    <w:p w14:paraId="39E4DA3C" w14:textId="77777777" w:rsidR="001F0655" w:rsidRPr="00DF411E" w:rsidRDefault="001F0655" w:rsidP="001F0655">
      <w:r w:rsidRPr="00DF411E">
        <w:rPr>
          <w:rFonts w:hint="eastAsia"/>
          <w:b/>
          <w:bCs/>
        </w:rPr>
        <w:t>1．国际金融市场动荡通过人民币汇率预期影响证券市场；</w:t>
      </w:r>
    </w:p>
    <w:p w14:paraId="1B94FF4C" w14:textId="77777777" w:rsidR="001F0655" w:rsidRPr="00DF411E" w:rsidRDefault="001F0655" w:rsidP="001F0655">
      <w:r w:rsidRPr="00DF411E">
        <w:rPr>
          <w:rFonts w:hint="eastAsia"/>
          <w:b/>
          <w:bCs/>
        </w:rPr>
        <w:t xml:space="preserve">2．国际金融市场动荡通过宏观面和政策而间接影响我国证券市场。 </w:t>
      </w:r>
    </w:p>
    <w:p w14:paraId="2BA4D1CE" w14:textId="0924E746" w:rsidR="00957179" w:rsidRPr="009322EA" w:rsidRDefault="009A1DF9" w:rsidP="001F0655">
      <w:pPr>
        <w:rPr>
          <w:b/>
          <w:bCs/>
          <w:color w:val="538135" w:themeColor="accent6" w:themeShade="BF"/>
        </w:rPr>
      </w:pPr>
      <w:r w:rsidRPr="009322EA">
        <w:rPr>
          <w:rFonts w:hint="eastAsia"/>
          <w:b/>
          <w:bCs/>
          <w:color w:val="538135" w:themeColor="accent6" w:themeShade="BF"/>
        </w:rPr>
        <w:t>第二节 行业分析</w:t>
      </w:r>
      <w:r w:rsidR="00F26D95" w:rsidRPr="009322EA">
        <w:rPr>
          <w:rFonts w:hint="eastAsia"/>
          <w:b/>
          <w:bCs/>
          <w:color w:val="538135" w:themeColor="accent6" w:themeShade="BF"/>
        </w:rPr>
        <w:t>（中观）</w:t>
      </w:r>
      <w:r w:rsidR="00957179">
        <w:rPr>
          <w:rFonts w:hint="eastAsia"/>
          <w:b/>
          <w:bCs/>
          <w:color w:val="538135" w:themeColor="accent6" w:themeShade="BF"/>
        </w:rPr>
        <w:t xml:space="preserve">  </w:t>
      </w:r>
      <w:r w:rsidR="00957179" w:rsidRPr="00732B3F">
        <w:rPr>
          <w:rFonts w:hint="eastAsia"/>
          <w:b/>
          <w:bCs/>
          <w:color w:val="538135" w:themeColor="accent6" w:themeShade="BF"/>
          <w:highlight w:val="yellow"/>
        </w:rPr>
        <w:t>今年应该没有这方面的题</w:t>
      </w:r>
    </w:p>
    <w:p w14:paraId="1DD387CE" w14:textId="77777777" w:rsidR="001F0655" w:rsidRPr="00DF411E" w:rsidRDefault="001F0655" w:rsidP="001F0655">
      <w:pPr>
        <w:rPr>
          <w:bCs/>
        </w:rPr>
      </w:pPr>
      <w:r w:rsidRPr="00DF411E">
        <w:rPr>
          <w:b/>
          <w:bCs/>
        </w:rPr>
        <w:t>1．行业分析的意义</w:t>
      </w:r>
      <w:r w:rsidR="009C4936" w:rsidRPr="00DF411E">
        <w:rPr>
          <w:rFonts w:hint="eastAsia"/>
          <w:b/>
          <w:bCs/>
        </w:rPr>
        <w:t>：</w:t>
      </w:r>
      <w:r w:rsidRPr="00DF411E">
        <w:rPr>
          <w:rFonts w:hint="eastAsia"/>
          <w:bCs/>
        </w:rPr>
        <w:t>行业经济活动是介于宏观经济活动和微观经济活动</w:t>
      </w:r>
      <w:r w:rsidRPr="00BF4FE4">
        <w:rPr>
          <w:rFonts w:hint="eastAsia"/>
          <w:bCs/>
          <w:u w:val="single"/>
        </w:rPr>
        <w:t>中间的经济层面</w:t>
      </w:r>
      <w:r w:rsidRPr="00DF411E">
        <w:rPr>
          <w:rFonts w:hint="eastAsia"/>
          <w:bCs/>
        </w:rPr>
        <w:t>，行业是直接决定公司投资价值的重要因素之一。行业分析主要是界定行业本身所处的发展阶段和其在国民经济中的地位。</w:t>
      </w:r>
      <w:r w:rsidRPr="00BF4FE4">
        <w:rPr>
          <w:rFonts w:hint="eastAsia"/>
          <w:bCs/>
          <w:i/>
          <w:iCs/>
          <w:u w:val="single"/>
        </w:rPr>
        <w:t>行业研究是对上市公司进行分析的前提</w:t>
      </w:r>
      <w:r w:rsidRPr="00DF411E">
        <w:rPr>
          <w:rFonts w:hint="eastAsia"/>
          <w:bCs/>
        </w:rPr>
        <w:t>，是基本分析的重要环节、行业分析的重要任务之一就是挖掘最具投资潜力的行业，进而在此基础上选出最具投资价值的上市公司。</w:t>
      </w:r>
    </w:p>
    <w:p w14:paraId="08C02A94" w14:textId="77777777" w:rsidR="009A1DF9" w:rsidRPr="00DF411E" w:rsidRDefault="009A1DF9" w:rsidP="000E27FD">
      <w:r w:rsidRPr="00DF411E">
        <w:rPr>
          <w:rFonts w:hint="eastAsia"/>
          <w:b/>
          <w:bCs/>
        </w:rPr>
        <w:t>二.行业的一般特征分析</w:t>
      </w:r>
    </w:p>
    <w:p w14:paraId="4F2E1D79" w14:textId="77777777" w:rsidR="001F0655" w:rsidRPr="00DF411E" w:rsidRDefault="001F0655" w:rsidP="001F0655">
      <w:r w:rsidRPr="00DF411E">
        <w:rPr>
          <w:rFonts w:hint="eastAsia"/>
          <w:b/>
          <w:bCs/>
        </w:rPr>
        <w:t>1.市场结构分析</w:t>
      </w:r>
      <w:r w:rsidR="000E27FD" w:rsidRPr="00DF411E">
        <w:rPr>
          <w:rFonts w:hint="eastAsia"/>
        </w:rPr>
        <w:t>：</w:t>
      </w:r>
      <w:r w:rsidRPr="00DF411E">
        <w:rPr>
          <w:rFonts w:hint="eastAsia"/>
        </w:rPr>
        <w:t>行业的市场结构是指市场竞争或垄断的程度。根据行业中企业数量的多少进入限制程度和产品差别，行业基本上可以分为四种市场结构：完全竞争，垄断竞争，寡头垄断和完全垄断。</w:t>
      </w:r>
    </w:p>
    <w:p w14:paraId="372D7D27" w14:textId="77777777" w:rsidR="001F0655" w:rsidRPr="00DF411E" w:rsidRDefault="001F0655" w:rsidP="001F0655">
      <w:r w:rsidRPr="00DF411E">
        <w:rPr>
          <w:rFonts w:hint="eastAsia"/>
        </w:rPr>
        <w:t xml:space="preserve">   </w:t>
      </w:r>
      <w:r w:rsidRPr="00DF411E">
        <w:rPr>
          <w:rFonts w:hint="eastAsia"/>
          <w:b/>
          <w:bCs/>
        </w:rPr>
        <w:t>（1）</w:t>
      </w:r>
      <w:r w:rsidRPr="000F31A1">
        <w:rPr>
          <w:rFonts w:hint="eastAsia"/>
          <w:b/>
          <w:bCs/>
          <w:color w:val="FF0000"/>
        </w:rPr>
        <w:t>完全竞争</w:t>
      </w:r>
      <w:r w:rsidRPr="00DF411E">
        <w:rPr>
          <w:rFonts w:hint="eastAsia"/>
          <w:b/>
          <w:bCs/>
        </w:rPr>
        <w:t>－</w:t>
      </w:r>
      <w:r w:rsidRPr="00DF411E">
        <w:rPr>
          <w:rFonts w:hint="eastAsia"/>
        </w:rPr>
        <w:t xml:space="preserve">－完全竞争是指许多企业生产同质产品的市场情形。 </w:t>
      </w:r>
    </w:p>
    <w:p w14:paraId="672724F8" w14:textId="77777777" w:rsidR="001F0655" w:rsidRPr="00DF411E" w:rsidRDefault="001F0655" w:rsidP="001F0655">
      <w:r w:rsidRPr="00DF411E">
        <w:rPr>
          <w:rFonts w:hint="eastAsia"/>
        </w:rPr>
        <w:lastRenderedPageBreak/>
        <w:t xml:space="preserve">   </w:t>
      </w:r>
      <w:r w:rsidRPr="00DF411E">
        <w:rPr>
          <w:rFonts w:hint="eastAsia"/>
          <w:b/>
          <w:bCs/>
        </w:rPr>
        <w:t>（2）</w:t>
      </w:r>
      <w:r w:rsidRPr="000F31A1">
        <w:rPr>
          <w:rFonts w:hint="eastAsia"/>
          <w:b/>
          <w:bCs/>
          <w:color w:val="FF0000"/>
        </w:rPr>
        <w:t>垄断竞争</w:t>
      </w:r>
      <w:r w:rsidRPr="00DF411E">
        <w:rPr>
          <w:rFonts w:hint="eastAsia"/>
        </w:rPr>
        <w:t>－－垄断竞争是指许多生产者生产</w:t>
      </w:r>
      <w:r w:rsidRPr="00213DEC">
        <w:rPr>
          <w:rFonts w:hint="eastAsia"/>
          <w:b/>
          <w:bCs/>
        </w:rPr>
        <w:t>同种但不同质</w:t>
      </w:r>
      <w:r w:rsidRPr="00DF411E">
        <w:rPr>
          <w:rFonts w:hint="eastAsia"/>
        </w:rPr>
        <w:t>产品的市场情形。</w:t>
      </w:r>
    </w:p>
    <w:p w14:paraId="63C23C32" w14:textId="77777777" w:rsidR="001F0655" w:rsidRPr="00DF411E" w:rsidRDefault="001F0655" w:rsidP="001F0655">
      <w:r w:rsidRPr="00DF411E">
        <w:rPr>
          <w:rFonts w:hint="eastAsia"/>
        </w:rPr>
        <w:t xml:space="preserve">   </w:t>
      </w:r>
      <w:r w:rsidRPr="00DF411E">
        <w:rPr>
          <w:rFonts w:hint="eastAsia"/>
          <w:b/>
          <w:bCs/>
        </w:rPr>
        <w:t>（3）</w:t>
      </w:r>
      <w:r w:rsidRPr="000F31A1">
        <w:rPr>
          <w:rFonts w:hint="eastAsia"/>
          <w:b/>
          <w:bCs/>
          <w:color w:val="FF0000"/>
        </w:rPr>
        <w:t>寡头垄断</w:t>
      </w:r>
      <w:r w:rsidRPr="00DF411E">
        <w:rPr>
          <w:rFonts w:hint="eastAsia"/>
        </w:rPr>
        <w:t>－－寡头垄断是指相对少量的生产者在某种产品的生产中占据很大市场的份额的情形。</w:t>
      </w:r>
    </w:p>
    <w:p w14:paraId="2D8C3EE7" w14:textId="77777777" w:rsidR="001F0655" w:rsidRPr="00DF411E" w:rsidRDefault="001F0655" w:rsidP="001F0655">
      <w:r w:rsidRPr="00DF411E">
        <w:rPr>
          <w:rFonts w:hint="eastAsia"/>
        </w:rPr>
        <w:t xml:space="preserve">   </w:t>
      </w:r>
      <w:r w:rsidRPr="00DF411E">
        <w:rPr>
          <w:rFonts w:hint="eastAsia"/>
          <w:b/>
          <w:bCs/>
        </w:rPr>
        <w:t>（4）</w:t>
      </w:r>
      <w:r w:rsidRPr="000F31A1">
        <w:rPr>
          <w:rFonts w:hint="eastAsia"/>
          <w:b/>
          <w:bCs/>
          <w:color w:val="FF0000"/>
        </w:rPr>
        <w:t>完全垄断</w:t>
      </w:r>
      <w:r w:rsidRPr="00DF411E">
        <w:rPr>
          <w:rFonts w:hint="eastAsia"/>
        </w:rPr>
        <w:t xml:space="preserve">－－完全垄断是指独家企业生产某种物质产品的情形，特质产品是指那些没有或缺少相近的替代品的产品。 </w:t>
      </w:r>
    </w:p>
    <w:p w14:paraId="7855FD9B" w14:textId="77777777" w:rsidR="001F0655" w:rsidRPr="00DF411E" w:rsidRDefault="001F0655" w:rsidP="001F0655">
      <w:r w:rsidRPr="00DF411E">
        <w:rPr>
          <w:rFonts w:hint="eastAsia"/>
          <w:b/>
          <w:bCs/>
        </w:rPr>
        <w:t>2.经济周期与行业分析</w:t>
      </w:r>
    </w:p>
    <w:p w14:paraId="15EF0D69" w14:textId="77777777" w:rsidR="001F0655" w:rsidRPr="00DF411E" w:rsidRDefault="001F0655" w:rsidP="001F0655">
      <w:r w:rsidRPr="00DF411E">
        <w:rPr>
          <w:rFonts w:hint="eastAsia"/>
        </w:rPr>
        <w:t xml:space="preserve">  </w:t>
      </w:r>
      <w:r w:rsidRPr="00DF411E">
        <w:t>  </w:t>
      </w:r>
      <w:r w:rsidR="00465956" w:rsidRPr="00DF411E">
        <w:rPr>
          <w:rFonts w:hint="eastAsia"/>
        </w:rPr>
        <w:t xml:space="preserve"> </w:t>
      </w:r>
      <w:r w:rsidRPr="00DF411E">
        <w:rPr>
          <w:rFonts w:hint="eastAsia"/>
        </w:rPr>
        <w:t>各产业变动时，往往呈现出明显的、可测的增长或衰退的格局。这些变动与国</w:t>
      </w:r>
      <w:r w:rsidR="00465956" w:rsidRPr="00DF411E">
        <w:rPr>
          <w:rFonts w:hint="eastAsia"/>
        </w:rPr>
        <w:t>民经济总体的周期变动是有关系的，但关系密切和程度又不一样。据此，</w:t>
      </w:r>
      <w:r w:rsidRPr="00DF411E">
        <w:rPr>
          <w:rFonts w:hint="eastAsia"/>
        </w:rPr>
        <w:t xml:space="preserve">可以将产业分为四类。 </w:t>
      </w:r>
    </w:p>
    <w:p w14:paraId="0EE2306B" w14:textId="77777777" w:rsidR="00C85E66" w:rsidRPr="00DF411E" w:rsidRDefault="001F0655" w:rsidP="00C85E66">
      <w:bookmarkStart w:id="1" w:name="_Hlk503471674"/>
      <w:r w:rsidRPr="00DF411E">
        <w:rPr>
          <w:rFonts w:hint="eastAsia"/>
        </w:rPr>
        <w:t xml:space="preserve"> </w:t>
      </w:r>
      <w:r w:rsidR="00465956" w:rsidRPr="00DF411E">
        <w:t xml:space="preserve">  </w:t>
      </w:r>
      <w:bookmarkEnd w:id="1"/>
      <w:r w:rsidRPr="00DF411E">
        <w:rPr>
          <w:rFonts w:hint="eastAsia"/>
          <w:b/>
        </w:rPr>
        <w:t>（1）</w:t>
      </w:r>
      <w:r w:rsidRPr="00DF411E">
        <w:rPr>
          <w:rFonts w:hint="eastAsia"/>
          <w:b/>
          <w:bCs/>
        </w:rPr>
        <w:t>增长性产业</w:t>
      </w:r>
      <w:r w:rsidR="00465956" w:rsidRPr="00DF411E">
        <w:rPr>
          <w:rFonts w:hint="eastAsia"/>
          <w:b/>
        </w:rPr>
        <w:t>：</w:t>
      </w:r>
      <w:r w:rsidRPr="00DF411E">
        <w:rPr>
          <w:rFonts w:hint="eastAsia"/>
        </w:rPr>
        <w:t>增长性产业的运动状态与经济活动总水平的周期及其振幅无关。这些产业收入增加的速率相对于经济周期的变动来说，并未出现同步影响，因为它们主要依靠技术的进步、新产品推出及更优质的服务，从而使其经常呈现出增长形态。在过去的几十年内，计算机和复印机产业表现了这种形态。</w:t>
      </w:r>
    </w:p>
    <w:p w14:paraId="16681FFD" w14:textId="0AD6D945" w:rsidR="001F0655" w:rsidRPr="00DF411E" w:rsidRDefault="00C85E66" w:rsidP="00C85E66">
      <w:r w:rsidRPr="00DF411E">
        <w:rPr>
          <w:rFonts w:hint="eastAsia"/>
        </w:rPr>
        <w:t xml:space="preserve"> </w:t>
      </w:r>
      <w:r w:rsidRPr="00DF411E">
        <w:t xml:space="preserve">  </w:t>
      </w:r>
      <w:r w:rsidRPr="00DF411E">
        <w:rPr>
          <w:rFonts w:hint="eastAsia"/>
          <w:b/>
        </w:rPr>
        <w:t>（</w:t>
      </w:r>
      <w:r w:rsidR="001F0655" w:rsidRPr="00DF411E">
        <w:rPr>
          <w:rFonts w:hint="eastAsia"/>
          <w:b/>
        </w:rPr>
        <w:t>2）</w:t>
      </w:r>
      <w:r w:rsidR="001F0655" w:rsidRPr="00DF411E">
        <w:rPr>
          <w:rFonts w:hint="eastAsia"/>
          <w:b/>
          <w:bCs/>
        </w:rPr>
        <w:t>周期性产业</w:t>
      </w:r>
      <w:r w:rsidR="00465956" w:rsidRPr="00DF411E">
        <w:rPr>
          <w:rFonts w:hint="eastAsia"/>
          <w:b/>
          <w:bCs/>
        </w:rPr>
        <w:t>：</w:t>
      </w:r>
      <w:r w:rsidR="001F0655" w:rsidRPr="00DF411E">
        <w:rPr>
          <w:rFonts w:hint="eastAsia"/>
        </w:rPr>
        <w:t>周期性产业的运动状态</w:t>
      </w:r>
      <w:r w:rsidR="001F0655" w:rsidRPr="00566859">
        <w:rPr>
          <w:rFonts w:hint="eastAsia"/>
          <w:b/>
          <w:bCs/>
        </w:rPr>
        <w:t>直接与经济周期相关</w:t>
      </w:r>
      <w:r w:rsidR="001F0655" w:rsidRPr="00DF411E">
        <w:rPr>
          <w:rFonts w:hint="eastAsia"/>
        </w:rPr>
        <w:t>。当经济处于上升时期，这些产业会紧随其扩张；当经济衰退时，这些产业也相应跌落。</w:t>
      </w:r>
      <w:r w:rsidR="00566859">
        <w:rPr>
          <w:rFonts w:hint="eastAsia"/>
        </w:rPr>
        <w:t>（比如</w:t>
      </w:r>
      <w:r w:rsidR="00191A84">
        <w:rPr>
          <w:rFonts w:hint="eastAsia"/>
        </w:rPr>
        <w:t>资源相关的</w:t>
      </w:r>
      <w:r w:rsidR="00566859">
        <w:rPr>
          <w:rFonts w:hint="eastAsia"/>
        </w:rPr>
        <w:t>有色金属</w:t>
      </w:r>
      <w:r w:rsidR="00191A84">
        <w:rPr>
          <w:rFonts w:hint="eastAsia"/>
        </w:rPr>
        <w:t>、石油石化</w:t>
      </w:r>
      <w:r w:rsidR="00566859">
        <w:rPr>
          <w:rFonts w:hint="eastAsia"/>
        </w:rPr>
        <w:t>，</w:t>
      </w:r>
      <w:r w:rsidR="00D92B3B">
        <w:rPr>
          <w:rFonts w:hint="eastAsia"/>
        </w:rPr>
        <w:t>化工</w:t>
      </w:r>
      <w:r w:rsidR="00411FA8">
        <w:rPr>
          <w:rFonts w:hint="eastAsia"/>
        </w:rPr>
        <w:t>，特别是化工</w:t>
      </w:r>
      <w:r w:rsidR="00566859">
        <w:rPr>
          <w:rFonts w:hint="eastAsia"/>
        </w:rPr>
        <w:t>）</w:t>
      </w:r>
      <w:r w:rsidR="00C60D0D">
        <w:rPr>
          <w:rFonts w:hint="eastAsia"/>
        </w:rPr>
        <w:t>强周期的行业一般低估值</w:t>
      </w:r>
      <w:r w:rsidR="003D4F4B">
        <w:rPr>
          <w:rFonts w:hint="eastAsia"/>
        </w:rPr>
        <w:t xml:space="preserve">。 </w:t>
      </w:r>
      <w:r w:rsidR="003D4F4B">
        <w:t xml:space="preserve"> </w:t>
      </w:r>
      <w:r w:rsidR="003D4F4B">
        <w:rPr>
          <w:rFonts w:hint="eastAsia"/>
        </w:rPr>
        <w:t>不是周期的就是非周期，比如食品医药</w:t>
      </w:r>
      <w:r w:rsidR="00A1512B">
        <w:rPr>
          <w:rFonts w:hint="eastAsia"/>
        </w:rPr>
        <w:t>饮料</w:t>
      </w:r>
    </w:p>
    <w:p w14:paraId="339FD958" w14:textId="77777777" w:rsidR="00EF14D2" w:rsidRPr="00DF411E" w:rsidRDefault="001F0655" w:rsidP="00EF14D2">
      <w:pPr>
        <w:ind w:firstLineChars="100" w:firstLine="210"/>
      </w:pPr>
      <w:r w:rsidRPr="00DF411E">
        <w:rPr>
          <w:rFonts w:hint="eastAsia"/>
        </w:rPr>
        <w:t xml:space="preserve"> </w:t>
      </w:r>
      <w:r w:rsidRPr="00DF411E">
        <w:rPr>
          <w:rFonts w:hint="eastAsia"/>
          <w:b/>
        </w:rPr>
        <w:t>（3）</w:t>
      </w:r>
      <w:r w:rsidRPr="00DF411E">
        <w:rPr>
          <w:rFonts w:hint="eastAsia"/>
          <w:b/>
          <w:bCs/>
        </w:rPr>
        <w:t>防御性产业</w:t>
      </w:r>
      <w:r w:rsidR="00465956" w:rsidRPr="00DF411E">
        <w:rPr>
          <w:rFonts w:hint="eastAsia"/>
          <w:b/>
          <w:bCs/>
        </w:rPr>
        <w:t>：</w:t>
      </w:r>
      <w:r w:rsidRPr="00DF411E">
        <w:rPr>
          <w:rFonts w:hint="eastAsia"/>
        </w:rPr>
        <w:t>这些产业运动形态的存在是因为其产业的产品需求相对稳定，并不受经济周期牌衰退阶段的影响。有时候，在经济衰退时，防御性产业或许会有实际增加，例如，食品业和公用事业属于防御性产业，因为需求对其产品的收弹性较小，所以这些公司的收相对稳定。</w:t>
      </w:r>
    </w:p>
    <w:p w14:paraId="1661D3CC" w14:textId="103E9630" w:rsidR="000C4124" w:rsidRPr="00DF411E" w:rsidRDefault="000C4124" w:rsidP="00EF14D2">
      <w:pPr>
        <w:ind w:firstLineChars="150" w:firstLine="315"/>
      </w:pPr>
      <w:r w:rsidRPr="00DF411E">
        <w:rPr>
          <w:rFonts w:hint="eastAsia"/>
          <w:b/>
        </w:rPr>
        <w:t>（</w:t>
      </w:r>
      <w:r w:rsidR="00EF14D2" w:rsidRPr="00DF411E">
        <w:rPr>
          <w:rFonts w:hint="eastAsia"/>
          <w:b/>
        </w:rPr>
        <w:t>4）</w:t>
      </w:r>
      <w:r w:rsidRPr="00DF411E">
        <w:rPr>
          <w:rFonts w:hint="eastAsia"/>
          <w:b/>
        </w:rPr>
        <w:t>增长/周期性产业</w:t>
      </w:r>
      <w:r w:rsidR="00C85E66" w:rsidRPr="00DF411E">
        <w:rPr>
          <w:rFonts w:hint="eastAsia"/>
          <w:b/>
        </w:rPr>
        <w:t>：</w:t>
      </w:r>
      <w:r w:rsidRPr="00DF411E">
        <w:rPr>
          <w:rFonts w:hint="eastAsia"/>
        </w:rPr>
        <w:t xml:space="preserve">在产业的运动形态中还有另一种可能，这些产业既有增长的运动形态，又有周期性的运动形态。这些产业被称增长/周期性产业。 </w:t>
      </w:r>
      <w:r w:rsidR="00AA3D5F">
        <w:t xml:space="preserve"> </w:t>
      </w:r>
      <w:r w:rsidR="00AA3D5F">
        <w:rPr>
          <w:rFonts w:hint="eastAsia"/>
        </w:rPr>
        <w:t>比如芯片</w:t>
      </w:r>
    </w:p>
    <w:p w14:paraId="4206EFE2" w14:textId="77777777" w:rsidR="000C4124" w:rsidRPr="00DF411E" w:rsidRDefault="000C4124" w:rsidP="000C4124">
      <w:r w:rsidRPr="00DF411E">
        <w:rPr>
          <w:rFonts w:hint="eastAsia"/>
          <w:b/>
          <w:bCs/>
        </w:rPr>
        <w:t>3.行业的生命周期分析</w:t>
      </w:r>
    </w:p>
    <w:p w14:paraId="1F2D827A" w14:textId="77777777" w:rsidR="009A1DF9" w:rsidRPr="00DF411E" w:rsidRDefault="000C4124" w:rsidP="009961BD">
      <w:r w:rsidRPr="00DF411E">
        <w:rPr>
          <w:rFonts w:hint="eastAsia"/>
        </w:rPr>
        <w:t xml:space="preserve">    通常，每个产业都要经历</w:t>
      </w:r>
      <w:r w:rsidR="00EF14D2" w:rsidRPr="00DF411E">
        <w:rPr>
          <w:rFonts w:hint="eastAsia"/>
        </w:rPr>
        <w:t>一个由成长到衰退的发展演变过程。这个过程便被称为产业的生命周期.</w:t>
      </w:r>
      <w:r w:rsidRPr="00DF411E">
        <w:rPr>
          <w:rFonts w:hint="eastAsia"/>
        </w:rPr>
        <w:t>一般地，产业的生命周期可分为四个阶段，即初创期（也叫幼稚期）、成长期、</w:t>
      </w:r>
      <w:r w:rsidRPr="005B3D76">
        <w:rPr>
          <w:rFonts w:hint="eastAsia"/>
          <w:highlight w:val="yellow"/>
        </w:rPr>
        <w:t>成熟期</w:t>
      </w:r>
      <w:r w:rsidRPr="00DF411E">
        <w:rPr>
          <w:rFonts w:hint="eastAsia"/>
        </w:rPr>
        <w:t xml:space="preserve">和衰退期。 </w:t>
      </w:r>
    </w:p>
    <w:p w14:paraId="2FF33FD6" w14:textId="0101750A" w:rsidR="009A1DF9" w:rsidRPr="009322EA" w:rsidRDefault="009A1DF9" w:rsidP="009961BD">
      <w:pPr>
        <w:rPr>
          <w:b/>
          <w:bCs/>
          <w:color w:val="538135" w:themeColor="accent6" w:themeShade="BF"/>
        </w:rPr>
      </w:pPr>
      <w:r w:rsidRPr="009322EA">
        <w:rPr>
          <w:rFonts w:hint="eastAsia"/>
          <w:b/>
          <w:bCs/>
          <w:color w:val="538135" w:themeColor="accent6" w:themeShade="BF"/>
        </w:rPr>
        <w:t>第三节 公司分析</w:t>
      </w:r>
    </w:p>
    <w:p w14:paraId="21E4D374" w14:textId="77777777" w:rsidR="009A1DF9" w:rsidRPr="00DF411E" w:rsidRDefault="009A1DF9" w:rsidP="00F602B3">
      <w:r w:rsidRPr="00E30881">
        <w:rPr>
          <w:rFonts w:hint="eastAsia"/>
          <w:b/>
          <w:bCs/>
          <w:highlight w:val="yellow"/>
        </w:rPr>
        <w:t>一.公司</w:t>
      </w:r>
      <w:r w:rsidRPr="00E30881">
        <w:rPr>
          <w:rFonts w:hint="eastAsia"/>
          <w:b/>
          <w:bCs/>
          <w:color w:val="4472C4" w:themeColor="accent1"/>
          <w:highlight w:val="yellow"/>
        </w:rPr>
        <w:t>基本分</w:t>
      </w:r>
      <w:r w:rsidR="00F602B3" w:rsidRPr="00E30881">
        <w:rPr>
          <w:rFonts w:hint="eastAsia"/>
          <w:b/>
          <w:bCs/>
          <w:color w:val="4472C4" w:themeColor="accent1"/>
          <w:highlight w:val="yellow"/>
        </w:rPr>
        <w:t>析</w:t>
      </w:r>
    </w:p>
    <w:p w14:paraId="6290D365" w14:textId="5374CCA7" w:rsidR="000C4124" w:rsidRPr="00DF411E" w:rsidRDefault="000C4124" w:rsidP="000C4124">
      <w:r w:rsidRPr="00DF411E">
        <w:rPr>
          <w:rFonts w:hint="eastAsia"/>
          <w:b/>
          <w:bCs/>
        </w:rPr>
        <w:t>1.行业地位分析</w:t>
      </w:r>
    </w:p>
    <w:p w14:paraId="690AA3C1" w14:textId="09671A9E" w:rsidR="000C4124" w:rsidRPr="00DF411E" w:rsidRDefault="000C4124" w:rsidP="000C4124">
      <w:r w:rsidRPr="00DF411E">
        <w:rPr>
          <w:rFonts w:hint="eastAsia"/>
          <w:b/>
          <w:bCs/>
        </w:rPr>
        <w:t>2.区位分析</w:t>
      </w:r>
      <w:r w:rsidR="00E30881" w:rsidRPr="00DF411E">
        <w:t xml:space="preserve"> </w:t>
      </w:r>
    </w:p>
    <w:p w14:paraId="583909B0" w14:textId="108929D4" w:rsidR="000C4124" w:rsidRPr="00DF411E" w:rsidRDefault="000C4124" w:rsidP="000C4124">
      <w:r w:rsidRPr="00DF411E">
        <w:rPr>
          <w:rFonts w:hint="eastAsia"/>
          <w:b/>
          <w:bCs/>
        </w:rPr>
        <w:t>3.</w:t>
      </w:r>
      <w:r w:rsidR="00F602B3" w:rsidRPr="00DF411E">
        <w:rPr>
          <w:rFonts w:hint="eastAsia"/>
          <w:b/>
          <w:bCs/>
        </w:rPr>
        <w:t>产品分析</w:t>
      </w:r>
    </w:p>
    <w:p w14:paraId="1F359854" w14:textId="42DC17C8" w:rsidR="000C4124" w:rsidRPr="00DF411E" w:rsidRDefault="000C4124" w:rsidP="000C4124">
      <w:r w:rsidRPr="00DF411E">
        <w:rPr>
          <w:rFonts w:hint="eastAsia"/>
          <w:b/>
          <w:bCs/>
        </w:rPr>
        <w:t>4.</w:t>
      </w:r>
      <w:r w:rsidR="00F602B3" w:rsidRPr="00DF411E">
        <w:rPr>
          <w:rFonts w:hint="eastAsia"/>
          <w:b/>
          <w:bCs/>
        </w:rPr>
        <w:t>公司经营管理能力分析</w:t>
      </w:r>
      <w:r w:rsidRPr="00DF411E">
        <w:rPr>
          <w:rFonts w:hint="eastAsia"/>
        </w:rPr>
        <w:t xml:space="preserve"> </w:t>
      </w:r>
    </w:p>
    <w:p w14:paraId="66219DDD" w14:textId="77777777" w:rsidR="000C4124" w:rsidRPr="00DF411E" w:rsidRDefault="000C4124" w:rsidP="000C4124">
      <w:r w:rsidRPr="00DF411E">
        <w:rPr>
          <w:rFonts w:hint="eastAsia"/>
          <w:b/>
          <w:bCs/>
        </w:rPr>
        <w:t>5.</w:t>
      </w:r>
      <w:r w:rsidR="00F602B3" w:rsidRPr="00DF411E">
        <w:rPr>
          <w:rFonts w:hint="eastAsia"/>
          <w:b/>
          <w:bCs/>
        </w:rPr>
        <w:t>成长性分析：</w:t>
      </w:r>
      <w:r w:rsidRPr="00DF411E">
        <w:rPr>
          <w:rFonts w:hint="eastAsia"/>
        </w:rPr>
        <w:t>包括：公司经营战略分析；公司规模变动特征及扩张潜力分析。</w:t>
      </w:r>
    </w:p>
    <w:p w14:paraId="32B20ED6" w14:textId="77777777" w:rsidR="000C4124" w:rsidRPr="00DF411E" w:rsidRDefault="000C4124" w:rsidP="000C4124">
      <w:pPr>
        <w:rPr>
          <w:b/>
          <w:bCs/>
        </w:rPr>
      </w:pPr>
      <w:r w:rsidRPr="00E30881">
        <w:rPr>
          <w:rFonts w:hint="eastAsia"/>
          <w:b/>
          <w:bCs/>
          <w:highlight w:val="yellow"/>
        </w:rPr>
        <w:t>二.公司</w:t>
      </w:r>
      <w:r w:rsidRPr="00E30881">
        <w:rPr>
          <w:rFonts w:hint="eastAsia"/>
          <w:b/>
          <w:bCs/>
          <w:color w:val="4472C4" w:themeColor="accent1"/>
          <w:highlight w:val="yellow"/>
        </w:rPr>
        <w:t>财务分析</w:t>
      </w:r>
    </w:p>
    <w:p w14:paraId="73F002A1" w14:textId="77777777" w:rsidR="000C4124" w:rsidRPr="00DF411E" w:rsidRDefault="000C4124" w:rsidP="000C4124">
      <w:pPr>
        <w:rPr>
          <w:bCs/>
        </w:rPr>
      </w:pPr>
      <w:r w:rsidRPr="00DF411E">
        <w:rPr>
          <w:rFonts w:hint="eastAsia"/>
          <w:b/>
          <w:bCs/>
        </w:rPr>
        <w:t>1.公司主要的财务报表。</w:t>
      </w:r>
      <w:r w:rsidRPr="00DF411E">
        <w:rPr>
          <w:rFonts w:hint="eastAsia"/>
          <w:bCs/>
        </w:rPr>
        <w:t>资产负债表；损益表；现金流量表。</w:t>
      </w:r>
      <w:r w:rsidRPr="00DF411E">
        <w:rPr>
          <w:rFonts w:hint="eastAsia"/>
          <w:bCs/>
        </w:rPr>
        <w:br/>
      </w:r>
      <w:r w:rsidRPr="00DF411E">
        <w:rPr>
          <w:rFonts w:hint="eastAsia"/>
          <w:b/>
          <w:bCs/>
        </w:rPr>
        <w:t>2.财务比率分析。</w:t>
      </w:r>
    </w:p>
    <w:p w14:paraId="59A1C0FD" w14:textId="42BB0098" w:rsidR="009A1DF9" w:rsidRPr="00DF411E" w:rsidRDefault="009A1DF9" w:rsidP="00813501">
      <w:pPr>
        <w:rPr>
          <w:bCs/>
        </w:rPr>
      </w:pPr>
      <w:r w:rsidRPr="00DF411E">
        <w:rPr>
          <w:rFonts w:hint="eastAsia"/>
          <w:b/>
          <w:bCs/>
        </w:rPr>
        <w:t>偿债能力分析</w:t>
      </w:r>
      <w:r w:rsidR="00E30881" w:rsidRPr="00DF411E">
        <w:rPr>
          <w:bCs/>
        </w:rPr>
        <w:t xml:space="preserve"> </w:t>
      </w:r>
    </w:p>
    <w:p w14:paraId="2D759655" w14:textId="6437534C" w:rsidR="009A1DF9" w:rsidRPr="00DF411E" w:rsidRDefault="009A1DF9" w:rsidP="00813501">
      <w:pPr>
        <w:rPr>
          <w:bCs/>
        </w:rPr>
      </w:pPr>
      <w:r w:rsidRPr="00DF411E">
        <w:rPr>
          <w:rFonts w:hint="eastAsia"/>
          <w:b/>
          <w:bCs/>
        </w:rPr>
        <w:t>资本结构分析</w:t>
      </w:r>
    </w:p>
    <w:p w14:paraId="13150E5A" w14:textId="2677FD26" w:rsidR="000C4124" w:rsidRPr="00DF411E" w:rsidRDefault="009A1DF9" w:rsidP="00813501">
      <w:pPr>
        <w:rPr>
          <w:bCs/>
        </w:rPr>
      </w:pPr>
      <w:r w:rsidRPr="00DF411E">
        <w:rPr>
          <w:rFonts w:hint="eastAsia"/>
          <w:b/>
          <w:bCs/>
        </w:rPr>
        <w:t>经营效率分析</w:t>
      </w:r>
    </w:p>
    <w:p w14:paraId="29D45383" w14:textId="6966C3F2" w:rsidR="009A1DF9" w:rsidRDefault="009A1DF9" w:rsidP="00813501">
      <w:pPr>
        <w:rPr>
          <w:bCs/>
        </w:rPr>
      </w:pPr>
      <w:r w:rsidRPr="00DF411E">
        <w:rPr>
          <w:rFonts w:hint="eastAsia"/>
          <w:b/>
          <w:bCs/>
        </w:rPr>
        <w:t>盈利能力分析</w:t>
      </w:r>
    </w:p>
    <w:p w14:paraId="22F529BF" w14:textId="15086670" w:rsidR="00DC5C32" w:rsidRDefault="009A1DF9" w:rsidP="00191A8F">
      <w:pPr>
        <w:rPr>
          <w:b/>
          <w:bCs/>
        </w:rPr>
      </w:pPr>
      <w:r w:rsidRPr="00DF411E">
        <w:rPr>
          <w:rFonts w:hint="eastAsia"/>
          <w:b/>
          <w:bCs/>
        </w:rPr>
        <w:t>投资收益分析</w:t>
      </w:r>
    </w:p>
    <w:p w14:paraId="7E4E8849" w14:textId="25CF622A" w:rsidR="00842247" w:rsidRDefault="00842247" w:rsidP="00191A8F">
      <w:pPr>
        <w:rPr>
          <w:b/>
          <w:bCs/>
        </w:rPr>
      </w:pPr>
    </w:p>
    <w:p w14:paraId="1FF5B2A9" w14:textId="555B85DF" w:rsidR="00842247" w:rsidRPr="00842247" w:rsidRDefault="00842247" w:rsidP="00842247">
      <w:pPr>
        <w:jc w:val="center"/>
        <w:rPr>
          <w:b/>
          <w:bCs/>
          <w:color w:val="70AD47" w:themeColor="accent6"/>
          <w:sz w:val="28"/>
          <w:szCs w:val="28"/>
        </w:rPr>
      </w:pPr>
      <w:r>
        <w:rPr>
          <w:rFonts w:hint="eastAsia"/>
          <w:b/>
          <w:bCs/>
          <w:color w:val="70AD47" w:themeColor="accent6"/>
          <w:sz w:val="28"/>
          <w:szCs w:val="28"/>
        </w:rPr>
        <w:t>[补充</w:t>
      </w:r>
      <w:r>
        <w:rPr>
          <w:b/>
          <w:bCs/>
          <w:color w:val="70AD47" w:themeColor="accent6"/>
          <w:sz w:val="28"/>
          <w:szCs w:val="28"/>
        </w:rPr>
        <w:t>]</w:t>
      </w:r>
      <w:r w:rsidRPr="00842247">
        <w:rPr>
          <w:rFonts w:hint="eastAsia"/>
          <w:b/>
          <w:bCs/>
          <w:color w:val="70AD47" w:themeColor="accent6"/>
          <w:sz w:val="28"/>
          <w:szCs w:val="28"/>
        </w:rPr>
        <w:t>债券发行价格</w:t>
      </w:r>
    </w:p>
    <w:p w14:paraId="4A6DEFB9" w14:textId="332BAA9B" w:rsidR="00842247" w:rsidRDefault="00842247" w:rsidP="00191A8F">
      <w:pPr>
        <w:rPr>
          <w:bCs/>
        </w:rPr>
      </w:pPr>
      <w:r>
        <w:rPr>
          <w:noProof/>
        </w:rPr>
        <w:lastRenderedPageBreak/>
        <w:drawing>
          <wp:inline distT="0" distB="0" distL="0" distR="0" wp14:anchorId="2BEF27AF" wp14:editId="47B6F076">
            <wp:extent cx="5274310" cy="2479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79040"/>
                    </a:xfrm>
                    <a:prstGeom prst="rect">
                      <a:avLst/>
                    </a:prstGeom>
                  </pic:spPr>
                </pic:pic>
              </a:graphicData>
            </a:graphic>
          </wp:inline>
        </w:drawing>
      </w:r>
    </w:p>
    <w:p w14:paraId="2D3CDA0C" w14:textId="6AB72404" w:rsidR="00842247" w:rsidRDefault="009D58DA" w:rsidP="00191A8F">
      <w:pPr>
        <w:rPr>
          <w:bCs/>
        </w:rPr>
      </w:pPr>
      <w:r w:rsidRPr="009D58DA">
        <w:rPr>
          <w:noProof/>
        </w:rPr>
        <w:drawing>
          <wp:inline distT="0" distB="0" distL="0" distR="0" wp14:anchorId="581FD326" wp14:editId="3A0DDAF3">
            <wp:extent cx="3139440" cy="103534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674" cy="1036743"/>
                    </a:xfrm>
                    <a:prstGeom prst="rect">
                      <a:avLst/>
                    </a:prstGeom>
                  </pic:spPr>
                </pic:pic>
              </a:graphicData>
            </a:graphic>
          </wp:inline>
        </w:drawing>
      </w:r>
      <w:r w:rsidR="00E303C6">
        <w:rPr>
          <w:rFonts w:hint="eastAsia"/>
          <w:bCs/>
        </w:rPr>
        <w:t>没有利滚利</w:t>
      </w:r>
    </w:p>
    <w:p w14:paraId="3D3818BB" w14:textId="4BDFF032" w:rsidR="009D58DA" w:rsidRDefault="009D58DA" w:rsidP="00191A8F">
      <w:pPr>
        <w:rPr>
          <w:bCs/>
        </w:rPr>
      </w:pPr>
      <w:r w:rsidRPr="009D58DA">
        <w:rPr>
          <w:noProof/>
        </w:rPr>
        <w:drawing>
          <wp:inline distT="0" distB="0" distL="0" distR="0" wp14:anchorId="31F036FD" wp14:editId="5CBA823A">
            <wp:extent cx="5274310" cy="959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59485"/>
                    </a:xfrm>
                    <a:prstGeom prst="rect">
                      <a:avLst/>
                    </a:prstGeom>
                  </pic:spPr>
                </pic:pic>
              </a:graphicData>
            </a:graphic>
          </wp:inline>
        </w:drawing>
      </w:r>
    </w:p>
    <w:p w14:paraId="690E9D21" w14:textId="70AEFB90" w:rsidR="0035505A" w:rsidRDefault="0035505A" w:rsidP="00191A8F">
      <w:pPr>
        <w:rPr>
          <w:bCs/>
        </w:rPr>
      </w:pPr>
    </w:p>
    <w:p w14:paraId="03F5B7D4" w14:textId="0E2D5620" w:rsidR="0035505A" w:rsidRPr="00703142" w:rsidRDefault="0035505A" w:rsidP="00191A8F">
      <w:pPr>
        <w:rPr>
          <w:rFonts w:hint="eastAsia"/>
          <w:bCs/>
        </w:rPr>
      </w:pPr>
      <w:r>
        <w:rPr>
          <w:rFonts w:hint="eastAsia"/>
          <w:bCs/>
        </w:rPr>
        <w:t>所有的计算，sigma的起点都是1</w:t>
      </w:r>
    </w:p>
    <w:sectPr w:rsidR="0035505A" w:rsidRPr="00703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859D" w14:textId="77777777" w:rsidR="00CE0072" w:rsidRDefault="00CE0072" w:rsidP="000E352F">
      <w:r>
        <w:separator/>
      </w:r>
    </w:p>
  </w:endnote>
  <w:endnote w:type="continuationSeparator" w:id="0">
    <w:p w14:paraId="187B2E7F" w14:textId="77777777" w:rsidR="00CE0072" w:rsidRDefault="00CE0072" w:rsidP="000E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苹方-简">
    <w:altName w:val="微软雅黑"/>
    <w:charset w:val="86"/>
    <w:family w:val="swiss"/>
    <w:pitch w:val="variable"/>
    <w:sig w:usb0="F0000AFF" w:usb1="3BDFFD7B" w:usb2="00000017" w:usb3="00000000" w:csb0="0004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54B4" w14:textId="77777777" w:rsidR="00CE0072" w:rsidRDefault="00CE0072" w:rsidP="000E352F">
      <w:r>
        <w:separator/>
      </w:r>
    </w:p>
  </w:footnote>
  <w:footnote w:type="continuationSeparator" w:id="0">
    <w:p w14:paraId="5B341576" w14:textId="77777777" w:rsidR="00CE0072" w:rsidRDefault="00CE0072" w:rsidP="000E3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2C6"/>
    <w:multiLevelType w:val="hybridMultilevel"/>
    <w:tmpl w:val="4F98ED60"/>
    <w:lvl w:ilvl="0" w:tplc="0CA2229E">
      <w:start w:val="8"/>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6503E"/>
    <w:multiLevelType w:val="hybridMultilevel"/>
    <w:tmpl w:val="C826090E"/>
    <w:lvl w:ilvl="0" w:tplc="7A50DD7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D81383"/>
    <w:multiLevelType w:val="hybridMultilevel"/>
    <w:tmpl w:val="ED98A8FA"/>
    <w:lvl w:ilvl="0" w:tplc="73840A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17C88"/>
    <w:multiLevelType w:val="hybridMultilevel"/>
    <w:tmpl w:val="D2B87E08"/>
    <w:lvl w:ilvl="0" w:tplc="0770A07A">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7C3A15"/>
    <w:multiLevelType w:val="hybridMultilevel"/>
    <w:tmpl w:val="914C9038"/>
    <w:lvl w:ilvl="0" w:tplc="56D0E14A">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C7C05"/>
    <w:multiLevelType w:val="hybridMultilevel"/>
    <w:tmpl w:val="4582F90E"/>
    <w:lvl w:ilvl="0" w:tplc="7F2071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721563"/>
    <w:multiLevelType w:val="hybridMultilevel"/>
    <w:tmpl w:val="0AE8C3E4"/>
    <w:lvl w:ilvl="0" w:tplc="52526E1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F464A3"/>
    <w:multiLevelType w:val="hybridMultilevel"/>
    <w:tmpl w:val="EFC4CC32"/>
    <w:lvl w:ilvl="0" w:tplc="117C2A8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434D3E"/>
    <w:multiLevelType w:val="hybridMultilevel"/>
    <w:tmpl w:val="20D4E882"/>
    <w:lvl w:ilvl="0" w:tplc="F1086B8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317ADC"/>
    <w:multiLevelType w:val="hybridMultilevel"/>
    <w:tmpl w:val="36A81FF0"/>
    <w:lvl w:ilvl="0" w:tplc="98A8F77E">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0"/>
  </w:num>
  <w:num w:numId="4">
    <w:abstractNumId w:val="9"/>
  </w:num>
  <w:num w:numId="5">
    <w:abstractNumId w:val="7"/>
  </w:num>
  <w:num w:numId="6">
    <w:abstractNumId w:val="2"/>
  </w:num>
  <w:num w:numId="7">
    <w:abstractNumId w:val="4"/>
  </w:num>
  <w:num w:numId="8">
    <w:abstractNumId w:val="5"/>
  </w:num>
  <w:num w:numId="9">
    <w:abstractNumId w:val="1"/>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61"/>
    <w:rsid w:val="00003815"/>
    <w:rsid w:val="000049BC"/>
    <w:rsid w:val="00023831"/>
    <w:rsid w:val="00027C59"/>
    <w:rsid w:val="00030584"/>
    <w:rsid w:val="000417F2"/>
    <w:rsid w:val="00046714"/>
    <w:rsid w:val="000502A5"/>
    <w:rsid w:val="00050BAA"/>
    <w:rsid w:val="0005763E"/>
    <w:rsid w:val="0005764F"/>
    <w:rsid w:val="00064FB4"/>
    <w:rsid w:val="00070B3F"/>
    <w:rsid w:val="000755B8"/>
    <w:rsid w:val="000A35EC"/>
    <w:rsid w:val="000B1314"/>
    <w:rsid w:val="000B15D7"/>
    <w:rsid w:val="000B17F3"/>
    <w:rsid w:val="000B4465"/>
    <w:rsid w:val="000B4830"/>
    <w:rsid w:val="000C4124"/>
    <w:rsid w:val="000D5B1D"/>
    <w:rsid w:val="000E1560"/>
    <w:rsid w:val="000E27FD"/>
    <w:rsid w:val="000E352F"/>
    <w:rsid w:val="000E3B6A"/>
    <w:rsid w:val="000E3CDB"/>
    <w:rsid w:val="000E515F"/>
    <w:rsid w:val="000E5E9E"/>
    <w:rsid w:val="000F1585"/>
    <w:rsid w:val="000F31A1"/>
    <w:rsid w:val="000F3225"/>
    <w:rsid w:val="00112474"/>
    <w:rsid w:val="00112EB6"/>
    <w:rsid w:val="0012160D"/>
    <w:rsid w:val="001242C1"/>
    <w:rsid w:val="0013085C"/>
    <w:rsid w:val="00132AA0"/>
    <w:rsid w:val="00134168"/>
    <w:rsid w:val="0014359C"/>
    <w:rsid w:val="001450DA"/>
    <w:rsid w:val="00145B14"/>
    <w:rsid w:val="00146B12"/>
    <w:rsid w:val="00147F3B"/>
    <w:rsid w:val="0015267F"/>
    <w:rsid w:val="00154532"/>
    <w:rsid w:val="00157310"/>
    <w:rsid w:val="001619ED"/>
    <w:rsid w:val="001662E2"/>
    <w:rsid w:val="00167E08"/>
    <w:rsid w:val="00177915"/>
    <w:rsid w:val="00177B37"/>
    <w:rsid w:val="00181BE1"/>
    <w:rsid w:val="00187FE3"/>
    <w:rsid w:val="00191A84"/>
    <w:rsid w:val="00191A8F"/>
    <w:rsid w:val="00191FD6"/>
    <w:rsid w:val="001A45F5"/>
    <w:rsid w:val="001B0256"/>
    <w:rsid w:val="001B2B1F"/>
    <w:rsid w:val="001B4C63"/>
    <w:rsid w:val="001B5AC7"/>
    <w:rsid w:val="001C0A98"/>
    <w:rsid w:val="001C2D54"/>
    <w:rsid w:val="001D15DA"/>
    <w:rsid w:val="001D4B1E"/>
    <w:rsid w:val="001E2B40"/>
    <w:rsid w:val="001E5B23"/>
    <w:rsid w:val="001F0655"/>
    <w:rsid w:val="001F1F65"/>
    <w:rsid w:val="001F5266"/>
    <w:rsid w:val="00203292"/>
    <w:rsid w:val="00205811"/>
    <w:rsid w:val="00212E8C"/>
    <w:rsid w:val="00213DEC"/>
    <w:rsid w:val="00214CE4"/>
    <w:rsid w:val="0022527F"/>
    <w:rsid w:val="00236BC4"/>
    <w:rsid w:val="00242309"/>
    <w:rsid w:val="002439D2"/>
    <w:rsid w:val="00245364"/>
    <w:rsid w:val="0025539D"/>
    <w:rsid w:val="00256E50"/>
    <w:rsid w:val="00260CD4"/>
    <w:rsid w:val="002668D0"/>
    <w:rsid w:val="002703FD"/>
    <w:rsid w:val="002866F1"/>
    <w:rsid w:val="00286E89"/>
    <w:rsid w:val="002961E9"/>
    <w:rsid w:val="00296DD1"/>
    <w:rsid w:val="002A3AD4"/>
    <w:rsid w:val="002A3DFF"/>
    <w:rsid w:val="002A45D6"/>
    <w:rsid w:val="002A68DC"/>
    <w:rsid w:val="002A75AF"/>
    <w:rsid w:val="002B4BCF"/>
    <w:rsid w:val="002B71F6"/>
    <w:rsid w:val="002C1C13"/>
    <w:rsid w:val="002C527C"/>
    <w:rsid w:val="002C6FDD"/>
    <w:rsid w:val="002C726B"/>
    <w:rsid w:val="002D6916"/>
    <w:rsid w:val="002D7AB7"/>
    <w:rsid w:val="002E6185"/>
    <w:rsid w:val="002E646A"/>
    <w:rsid w:val="002E6A76"/>
    <w:rsid w:val="002F1FFA"/>
    <w:rsid w:val="002F314D"/>
    <w:rsid w:val="002F7658"/>
    <w:rsid w:val="00302052"/>
    <w:rsid w:val="00302557"/>
    <w:rsid w:val="0030409D"/>
    <w:rsid w:val="00306135"/>
    <w:rsid w:val="00310BF5"/>
    <w:rsid w:val="00314D8C"/>
    <w:rsid w:val="00317018"/>
    <w:rsid w:val="0032124C"/>
    <w:rsid w:val="003258BE"/>
    <w:rsid w:val="003263CD"/>
    <w:rsid w:val="00326711"/>
    <w:rsid w:val="00327591"/>
    <w:rsid w:val="00333A20"/>
    <w:rsid w:val="00340E03"/>
    <w:rsid w:val="0035174D"/>
    <w:rsid w:val="0035505A"/>
    <w:rsid w:val="00362C32"/>
    <w:rsid w:val="00365B9E"/>
    <w:rsid w:val="00382CD7"/>
    <w:rsid w:val="00386C84"/>
    <w:rsid w:val="00390965"/>
    <w:rsid w:val="003918AB"/>
    <w:rsid w:val="003A21ED"/>
    <w:rsid w:val="003A7934"/>
    <w:rsid w:val="003B3953"/>
    <w:rsid w:val="003B5307"/>
    <w:rsid w:val="003B5DD6"/>
    <w:rsid w:val="003C1E14"/>
    <w:rsid w:val="003D057C"/>
    <w:rsid w:val="003D12E0"/>
    <w:rsid w:val="003D2743"/>
    <w:rsid w:val="003D4A96"/>
    <w:rsid w:val="003D4F4B"/>
    <w:rsid w:val="003D53D8"/>
    <w:rsid w:val="003F3196"/>
    <w:rsid w:val="003F44A0"/>
    <w:rsid w:val="003F5890"/>
    <w:rsid w:val="003F5C5B"/>
    <w:rsid w:val="00401E59"/>
    <w:rsid w:val="00406ED5"/>
    <w:rsid w:val="0041104B"/>
    <w:rsid w:val="00411FA8"/>
    <w:rsid w:val="00423983"/>
    <w:rsid w:val="00433224"/>
    <w:rsid w:val="0043457C"/>
    <w:rsid w:val="004426C9"/>
    <w:rsid w:val="00442ABD"/>
    <w:rsid w:val="00445C08"/>
    <w:rsid w:val="004470D9"/>
    <w:rsid w:val="00450998"/>
    <w:rsid w:val="00450F5D"/>
    <w:rsid w:val="00462CD8"/>
    <w:rsid w:val="0046485F"/>
    <w:rsid w:val="00465956"/>
    <w:rsid w:val="00471D80"/>
    <w:rsid w:val="0047244E"/>
    <w:rsid w:val="00481908"/>
    <w:rsid w:val="00481A92"/>
    <w:rsid w:val="004822D9"/>
    <w:rsid w:val="00492DA0"/>
    <w:rsid w:val="00493E90"/>
    <w:rsid w:val="0049734E"/>
    <w:rsid w:val="004A7F89"/>
    <w:rsid w:val="004C0861"/>
    <w:rsid w:val="004C5664"/>
    <w:rsid w:val="004C6E06"/>
    <w:rsid w:val="004D528B"/>
    <w:rsid w:val="004D61F6"/>
    <w:rsid w:val="004D7F49"/>
    <w:rsid w:val="004E4941"/>
    <w:rsid w:val="004E7341"/>
    <w:rsid w:val="004F1B68"/>
    <w:rsid w:val="004F3ED8"/>
    <w:rsid w:val="00501600"/>
    <w:rsid w:val="0050368C"/>
    <w:rsid w:val="00507519"/>
    <w:rsid w:val="00534681"/>
    <w:rsid w:val="00535538"/>
    <w:rsid w:val="00535C5D"/>
    <w:rsid w:val="0054165E"/>
    <w:rsid w:val="00544D45"/>
    <w:rsid w:val="00547AE4"/>
    <w:rsid w:val="00550AA7"/>
    <w:rsid w:val="005512A5"/>
    <w:rsid w:val="00554E83"/>
    <w:rsid w:val="005648AD"/>
    <w:rsid w:val="00565190"/>
    <w:rsid w:val="00565A67"/>
    <w:rsid w:val="00566859"/>
    <w:rsid w:val="00567376"/>
    <w:rsid w:val="005773BE"/>
    <w:rsid w:val="005812BE"/>
    <w:rsid w:val="00581F03"/>
    <w:rsid w:val="00584586"/>
    <w:rsid w:val="0058519D"/>
    <w:rsid w:val="005862EC"/>
    <w:rsid w:val="0058663A"/>
    <w:rsid w:val="00587839"/>
    <w:rsid w:val="005923BA"/>
    <w:rsid w:val="005967B2"/>
    <w:rsid w:val="005973BD"/>
    <w:rsid w:val="005A061F"/>
    <w:rsid w:val="005A3293"/>
    <w:rsid w:val="005A6EA0"/>
    <w:rsid w:val="005B0CE2"/>
    <w:rsid w:val="005B1CBC"/>
    <w:rsid w:val="005B3D76"/>
    <w:rsid w:val="005D0706"/>
    <w:rsid w:val="005D3345"/>
    <w:rsid w:val="005E60B2"/>
    <w:rsid w:val="005F4197"/>
    <w:rsid w:val="005F45FD"/>
    <w:rsid w:val="006005FE"/>
    <w:rsid w:val="00604E1B"/>
    <w:rsid w:val="00615C5F"/>
    <w:rsid w:val="00617DB6"/>
    <w:rsid w:val="00624424"/>
    <w:rsid w:val="00627F86"/>
    <w:rsid w:val="00640553"/>
    <w:rsid w:val="00642961"/>
    <w:rsid w:val="006527F0"/>
    <w:rsid w:val="0065721E"/>
    <w:rsid w:val="00667A5B"/>
    <w:rsid w:val="0068068C"/>
    <w:rsid w:val="006878E3"/>
    <w:rsid w:val="00687D5E"/>
    <w:rsid w:val="006947AA"/>
    <w:rsid w:val="00696151"/>
    <w:rsid w:val="006A066E"/>
    <w:rsid w:val="006A4F35"/>
    <w:rsid w:val="006A6EF6"/>
    <w:rsid w:val="006A73B4"/>
    <w:rsid w:val="006B120C"/>
    <w:rsid w:val="006B403D"/>
    <w:rsid w:val="006B5915"/>
    <w:rsid w:val="006B6B92"/>
    <w:rsid w:val="006C3777"/>
    <w:rsid w:val="006C74D8"/>
    <w:rsid w:val="006D1603"/>
    <w:rsid w:val="006D1C28"/>
    <w:rsid w:val="006D6A96"/>
    <w:rsid w:val="006E1D24"/>
    <w:rsid w:val="006E29A6"/>
    <w:rsid w:val="006E60D8"/>
    <w:rsid w:val="006E6A9A"/>
    <w:rsid w:val="006E7DB5"/>
    <w:rsid w:val="006F2FCA"/>
    <w:rsid w:val="006F52DA"/>
    <w:rsid w:val="006F62D3"/>
    <w:rsid w:val="006F6505"/>
    <w:rsid w:val="006F7211"/>
    <w:rsid w:val="006F7296"/>
    <w:rsid w:val="00702BA7"/>
    <w:rsid w:val="00703142"/>
    <w:rsid w:val="00706CD5"/>
    <w:rsid w:val="007073FC"/>
    <w:rsid w:val="0071025B"/>
    <w:rsid w:val="00712375"/>
    <w:rsid w:val="00714DD0"/>
    <w:rsid w:val="00724CAD"/>
    <w:rsid w:val="007264F3"/>
    <w:rsid w:val="00732B3F"/>
    <w:rsid w:val="007347DD"/>
    <w:rsid w:val="00746A4E"/>
    <w:rsid w:val="00762864"/>
    <w:rsid w:val="007667DB"/>
    <w:rsid w:val="007732B4"/>
    <w:rsid w:val="007743FA"/>
    <w:rsid w:val="007749E5"/>
    <w:rsid w:val="007778CD"/>
    <w:rsid w:val="007832ED"/>
    <w:rsid w:val="007932BF"/>
    <w:rsid w:val="00794EA2"/>
    <w:rsid w:val="007B1246"/>
    <w:rsid w:val="007C5BBA"/>
    <w:rsid w:val="007E57C8"/>
    <w:rsid w:val="007E6C4E"/>
    <w:rsid w:val="007F24D0"/>
    <w:rsid w:val="007F3D47"/>
    <w:rsid w:val="0080010B"/>
    <w:rsid w:val="00802AAA"/>
    <w:rsid w:val="008048F9"/>
    <w:rsid w:val="008079FE"/>
    <w:rsid w:val="00810FD8"/>
    <w:rsid w:val="008121BA"/>
    <w:rsid w:val="00813501"/>
    <w:rsid w:val="00813D56"/>
    <w:rsid w:val="0081439C"/>
    <w:rsid w:val="00822B4B"/>
    <w:rsid w:val="00832D27"/>
    <w:rsid w:val="00833E92"/>
    <w:rsid w:val="0083429D"/>
    <w:rsid w:val="008350EE"/>
    <w:rsid w:val="00840B08"/>
    <w:rsid w:val="00842247"/>
    <w:rsid w:val="0085400C"/>
    <w:rsid w:val="00860AC5"/>
    <w:rsid w:val="00861350"/>
    <w:rsid w:val="00863EBA"/>
    <w:rsid w:val="0087028A"/>
    <w:rsid w:val="00872047"/>
    <w:rsid w:val="00872478"/>
    <w:rsid w:val="00876997"/>
    <w:rsid w:val="00881C67"/>
    <w:rsid w:val="00884FAD"/>
    <w:rsid w:val="008879C8"/>
    <w:rsid w:val="008947A2"/>
    <w:rsid w:val="008A7283"/>
    <w:rsid w:val="008C64C2"/>
    <w:rsid w:val="008D3F36"/>
    <w:rsid w:val="008E4C5A"/>
    <w:rsid w:val="008E7A3B"/>
    <w:rsid w:val="00905D94"/>
    <w:rsid w:val="00915011"/>
    <w:rsid w:val="0092067B"/>
    <w:rsid w:val="00925916"/>
    <w:rsid w:val="009322EA"/>
    <w:rsid w:val="00932FA2"/>
    <w:rsid w:val="00934B97"/>
    <w:rsid w:val="009434C1"/>
    <w:rsid w:val="00947FF9"/>
    <w:rsid w:val="00955E97"/>
    <w:rsid w:val="00956D0A"/>
    <w:rsid w:val="00956EE3"/>
    <w:rsid w:val="00957179"/>
    <w:rsid w:val="00957B81"/>
    <w:rsid w:val="00961281"/>
    <w:rsid w:val="00964B73"/>
    <w:rsid w:val="00970CB7"/>
    <w:rsid w:val="0097289E"/>
    <w:rsid w:val="00981983"/>
    <w:rsid w:val="0098457A"/>
    <w:rsid w:val="009862D6"/>
    <w:rsid w:val="00986964"/>
    <w:rsid w:val="00987E4C"/>
    <w:rsid w:val="0099173C"/>
    <w:rsid w:val="00992543"/>
    <w:rsid w:val="00994711"/>
    <w:rsid w:val="009961BD"/>
    <w:rsid w:val="009A0EF2"/>
    <w:rsid w:val="009A1A93"/>
    <w:rsid w:val="009A1DF9"/>
    <w:rsid w:val="009A2A25"/>
    <w:rsid w:val="009A37D6"/>
    <w:rsid w:val="009C247C"/>
    <w:rsid w:val="009C2DA0"/>
    <w:rsid w:val="009C3957"/>
    <w:rsid w:val="009C4936"/>
    <w:rsid w:val="009C50BF"/>
    <w:rsid w:val="009C5F35"/>
    <w:rsid w:val="009D58DA"/>
    <w:rsid w:val="009E06AE"/>
    <w:rsid w:val="009E0E5B"/>
    <w:rsid w:val="009E3991"/>
    <w:rsid w:val="009E5D1B"/>
    <w:rsid w:val="009E6796"/>
    <w:rsid w:val="009E71C2"/>
    <w:rsid w:val="009F1627"/>
    <w:rsid w:val="009F6D77"/>
    <w:rsid w:val="00A03606"/>
    <w:rsid w:val="00A14FDA"/>
    <w:rsid w:val="00A1512B"/>
    <w:rsid w:val="00A173E2"/>
    <w:rsid w:val="00A203C3"/>
    <w:rsid w:val="00A2209A"/>
    <w:rsid w:val="00A224D4"/>
    <w:rsid w:val="00A23814"/>
    <w:rsid w:val="00A246CA"/>
    <w:rsid w:val="00A3093C"/>
    <w:rsid w:val="00A43065"/>
    <w:rsid w:val="00A432DA"/>
    <w:rsid w:val="00A456FC"/>
    <w:rsid w:val="00A47854"/>
    <w:rsid w:val="00A5346F"/>
    <w:rsid w:val="00A6520C"/>
    <w:rsid w:val="00A66B85"/>
    <w:rsid w:val="00A7398A"/>
    <w:rsid w:val="00A7579B"/>
    <w:rsid w:val="00A82A01"/>
    <w:rsid w:val="00A8623C"/>
    <w:rsid w:val="00A905A1"/>
    <w:rsid w:val="00AA3D5F"/>
    <w:rsid w:val="00AA7D47"/>
    <w:rsid w:val="00AA7E98"/>
    <w:rsid w:val="00AB11EE"/>
    <w:rsid w:val="00AB2A91"/>
    <w:rsid w:val="00AD402D"/>
    <w:rsid w:val="00AE0EE0"/>
    <w:rsid w:val="00AE38D8"/>
    <w:rsid w:val="00AE5C96"/>
    <w:rsid w:val="00AF191C"/>
    <w:rsid w:val="00AF5031"/>
    <w:rsid w:val="00B043B0"/>
    <w:rsid w:val="00B04E18"/>
    <w:rsid w:val="00B071D3"/>
    <w:rsid w:val="00B0722D"/>
    <w:rsid w:val="00B214CE"/>
    <w:rsid w:val="00B233F4"/>
    <w:rsid w:val="00B32127"/>
    <w:rsid w:val="00B3225E"/>
    <w:rsid w:val="00B37471"/>
    <w:rsid w:val="00B425EA"/>
    <w:rsid w:val="00B43E61"/>
    <w:rsid w:val="00B4461E"/>
    <w:rsid w:val="00B46BD1"/>
    <w:rsid w:val="00B52886"/>
    <w:rsid w:val="00B6219F"/>
    <w:rsid w:val="00B67FE1"/>
    <w:rsid w:val="00B7043C"/>
    <w:rsid w:val="00B745DD"/>
    <w:rsid w:val="00B75BB3"/>
    <w:rsid w:val="00B76016"/>
    <w:rsid w:val="00B77563"/>
    <w:rsid w:val="00B81620"/>
    <w:rsid w:val="00B8235E"/>
    <w:rsid w:val="00B82E20"/>
    <w:rsid w:val="00B842DB"/>
    <w:rsid w:val="00B95703"/>
    <w:rsid w:val="00B96391"/>
    <w:rsid w:val="00B97B60"/>
    <w:rsid w:val="00BA2F4E"/>
    <w:rsid w:val="00BB0642"/>
    <w:rsid w:val="00BB3F62"/>
    <w:rsid w:val="00BB602F"/>
    <w:rsid w:val="00BC26F5"/>
    <w:rsid w:val="00BC4A8D"/>
    <w:rsid w:val="00BC5E82"/>
    <w:rsid w:val="00BC7973"/>
    <w:rsid w:val="00BD39AF"/>
    <w:rsid w:val="00BE216D"/>
    <w:rsid w:val="00BE3131"/>
    <w:rsid w:val="00BE7861"/>
    <w:rsid w:val="00BF172E"/>
    <w:rsid w:val="00BF27D4"/>
    <w:rsid w:val="00BF4FE4"/>
    <w:rsid w:val="00BF554B"/>
    <w:rsid w:val="00BF697C"/>
    <w:rsid w:val="00BF7FF6"/>
    <w:rsid w:val="00C06D69"/>
    <w:rsid w:val="00C10960"/>
    <w:rsid w:val="00C128D2"/>
    <w:rsid w:val="00C138B3"/>
    <w:rsid w:val="00C16940"/>
    <w:rsid w:val="00C246E6"/>
    <w:rsid w:val="00C33D3D"/>
    <w:rsid w:val="00C41F31"/>
    <w:rsid w:val="00C44FA7"/>
    <w:rsid w:val="00C534AA"/>
    <w:rsid w:val="00C55D94"/>
    <w:rsid w:val="00C5603E"/>
    <w:rsid w:val="00C57840"/>
    <w:rsid w:val="00C5785F"/>
    <w:rsid w:val="00C579E5"/>
    <w:rsid w:val="00C60D0D"/>
    <w:rsid w:val="00C651FD"/>
    <w:rsid w:val="00C70FCB"/>
    <w:rsid w:val="00C71671"/>
    <w:rsid w:val="00C736C3"/>
    <w:rsid w:val="00C74FF2"/>
    <w:rsid w:val="00C7592D"/>
    <w:rsid w:val="00C77178"/>
    <w:rsid w:val="00C77182"/>
    <w:rsid w:val="00C845B9"/>
    <w:rsid w:val="00C85E66"/>
    <w:rsid w:val="00C87537"/>
    <w:rsid w:val="00C92645"/>
    <w:rsid w:val="00CA76DC"/>
    <w:rsid w:val="00CB223E"/>
    <w:rsid w:val="00CB3864"/>
    <w:rsid w:val="00CB470E"/>
    <w:rsid w:val="00CB7FD2"/>
    <w:rsid w:val="00CC04D4"/>
    <w:rsid w:val="00CC055B"/>
    <w:rsid w:val="00CC3D28"/>
    <w:rsid w:val="00CC4D27"/>
    <w:rsid w:val="00CC75CC"/>
    <w:rsid w:val="00CD17DD"/>
    <w:rsid w:val="00CD1F46"/>
    <w:rsid w:val="00CD48F6"/>
    <w:rsid w:val="00CE0072"/>
    <w:rsid w:val="00CE54DA"/>
    <w:rsid w:val="00CF01A0"/>
    <w:rsid w:val="00CF07F5"/>
    <w:rsid w:val="00D03DB5"/>
    <w:rsid w:val="00D04965"/>
    <w:rsid w:val="00D04A29"/>
    <w:rsid w:val="00D051E1"/>
    <w:rsid w:val="00D07A16"/>
    <w:rsid w:val="00D07D60"/>
    <w:rsid w:val="00D10873"/>
    <w:rsid w:val="00D16B85"/>
    <w:rsid w:val="00D17581"/>
    <w:rsid w:val="00D2232A"/>
    <w:rsid w:val="00D262B7"/>
    <w:rsid w:val="00D307CA"/>
    <w:rsid w:val="00D312FE"/>
    <w:rsid w:val="00D31BA5"/>
    <w:rsid w:val="00D43621"/>
    <w:rsid w:val="00D472F0"/>
    <w:rsid w:val="00D47330"/>
    <w:rsid w:val="00D51AA6"/>
    <w:rsid w:val="00D55886"/>
    <w:rsid w:val="00D56675"/>
    <w:rsid w:val="00D62300"/>
    <w:rsid w:val="00D66E96"/>
    <w:rsid w:val="00D72BC4"/>
    <w:rsid w:val="00D7495A"/>
    <w:rsid w:val="00D76018"/>
    <w:rsid w:val="00D8723A"/>
    <w:rsid w:val="00D908D5"/>
    <w:rsid w:val="00D92B3B"/>
    <w:rsid w:val="00DB6BF8"/>
    <w:rsid w:val="00DC07BB"/>
    <w:rsid w:val="00DC3FDC"/>
    <w:rsid w:val="00DC5C32"/>
    <w:rsid w:val="00DE29E9"/>
    <w:rsid w:val="00DE70C0"/>
    <w:rsid w:val="00DF050B"/>
    <w:rsid w:val="00DF411E"/>
    <w:rsid w:val="00E01E7A"/>
    <w:rsid w:val="00E0509E"/>
    <w:rsid w:val="00E06FAF"/>
    <w:rsid w:val="00E132AA"/>
    <w:rsid w:val="00E22FC5"/>
    <w:rsid w:val="00E27FED"/>
    <w:rsid w:val="00E303C6"/>
    <w:rsid w:val="00E30881"/>
    <w:rsid w:val="00E30DBA"/>
    <w:rsid w:val="00E31028"/>
    <w:rsid w:val="00E3149B"/>
    <w:rsid w:val="00E4112B"/>
    <w:rsid w:val="00E43CEB"/>
    <w:rsid w:val="00E45642"/>
    <w:rsid w:val="00E46D5F"/>
    <w:rsid w:val="00E51ECC"/>
    <w:rsid w:val="00E54052"/>
    <w:rsid w:val="00E65E6B"/>
    <w:rsid w:val="00E6697E"/>
    <w:rsid w:val="00E832DE"/>
    <w:rsid w:val="00E838A4"/>
    <w:rsid w:val="00E853E9"/>
    <w:rsid w:val="00E87DDA"/>
    <w:rsid w:val="00E9259A"/>
    <w:rsid w:val="00EA3D36"/>
    <w:rsid w:val="00EA7A00"/>
    <w:rsid w:val="00EA7E5A"/>
    <w:rsid w:val="00EB0817"/>
    <w:rsid w:val="00EB2E13"/>
    <w:rsid w:val="00EC3AE5"/>
    <w:rsid w:val="00EC3C12"/>
    <w:rsid w:val="00EC7087"/>
    <w:rsid w:val="00EC7B40"/>
    <w:rsid w:val="00EC7BBA"/>
    <w:rsid w:val="00ED410C"/>
    <w:rsid w:val="00EE058E"/>
    <w:rsid w:val="00EE497C"/>
    <w:rsid w:val="00EF14D2"/>
    <w:rsid w:val="00EF3C7B"/>
    <w:rsid w:val="00EF5B30"/>
    <w:rsid w:val="00EF5D73"/>
    <w:rsid w:val="00F037BF"/>
    <w:rsid w:val="00F14D5D"/>
    <w:rsid w:val="00F14E6F"/>
    <w:rsid w:val="00F1552A"/>
    <w:rsid w:val="00F1587A"/>
    <w:rsid w:val="00F23B5C"/>
    <w:rsid w:val="00F251E6"/>
    <w:rsid w:val="00F26D95"/>
    <w:rsid w:val="00F30748"/>
    <w:rsid w:val="00F31074"/>
    <w:rsid w:val="00F3171A"/>
    <w:rsid w:val="00F3604B"/>
    <w:rsid w:val="00F371B5"/>
    <w:rsid w:val="00F52C1C"/>
    <w:rsid w:val="00F602B3"/>
    <w:rsid w:val="00F661FC"/>
    <w:rsid w:val="00F66932"/>
    <w:rsid w:val="00F7294F"/>
    <w:rsid w:val="00F733B2"/>
    <w:rsid w:val="00F80852"/>
    <w:rsid w:val="00F817CD"/>
    <w:rsid w:val="00F8625F"/>
    <w:rsid w:val="00F87930"/>
    <w:rsid w:val="00F87BB2"/>
    <w:rsid w:val="00F90997"/>
    <w:rsid w:val="00FA06B7"/>
    <w:rsid w:val="00FA35C3"/>
    <w:rsid w:val="00FA5A58"/>
    <w:rsid w:val="00FB34ED"/>
    <w:rsid w:val="00FB709D"/>
    <w:rsid w:val="00FB7E5C"/>
    <w:rsid w:val="00FC27C1"/>
    <w:rsid w:val="00FC47B6"/>
    <w:rsid w:val="00FC5D53"/>
    <w:rsid w:val="00FC5E70"/>
    <w:rsid w:val="00FC79EC"/>
    <w:rsid w:val="00FD2B13"/>
    <w:rsid w:val="00FD761D"/>
    <w:rsid w:val="00FF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6B73C"/>
  <w15:chartTrackingRefBased/>
  <w15:docId w15:val="{A4D9A148-A53B-46A0-A27E-7F1A0E2C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C63"/>
    <w:pPr>
      <w:ind w:firstLineChars="200" w:firstLine="420"/>
    </w:pPr>
  </w:style>
  <w:style w:type="paragraph" w:styleId="a4">
    <w:name w:val="Normal (Web)"/>
    <w:basedOn w:val="a"/>
    <w:uiPriority w:val="99"/>
    <w:semiHidden/>
    <w:unhideWhenUsed/>
    <w:rsid w:val="001B4C6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E352F"/>
    <w:pPr>
      <w:tabs>
        <w:tab w:val="center" w:pos="4153"/>
        <w:tab w:val="right" w:pos="8306"/>
      </w:tabs>
      <w:snapToGrid w:val="0"/>
      <w:jc w:val="center"/>
    </w:pPr>
    <w:rPr>
      <w:sz w:val="18"/>
      <w:szCs w:val="18"/>
    </w:rPr>
  </w:style>
  <w:style w:type="character" w:customStyle="1" w:styleId="a6">
    <w:name w:val="页眉 字符"/>
    <w:basedOn w:val="a0"/>
    <w:link w:val="a5"/>
    <w:uiPriority w:val="99"/>
    <w:rsid w:val="000E352F"/>
    <w:rPr>
      <w:sz w:val="18"/>
      <w:szCs w:val="18"/>
    </w:rPr>
  </w:style>
  <w:style w:type="paragraph" w:styleId="a7">
    <w:name w:val="footer"/>
    <w:basedOn w:val="a"/>
    <w:link w:val="a8"/>
    <w:uiPriority w:val="99"/>
    <w:unhideWhenUsed/>
    <w:rsid w:val="000E352F"/>
    <w:pPr>
      <w:tabs>
        <w:tab w:val="center" w:pos="4153"/>
        <w:tab w:val="right" w:pos="8306"/>
      </w:tabs>
      <w:snapToGrid w:val="0"/>
      <w:jc w:val="left"/>
    </w:pPr>
    <w:rPr>
      <w:sz w:val="18"/>
      <w:szCs w:val="18"/>
    </w:rPr>
  </w:style>
  <w:style w:type="character" w:customStyle="1" w:styleId="a8">
    <w:name w:val="页脚 字符"/>
    <w:basedOn w:val="a0"/>
    <w:link w:val="a7"/>
    <w:uiPriority w:val="99"/>
    <w:rsid w:val="000E352F"/>
    <w:rPr>
      <w:sz w:val="18"/>
      <w:szCs w:val="18"/>
    </w:rPr>
  </w:style>
  <w:style w:type="character" w:customStyle="1" w:styleId="content-right8zs40">
    <w:name w:val="content-right_8zs40"/>
    <w:basedOn w:val="a0"/>
    <w:rsid w:val="0014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911">
      <w:bodyDiv w:val="1"/>
      <w:marLeft w:val="0"/>
      <w:marRight w:val="0"/>
      <w:marTop w:val="0"/>
      <w:marBottom w:val="0"/>
      <w:divBdr>
        <w:top w:val="none" w:sz="0" w:space="0" w:color="auto"/>
        <w:left w:val="none" w:sz="0" w:space="0" w:color="auto"/>
        <w:bottom w:val="none" w:sz="0" w:space="0" w:color="auto"/>
        <w:right w:val="none" w:sz="0" w:space="0" w:color="auto"/>
      </w:divBdr>
    </w:div>
    <w:div w:id="42172045">
      <w:bodyDiv w:val="1"/>
      <w:marLeft w:val="0"/>
      <w:marRight w:val="0"/>
      <w:marTop w:val="0"/>
      <w:marBottom w:val="0"/>
      <w:divBdr>
        <w:top w:val="none" w:sz="0" w:space="0" w:color="auto"/>
        <w:left w:val="none" w:sz="0" w:space="0" w:color="auto"/>
        <w:bottom w:val="none" w:sz="0" w:space="0" w:color="auto"/>
        <w:right w:val="none" w:sz="0" w:space="0" w:color="auto"/>
      </w:divBdr>
    </w:div>
    <w:div w:id="48965158">
      <w:bodyDiv w:val="1"/>
      <w:marLeft w:val="0"/>
      <w:marRight w:val="0"/>
      <w:marTop w:val="0"/>
      <w:marBottom w:val="0"/>
      <w:divBdr>
        <w:top w:val="none" w:sz="0" w:space="0" w:color="auto"/>
        <w:left w:val="none" w:sz="0" w:space="0" w:color="auto"/>
        <w:bottom w:val="none" w:sz="0" w:space="0" w:color="auto"/>
        <w:right w:val="none" w:sz="0" w:space="0" w:color="auto"/>
      </w:divBdr>
    </w:div>
    <w:div w:id="60831437">
      <w:bodyDiv w:val="1"/>
      <w:marLeft w:val="0"/>
      <w:marRight w:val="0"/>
      <w:marTop w:val="0"/>
      <w:marBottom w:val="0"/>
      <w:divBdr>
        <w:top w:val="none" w:sz="0" w:space="0" w:color="auto"/>
        <w:left w:val="none" w:sz="0" w:space="0" w:color="auto"/>
        <w:bottom w:val="none" w:sz="0" w:space="0" w:color="auto"/>
        <w:right w:val="none" w:sz="0" w:space="0" w:color="auto"/>
      </w:divBdr>
    </w:div>
    <w:div w:id="62921778">
      <w:bodyDiv w:val="1"/>
      <w:marLeft w:val="0"/>
      <w:marRight w:val="0"/>
      <w:marTop w:val="0"/>
      <w:marBottom w:val="0"/>
      <w:divBdr>
        <w:top w:val="none" w:sz="0" w:space="0" w:color="auto"/>
        <w:left w:val="none" w:sz="0" w:space="0" w:color="auto"/>
        <w:bottom w:val="none" w:sz="0" w:space="0" w:color="auto"/>
        <w:right w:val="none" w:sz="0" w:space="0" w:color="auto"/>
      </w:divBdr>
      <w:divsChild>
        <w:div w:id="620498232">
          <w:marLeft w:val="547"/>
          <w:marRight w:val="0"/>
          <w:marTop w:val="134"/>
          <w:marBottom w:val="0"/>
          <w:divBdr>
            <w:top w:val="none" w:sz="0" w:space="0" w:color="auto"/>
            <w:left w:val="none" w:sz="0" w:space="0" w:color="auto"/>
            <w:bottom w:val="none" w:sz="0" w:space="0" w:color="auto"/>
            <w:right w:val="none" w:sz="0" w:space="0" w:color="auto"/>
          </w:divBdr>
        </w:div>
        <w:div w:id="1103301511">
          <w:marLeft w:val="547"/>
          <w:marRight w:val="0"/>
          <w:marTop w:val="134"/>
          <w:marBottom w:val="0"/>
          <w:divBdr>
            <w:top w:val="none" w:sz="0" w:space="0" w:color="auto"/>
            <w:left w:val="none" w:sz="0" w:space="0" w:color="auto"/>
            <w:bottom w:val="none" w:sz="0" w:space="0" w:color="auto"/>
            <w:right w:val="none" w:sz="0" w:space="0" w:color="auto"/>
          </w:divBdr>
        </w:div>
        <w:div w:id="160127384">
          <w:marLeft w:val="547"/>
          <w:marRight w:val="0"/>
          <w:marTop w:val="134"/>
          <w:marBottom w:val="0"/>
          <w:divBdr>
            <w:top w:val="none" w:sz="0" w:space="0" w:color="auto"/>
            <w:left w:val="none" w:sz="0" w:space="0" w:color="auto"/>
            <w:bottom w:val="none" w:sz="0" w:space="0" w:color="auto"/>
            <w:right w:val="none" w:sz="0" w:space="0" w:color="auto"/>
          </w:divBdr>
        </w:div>
        <w:div w:id="1997755978">
          <w:marLeft w:val="547"/>
          <w:marRight w:val="0"/>
          <w:marTop w:val="134"/>
          <w:marBottom w:val="0"/>
          <w:divBdr>
            <w:top w:val="none" w:sz="0" w:space="0" w:color="auto"/>
            <w:left w:val="none" w:sz="0" w:space="0" w:color="auto"/>
            <w:bottom w:val="none" w:sz="0" w:space="0" w:color="auto"/>
            <w:right w:val="none" w:sz="0" w:space="0" w:color="auto"/>
          </w:divBdr>
        </w:div>
      </w:divsChild>
    </w:div>
    <w:div w:id="68164698">
      <w:bodyDiv w:val="1"/>
      <w:marLeft w:val="0"/>
      <w:marRight w:val="0"/>
      <w:marTop w:val="0"/>
      <w:marBottom w:val="0"/>
      <w:divBdr>
        <w:top w:val="none" w:sz="0" w:space="0" w:color="auto"/>
        <w:left w:val="none" w:sz="0" w:space="0" w:color="auto"/>
        <w:bottom w:val="none" w:sz="0" w:space="0" w:color="auto"/>
        <w:right w:val="none" w:sz="0" w:space="0" w:color="auto"/>
      </w:divBdr>
    </w:div>
    <w:div w:id="94789277">
      <w:bodyDiv w:val="1"/>
      <w:marLeft w:val="0"/>
      <w:marRight w:val="0"/>
      <w:marTop w:val="0"/>
      <w:marBottom w:val="0"/>
      <w:divBdr>
        <w:top w:val="none" w:sz="0" w:space="0" w:color="auto"/>
        <w:left w:val="none" w:sz="0" w:space="0" w:color="auto"/>
        <w:bottom w:val="none" w:sz="0" w:space="0" w:color="auto"/>
        <w:right w:val="none" w:sz="0" w:space="0" w:color="auto"/>
      </w:divBdr>
    </w:div>
    <w:div w:id="108471015">
      <w:bodyDiv w:val="1"/>
      <w:marLeft w:val="0"/>
      <w:marRight w:val="0"/>
      <w:marTop w:val="0"/>
      <w:marBottom w:val="0"/>
      <w:divBdr>
        <w:top w:val="none" w:sz="0" w:space="0" w:color="auto"/>
        <w:left w:val="none" w:sz="0" w:space="0" w:color="auto"/>
        <w:bottom w:val="none" w:sz="0" w:space="0" w:color="auto"/>
        <w:right w:val="none" w:sz="0" w:space="0" w:color="auto"/>
      </w:divBdr>
    </w:div>
    <w:div w:id="116684878">
      <w:bodyDiv w:val="1"/>
      <w:marLeft w:val="0"/>
      <w:marRight w:val="0"/>
      <w:marTop w:val="0"/>
      <w:marBottom w:val="0"/>
      <w:divBdr>
        <w:top w:val="none" w:sz="0" w:space="0" w:color="auto"/>
        <w:left w:val="none" w:sz="0" w:space="0" w:color="auto"/>
        <w:bottom w:val="none" w:sz="0" w:space="0" w:color="auto"/>
        <w:right w:val="none" w:sz="0" w:space="0" w:color="auto"/>
      </w:divBdr>
    </w:div>
    <w:div w:id="120731455">
      <w:bodyDiv w:val="1"/>
      <w:marLeft w:val="0"/>
      <w:marRight w:val="0"/>
      <w:marTop w:val="0"/>
      <w:marBottom w:val="0"/>
      <w:divBdr>
        <w:top w:val="none" w:sz="0" w:space="0" w:color="auto"/>
        <w:left w:val="none" w:sz="0" w:space="0" w:color="auto"/>
        <w:bottom w:val="none" w:sz="0" w:space="0" w:color="auto"/>
        <w:right w:val="none" w:sz="0" w:space="0" w:color="auto"/>
      </w:divBdr>
    </w:div>
    <w:div w:id="121386689">
      <w:bodyDiv w:val="1"/>
      <w:marLeft w:val="0"/>
      <w:marRight w:val="0"/>
      <w:marTop w:val="0"/>
      <w:marBottom w:val="0"/>
      <w:divBdr>
        <w:top w:val="none" w:sz="0" w:space="0" w:color="auto"/>
        <w:left w:val="none" w:sz="0" w:space="0" w:color="auto"/>
        <w:bottom w:val="none" w:sz="0" w:space="0" w:color="auto"/>
        <w:right w:val="none" w:sz="0" w:space="0" w:color="auto"/>
      </w:divBdr>
    </w:div>
    <w:div w:id="125901163">
      <w:bodyDiv w:val="1"/>
      <w:marLeft w:val="0"/>
      <w:marRight w:val="0"/>
      <w:marTop w:val="0"/>
      <w:marBottom w:val="0"/>
      <w:divBdr>
        <w:top w:val="none" w:sz="0" w:space="0" w:color="auto"/>
        <w:left w:val="none" w:sz="0" w:space="0" w:color="auto"/>
        <w:bottom w:val="none" w:sz="0" w:space="0" w:color="auto"/>
        <w:right w:val="none" w:sz="0" w:space="0" w:color="auto"/>
      </w:divBdr>
      <w:divsChild>
        <w:div w:id="773939901">
          <w:marLeft w:val="547"/>
          <w:marRight w:val="0"/>
          <w:marTop w:val="158"/>
          <w:marBottom w:val="0"/>
          <w:divBdr>
            <w:top w:val="none" w:sz="0" w:space="0" w:color="auto"/>
            <w:left w:val="none" w:sz="0" w:space="0" w:color="auto"/>
            <w:bottom w:val="none" w:sz="0" w:space="0" w:color="auto"/>
            <w:right w:val="none" w:sz="0" w:space="0" w:color="auto"/>
          </w:divBdr>
        </w:div>
      </w:divsChild>
    </w:div>
    <w:div w:id="128548596">
      <w:bodyDiv w:val="1"/>
      <w:marLeft w:val="0"/>
      <w:marRight w:val="0"/>
      <w:marTop w:val="0"/>
      <w:marBottom w:val="0"/>
      <w:divBdr>
        <w:top w:val="none" w:sz="0" w:space="0" w:color="auto"/>
        <w:left w:val="none" w:sz="0" w:space="0" w:color="auto"/>
        <w:bottom w:val="none" w:sz="0" w:space="0" w:color="auto"/>
        <w:right w:val="none" w:sz="0" w:space="0" w:color="auto"/>
      </w:divBdr>
    </w:div>
    <w:div w:id="141237543">
      <w:bodyDiv w:val="1"/>
      <w:marLeft w:val="0"/>
      <w:marRight w:val="0"/>
      <w:marTop w:val="0"/>
      <w:marBottom w:val="0"/>
      <w:divBdr>
        <w:top w:val="none" w:sz="0" w:space="0" w:color="auto"/>
        <w:left w:val="none" w:sz="0" w:space="0" w:color="auto"/>
        <w:bottom w:val="none" w:sz="0" w:space="0" w:color="auto"/>
        <w:right w:val="none" w:sz="0" w:space="0" w:color="auto"/>
      </w:divBdr>
      <w:divsChild>
        <w:div w:id="169149477">
          <w:marLeft w:val="547"/>
          <w:marRight w:val="0"/>
          <w:marTop w:val="0"/>
          <w:marBottom w:val="0"/>
          <w:divBdr>
            <w:top w:val="none" w:sz="0" w:space="0" w:color="auto"/>
            <w:left w:val="none" w:sz="0" w:space="0" w:color="auto"/>
            <w:bottom w:val="none" w:sz="0" w:space="0" w:color="auto"/>
            <w:right w:val="none" w:sz="0" w:space="0" w:color="auto"/>
          </w:divBdr>
        </w:div>
      </w:divsChild>
    </w:div>
    <w:div w:id="146822953">
      <w:bodyDiv w:val="1"/>
      <w:marLeft w:val="0"/>
      <w:marRight w:val="0"/>
      <w:marTop w:val="0"/>
      <w:marBottom w:val="0"/>
      <w:divBdr>
        <w:top w:val="none" w:sz="0" w:space="0" w:color="auto"/>
        <w:left w:val="none" w:sz="0" w:space="0" w:color="auto"/>
        <w:bottom w:val="none" w:sz="0" w:space="0" w:color="auto"/>
        <w:right w:val="none" w:sz="0" w:space="0" w:color="auto"/>
      </w:divBdr>
    </w:div>
    <w:div w:id="148638531">
      <w:bodyDiv w:val="1"/>
      <w:marLeft w:val="0"/>
      <w:marRight w:val="0"/>
      <w:marTop w:val="0"/>
      <w:marBottom w:val="0"/>
      <w:divBdr>
        <w:top w:val="none" w:sz="0" w:space="0" w:color="auto"/>
        <w:left w:val="none" w:sz="0" w:space="0" w:color="auto"/>
        <w:bottom w:val="none" w:sz="0" w:space="0" w:color="auto"/>
        <w:right w:val="none" w:sz="0" w:space="0" w:color="auto"/>
      </w:divBdr>
    </w:div>
    <w:div w:id="149761355">
      <w:bodyDiv w:val="1"/>
      <w:marLeft w:val="0"/>
      <w:marRight w:val="0"/>
      <w:marTop w:val="0"/>
      <w:marBottom w:val="0"/>
      <w:divBdr>
        <w:top w:val="none" w:sz="0" w:space="0" w:color="auto"/>
        <w:left w:val="none" w:sz="0" w:space="0" w:color="auto"/>
        <w:bottom w:val="none" w:sz="0" w:space="0" w:color="auto"/>
        <w:right w:val="none" w:sz="0" w:space="0" w:color="auto"/>
      </w:divBdr>
    </w:div>
    <w:div w:id="175121167">
      <w:bodyDiv w:val="1"/>
      <w:marLeft w:val="0"/>
      <w:marRight w:val="0"/>
      <w:marTop w:val="0"/>
      <w:marBottom w:val="0"/>
      <w:divBdr>
        <w:top w:val="none" w:sz="0" w:space="0" w:color="auto"/>
        <w:left w:val="none" w:sz="0" w:space="0" w:color="auto"/>
        <w:bottom w:val="none" w:sz="0" w:space="0" w:color="auto"/>
        <w:right w:val="none" w:sz="0" w:space="0" w:color="auto"/>
      </w:divBdr>
      <w:divsChild>
        <w:div w:id="1773086911">
          <w:marLeft w:val="547"/>
          <w:marRight w:val="0"/>
          <w:marTop w:val="173"/>
          <w:marBottom w:val="0"/>
          <w:divBdr>
            <w:top w:val="none" w:sz="0" w:space="0" w:color="auto"/>
            <w:left w:val="none" w:sz="0" w:space="0" w:color="auto"/>
            <w:bottom w:val="none" w:sz="0" w:space="0" w:color="auto"/>
            <w:right w:val="none" w:sz="0" w:space="0" w:color="auto"/>
          </w:divBdr>
        </w:div>
        <w:div w:id="1259098440">
          <w:marLeft w:val="547"/>
          <w:marRight w:val="0"/>
          <w:marTop w:val="173"/>
          <w:marBottom w:val="0"/>
          <w:divBdr>
            <w:top w:val="none" w:sz="0" w:space="0" w:color="auto"/>
            <w:left w:val="none" w:sz="0" w:space="0" w:color="auto"/>
            <w:bottom w:val="none" w:sz="0" w:space="0" w:color="auto"/>
            <w:right w:val="none" w:sz="0" w:space="0" w:color="auto"/>
          </w:divBdr>
        </w:div>
        <w:div w:id="912200022">
          <w:marLeft w:val="547"/>
          <w:marRight w:val="0"/>
          <w:marTop w:val="173"/>
          <w:marBottom w:val="0"/>
          <w:divBdr>
            <w:top w:val="none" w:sz="0" w:space="0" w:color="auto"/>
            <w:left w:val="none" w:sz="0" w:space="0" w:color="auto"/>
            <w:bottom w:val="none" w:sz="0" w:space="0" w:color="auto"/>
            <w:right w:val="none" w:sz="0" w:space="0" w:color="auto"/>
          </w:divBdr>
        </w:div>
      </w:divsChild>
    </w:div>
    <w:div w:id="195434686">
      <w:bodyDiv w:val="1"/>
      <w:marLeft w:val="0"/>
      <w:marRight w:val="0"/>
      <w:marTop w:val="0"/>
      <w:marBottom w:val="0"/>
      <w:divBdr>
        <w:top w:val="none" w:sz="0" w:space="0" w:color="auto"/>
        <w:left w:val="none" w:sz="0" w:space="0" w:color="auto"/>
        <w:bottom w:val="none" w:sz="0" w:space="0" w:color="auto"/>
        <w:right w:val="none" w:sz="0" w:space="0" w:color="auto"/>
      </w:divBdr>
      <w:divsChild>
        <w:div w:id="896866887">
          <w:marLeft w:val="547"/>
          <w:marRight w:val="0"/>
          <w:marTop w:val="0"/>
          <w:marBottom w:val="0"/>
          <w:divBdr>
            <w:top w:val="none" w:sz="0" w:space="0" w:color="auto"/>
            <w:left w:val="none" w:sz="0" w:space="0" w:color="auto"/>
            <w:bottom w:val="none" w:sz="0" w:space="0" w:color="auto"/>
            <w:right w:val="none" w:sz="0" w:space="0" w:color="auto"/>
          </w:divBdr>
        </w:div>
        <w:div w:id="1055274833">
          <w:marLeft w:val="547"/>
          <w:marRight w:val="0"/>
          <w:marTop w:val="0"/>
          <w:marBottom w:val="0"/>
          <w:divBdr>
            <w:top w:val="none" w:sz="0" w:space="0" w:color="auto"/>
            <w:left w:val="none" w:sz="0" w:space="0" w:color="auto"/>
            <w:bottom w:val="none" w:sz="0" w:space="0" w:color="auto"/>
            <w:right w:val="none" w:sz="0" w:space="0" w:color="auto"/>
          </w:divBdr>
        </w:div>
        <w:div w:id="506485273">
          <w:marLeft w:val="547"/>
          <w:marRight w:val="0"/>
          <w:marTop w:val="0"/>
          <w:marBottom w:val="0"/>
          <w:divBdr>
            <w:top w:val="none" w:sz="0" w:space="0" w:color="auto"/>
            <w:left w:val="none" w:sz="0" w:space="0" w:color="auto"/>
            <w:bottom w:val="none" w:sz="0" w:space="0" w:color="auto"/>
            <w:right w:val="none" w:sz="0" w:space="0" w:color="auto"/>
          </w:divBdr>
        </w:div>
      </w:divsChild>
    </w:div>
    <w:div w:id="204099098">
      <w:bodyDiv w:val="1"/>
      <w:marLeft w:val="0"/>
      <w:marRight w:val="0"/>
      <w:marTop w:val="0"/>
      <w:marBottom w:val="0"/>
      <w:divBdr>
        <w:top w:val="none" w:sz="0" w:space="0" w:color="auto"/>
        <w:left w:val="none" w:sz="0" w:space="0" w:color="auto"/>
        <w:bottom w:val="none" w:sz="0" w:space="0" w:color="auto"/>
        <w:right w:val="none" w:sz="0" w:space="0" w:color="auto"/>
      </w:divBdr>
      <w:divsChild>
        <w:div w:id="1164276801">
          <w:marLeft w:val="547"/>
          <w:marRight w:val="0"/>
          <w:marTop w:val="0"/>
          <w:marBottom w:val="0"/>
          <w:divBdr>
            <w:top w:val="none" w:sz="0" w:space="0" w:color="auto"/>
            <w:left w:val="none" w:sz="0" w:space="0" w:color="auto"/>
            <w:bottom w:val="none" w:sz="0" w:space="0" w:color="auto"/>
            <w:right w:val="none" w:sz="0" w:space="0" w:color="auto"/>
          </w:divBdr>
        </w:div>
      </w:divsChild>
    </w:div>
    <w:div w:id="208495408">
      <w:bodyDiv w:val="1"/>
      <w:marLeft w:val="0"/>
      <w:marRight w:val="0"/>
      <w:marTop w:val="0"/>
      <w:marBottom w:val="0"/>
      <w:divBdr>
        <w:top w:val="none" w:sz="0" w:space="0" w:color="auto"/>
        <w:left w:val="none" w:sz="0" w:space="0" w:color="auto"/>
        <w:bottom w:val="none" w:sz="0" w:space="0" w:color="auto"/>
        <w:right w:val="none" w:sz="0" w:space="0" w:color="auto"/>
      </w:divBdr>
      <w:divsChild>
        <w:div w:id="293756645">
          <w:marLeft w:val="547"/>
          <w:marRight w:val="0"/>
          <w:marTop w:val="115"/>
          <w:marBottom w:val="0"/>
          <w:divBdr>
            <w:top w:val="none" w:sz="0" w:space="0" w:color="auto"/>
            <w:left w:val="none" w:sz="0" w:space="0" w:color="auto"/>
            <w:bottom w:val="none" w:sz="0" w:space="0" w:color="auto"/>
            <w:right w:val="none" w:sz="0" w:space="0" w:color="auto"/>
          </w:divBdr>
        </w:div>
      </w:divsChild>
    </w:div>
    <w:div w:id="213398102">
      <w:bodyDiv w:val="1"/>
      <w:marLeft w:val="0"/>
      <w:marRight w:val="0"/>
      <w:marTop w:val="0"/>
      <w:marBottom w:val="0"/>
      <w:divBdr>
        <w:top w:val="none" w:sz="0" w:space="0" w:color="auto"/>
        <w:left w:val="none" w:sz="0" w:space="0" w:color="auto"/>
        <w:bottom w:val="none" w:sz="0" w:space="0" w:color="auto"/>
        <w:right w:val="none" w:sz="0" w:space="0" w:color="auto"/>
      </w:divBdr>
      <w:divsChild>
        <w:div w:id="1925524841">
          <w:marLeft w:val="547"/>
          <w:marRight w:val="0"/>
          <w:marTop w:val="134"/>
          <w:marBottom w:val="0"/>
          <w:divBdr>
            <w:top w:val="none" w:sz="0" w:space="0" w:color="auto"/>
            <w:left w:val="none" w:sz="0" w:space="0" w:color="auto"/>
            <w:bottom w:val="none" w:sz="0" w:space="0" w:color="auto"/>
            <w:right w:val="none" w:sz="0" w:space="0" w:color="auto"/>
          </w:divBdr>
        </w:div>
        <w:div w:id="1413041014">
          <w:marLeft w:val="547"/>
          <w:marRight w:val="0"/>
          <w:marTop w:val="134"/>
          <w:marBottom w:val="0"/>
          <w:divBdr>
            <w:top w:val="none" w:sz="0" w:space="0" w:color="auto"/>
            <w:left w:val="none" w:sz="0" w:space="0" w:color="auto"/>
            <w:bottom w:val="none" w:sz="0" w:space="0" w:color="auto"/>
            <w:right w:val="none" w:sz="0" w:space="0" w:color="auto"/>
          </w:divBdr>
        </w:div>
      </w:divsChild>
    </w:div>
    <w:div w:id="264925956">
      <w:bodyDiv w:val="1"/>
      <w:marLeft w:val="0"/>
      <w:marRight w:val="0"/>
      <w:marTop w:val="0"/>
      <w:marBottom w:val="0"/>
      <w:divBdr>
        <w:top w:val="none" w:sz="0" w:space="0" w:color="auto"/>
        <w:left w:val="none" w:sz="0" w:space="0" w:color="auto"/>
        <w:bottom w:val="none" w:sz="0" w:space="0" w:color="auto"/>
        <w:right w:val="none" w:sz="0" w:space="0" w:color="auto"/>
      </w:divBdr>
    </w:div>
    <w:div w:id="279075071">
      <w:bodyDiv w:val="1"/>
      <w:marLeft w:val="0"/>
      <w:marRight w:val="0"/>
      <w:marTop w:val="0"/>
      <w:marBottom w:val="0"/>
      <w:divBdr>
        <w:top w:val="none" w:sz="0" w:space="0" w:color="auto"/>
        <w:left w:val="none" w:sz="0" w:space="0" w:color="auto"/>
        <w:bottom w:val="none" w:sz="0" w:space="0" w:color="auto"/>
        <w:right w:val="none" w:sz="0" w:space="0" w:color="auto"/>
      </w:divBdr>
    </w:div>
    <w:div w:id="280722277">
      <w:bodyDiv w:val="1"/>
      <w:marLeft w:val="0"/>
      <w:marRight w:val="0"/>
      <w:marTop w:val="0"/>
      <w:marBottom w:val="0"/>
      <w:divBdr>
        <w:top w:val="none" w:sz="0" w:space="0" w:color="auto"/>
        <w:left w:val="none" w:sz="0" w:space="0" w:color="auto"/>
        <w:bottom w:val="none" w:sz="0" w:space="0" w:color="auto"/>
        <w:right w:val="none" w:sz="0" w:space="0" w:color="auto"/>
      </w:divBdr>
      <w:divsChild>
        <w:div w:id="146016391">
          <w:marLeft w:val="547"/>
          <w:marRight w:val="0"/>
          <w:marTop w:val="115"/>
          <w:marBottom w:val="0"/>
          <w:divBdr>
            <w:top w:val="none" w:sz="0" w:space="0" w:color="auto"/>
            <w:left w:val="none" w:sz="0" w:space="0" w:color="auto"/>
            <w:bottom w:val="none" w:sz="0" w:space="0" w:color="auto"/>
            <w:right w:val="none" w:sz="0" w:space="0" w:color="auto"/>
          </w:divBdr>
        </w:div>
        <w:div w:id="1156145533">
          <w:marLeft w:val="547"/>
          <w:marRight w:val="0"/>
          <w:marTop w:val="115"/>
          <w:marBottom w:val="0"/>
          <w:divBdr>
            <w:top w:val="none" w:sz="0" w:space="0" w:color="auto"/>
            <w:left w:val="none" w:sz="0" w:space="0" w:color="auto"/>
            <w:bottom w:val="none" w:sz="0" w:space="0" w:color="auto"/>
            <w:right w:val="none" w:sz="0" w:space="0" w:color="auto"/>
          </w:divBdr>
        </w:div>
      </w:divsChild>
    </w:div>
    <w:div w:id="290937344">
      <w:bodyDiv w:val="1"/>
      <w:marLeft w:val="0"/>
      <w:marRight w:val="0"/>
      <w:marTop w:val="0"/>
      <w:marBottom w:val="0"/>
      <w:divBdr>
        <w:top w:val="none" w:sz="0" w:space="0" w:color="auto"/>
        <w:left w:val="none" w:sz="0" w:space="0" w:color="auto"/>
        <w:bottom w:val="none" w:sz="0" w:space="0" w:color="auto"/>
        <w:right w:val="none" w:sz="0" w:space="0" w:color="auto"/>
      </w:divBdr>
    </w:div>
    <w:div w:id="293487497">
      <w:bodyDiv w:val="1"/>
      <w:marLeft w:val="0"/>
      <w:marRight w:val="0"/>
      <w:marTop w:val="0"/>
      <w:marBottom w:val="0"/>
      <w:divBdr>
        <w:top w:val="none" w:sz="0" w:space="0" w:color="auto"/>
        <w:left w:val="none" w:sz="0" w:space="0" w:color="auto"/>
        <w:bottom w:val="none" w:sz="0" w:space="0" w:color="auto"/>
        <w:right w:val="none" w:sz="0" w:space="0" w:color="auto"/>
      </w:divBdr>
    </w:div>
    <w:div w:id="298154081">
      <w:bodyDiv w:val="1"/>
      <w:marLeft w:val="0"/>
      <w:marRight w:val="0"/>
      <w:marTop w:val="0"/>
      <w:marBottom w:val="0"/>
      <w:divBdr>
        <w:top w:val="none" w:sz="0" w:space="0" w:color="auto"/>
        <w:left w:val="none" w:sz="0" w:space="0" w:color="auto"/>
        <w:bottom w:val="none" w:sz="0" w:space="0" w:color="auto"/>
        <w:right w:val="none" w:sz="0" w:space="0" w:color="auto"/>
      </w:divBdr>
    </w:div>
    <w:div w:id="299187856">
      <w:bodyDiv w:val="1"/>
      <w:marLeft w:val="0"/>
      <w:marRight w:val="0"/>
      <w:marTop w:val="0"/>
      <w:marBottom w:val="0"/>
      <w:divBdr>
        <w:top w:val="none" w:sz="0" w:space="0" w:color="auto"/>
        <w:left w:val="none" w:sz="0" w:space="0" w:color="auto"/>
        <w:bottom w:val="none" w:sz="0" w:space="0" w:color="auto"/>
        <w:right w:val="none" w:sz="0" w:space="0" w:color="auto"/>
      </w:divBdr>
    </w:div>
    <w:div w:id="307125936">
      <w:bodyDiv w:val="1"/>
      <w:marLeft w:val="0"/>
      <w:marRight w:val="0"/>
      <w:marTop w:val="0"/>
      <w:marBottom w:val="0"/>
      <w:divBdr>
        <w:top w:val="none" w:sz="0" w:space="0" w:color="auto"/>
        <w:left w:val="none" w:sz="0" w:space="0" w:color="auto"/>
        <w:bottom w:val="none" w:sz="0" w:space="0" w:color="auto"/>
        <w:right w:val="none" w:sz="0" w:space="0" w:color="auto"/>
      </w:divBdr>
      <w:divsChild>
        <w:div w:id="163134388">
          <w:marLeft w:val="547"/>
          <w:marRight w:val="0"/>
          <w:marTop w:val="0"/>
          <w:marBottom w:val="0"/>
          <w:divBdr>
            <w:top w:val="none" w:sz="0" w:space="0" w:color="auto"/>
            <w:left w:val="none" w:sz="0" w:space="0" w:color="auto"/>
            <w:bottom w:val="none" w:sz="0" w:space="0" w:color="auto"/>
            <w:right w:val="none" w:sz="0" w:space="0" w:color="auto"/>
          </w:divBdr>
        </w:div>
      </w:divsChild>
    </w:div>
    <w:div w:id="341200433">
      <w:bodyDiv w:val="1"/>
      <w:marLeft w:val="0"/>
      <w:marRight w:val="0"/>
      <w:marTop w:val="0"/>
      <w:marBottom w:val="0"/>
      <w:divBdr>
        <w:top w:val="none" w:sz="0" w:space="0" w:color="auto"/>
        <w:left w:val="none" w:sz="0" w:space="0" w:color="auto"/>
        <w:bottom w:val="none" w:sz="0" w:space="0" w:color="auto"/>
        <w:right w:val="none" w:sz="0" w:space="0" w:color="auto"/>
      </w:divBdr>
    </w:div>
    <w:div w:id="368646619">
      <w:bodyDiv w:val="1"/>
      <w:marLeft w:val="0"/>
      <w:marRight w:val="0"/>
      <w:marTop w:val="0"/>
      <w:marBottom w:val="0"/>
      <w:divBdr>
        <w:top w:val="none" w:sz="0" w:space="0" w:color="auto"/>
        <w:left w:val="none" w:sz="0" w:space="0" w:color="auto"/>
        <w:bottom w:val="none" w:sz="0" w:space="0" w:color="auto"/>
        <w:right w:val="none" w:sz="0" w:space="0" w:color="auto"/>
      </w:divBdr>
    </w:div>
    <w:div w:id="371271145">
      <w:bodyDiv w:val="1"/>
      <w:marLeft w:val="0"/>
      <w:marRight w:val="0"/>
      <w:marTop w:val="0"/>
      <w:marBottom w:val="0"/>
      <w:divBdr>
        <w:top w:val="none" w:sz="0" w:space="0" w:color="auto"/>
        <w:left w:val="none" w:sz="0" w:space="0" w:color="auto"/>
        <w:bottom w:val="none" w:sz="0" w:space="0" w:color="auto"/>
        <w:right w:val="none" w:sz="0" w:space="0" w:color="auto"/>
      </w:divBdr>
    </w:div>
    <w:div w:id="383262100">
      <w:bodyDiv w:val="1"/>
      <w:marLeft w:val="0"/>
      <w:marRight w:val="0"/>
      <w:marTop w:val="0"/>
      <w:marBottom w:val="0"/>
      <w:divBdr>
        <w:top w:val="none" w:sz="0" w:space="0" w:color="auto"/>
        <w:left w:val="none" w:sz="0" w:space="0" w:color="auto"/>
        <w:bottom w:val="none" w:sz="0" w:space="0" w:color="auto"/>
        <w:right w:val="none" w:sz="0" w:space="0" w:color="auto"/>
      </w:divBdr>
    </w:div>
    <w:div w:id="383720330">
      <w:bodyDiv w:val="1"/>
      <w:marLeft w:val="0"/>
      <w:marRight w:val="0"/>
      <w:marTop w:val="0"/>
      <w:marBottom w:val="0"/>
      <w:divBdr>
        <w:top w:val="none" w:sz="0" w:space="0" w:color="auto"/>
        <w:left w:val="none" w:sz="0" w:space="0" w:color="auto"/>
        <w:bottom w:val="none" w:sz="0" w:space="0" w:color="auto"/>
        <w:right w:val="none" w:sz="0" w:space="0" w:color="auto"/>
      </w:divBdr>
    </w:div>
    <w:div w:id="399642091">
      <w:bodyDiv w:val="1"/>
      <w:marLeft w:val="0"/>
      <w:marRight w:val="0"/>
      <w:marTop w:val="0"/>
      <w:marBottom w:val="0"/>
      <w:divBdr>
        <w:top w:val="none" w:sz="0" w:space="0" w:color="auto"/>
        <w:left w:val="none" w:sz="0" w:space="0" w:color="auto"/>
        <w:bottom w:val="none" w:sz="0" w:space="0" w:color="auto"/>
        <w:right w:val="none" w:sz="0" w:space="0" w:color="auto"/>
      </w:divBdr>
    </w:div>
    <w:div w:id="413629184">
      <w:bodyDiv w:val="1"/>
      <w:marLeft w:val="0"/>
      <w:marRight w:val="0"/>
      <w:marTop w:val="0"/>
      <w:marBottom w:val="0"/>
      <w:divBdr>
        <w:top w:val="none" w:sz="0" w:space="0" w:color="auto"/>
        <w:left w:val="none" w:sz="0" w:space="0" w:color="auto"/>
        <w:bottom w:val="none" w:sz="0" w:space="0" w:color="auto"/>
        <w:right w:val="none" w:sz="0" w:space="0" w:color="auto"/>
      </w:divBdr>
    </w:div>
    <w:div w:id="427698573">
      <w:bodyDiv w:val="1"/>
      <w:marLeft w:val="0"/>
      <w:marRight w:val="0"/>
      <w:marTop w:val="0"/>
      <w:marBottom w:val="0"/>
      <w:divBdr>
        <w:top w:val="none" w:sz="0" w:space="0" w:color="auto"/>
        <w:left w:val="none" w:sz="0" w:space="0" w:color="auto"/>
        <w:bottom w:val="none" w:sz="0" w:space="0" w:color="auto"/>
        <w:right w:val="none" w:sz="0" w:space="0" w:color="auto"/>
      </w:divBdr>
      <w:divsChild>
        <w:div w:id="1554930572">
          <w:marLeft w:val="547"/>
          <w:marRight w:val="0"/>
          <w:marTop w:val="106"/>
          <w:marBottom w:val="0"/>
          <w:divBdr>
            <w:top w:val="none" w:sz="0" w:space="0" w:color="auto"/>
            <w:left w:val="none" w:sz="0" w:space="0" w:color="auto"/>
            <w:bottom w:val="none" w:sz="0" w:space="0" w:color="auto"/>
            <w:right w:val="none" w:sz="0" w:space="0" w:color="auto"/>
          </w:divBdr>
        </w:div>
        <w:div w:id="1414276509">
          <w:marLeft w:val="547"/>
          <w:marRight w:val="0"/>
          <w:marTop w:val="0"/>
          <w:marBottom w:val="0"/>
          <w:divBdr>
            <w:top w:val="none" w:sz="0" w:space="0" w:color="auto"/>
            <w:left w:val="none" w:sz="0" w:space="0" w:color="auto"/>
            <w:bottom w:val="none" w:sz="0" w:space="0" w:color="auto"/>
            <w:right w:val="none" w:sz="0" w:space="0" w:color="auto"/>
          </w:divBdr>
        </w:div>
      </w:divsChild>
    </w:div>
    <w:div w:id="437412256">
      <w:bodyDiv w:val="1"/>
      <w:marLeft w:val="0"/>
      <w:marRight w:val="0"/>
      <w:marTop w:val="0"/>
      <w:marBottom w:val="0"/>
      <w:divBdr>
        <w:top w:val="none" w:sz="0" w:space="0" w:color="auto"/>
        <w:left w:val="none" w:sz="0" w:space="0" w:color="auto"/>
        <w:bottom w:val="none" w:sz="0" w:space="0" w:color="auto"/>
        <w:right w:val="none" w:sz="0" w:space="0" w:color="auto"/>
      </w:divBdr>
      <w:divsChild>
        <w:div w:id="389960307">
          <w:marLeft w:val="547"/>
          <w:marRight w:val="0"/>
          <w:marTop w:val="0"/>
          <w:marBottom w:val="0"/>
          <w:divBdr>
            <w:top w:val="none" w:sz="0" w:space="0" w:color="auto"/>
            <w:left w:val="none" w:sz="0" w:space="0" w:color="auto"/>
            <w:bottom w:val="none" w:sz="0" w:space="0" w:color="auto"/>
            <w:right w:val="none" w:sz="0" w:space="0" w:color="auto"/>
          </w:divBdr>
        </w:div>
      </w:divsChild>
    </w:div>
    <w:div w:id="455106268">
      <w:bodyDiv w:val="1"/>
      <w:marLeft w:val="0"/>
      <w:marRight w:val="0"/>
      <w:marTop w:val="0"/>
      <w:marBottom w:val="0"/>
      <w:divBdr>
        <w:top w:val="none" w:sz="0" w:space="0" w:color="auto"/>
        <w:left w:val="none" w:sz="0" w:space="0" w:color="auto"/>
        <w:bottom w:val="none" w:sz="0" w:space="0" w:color="auto"/>
        <w:right w:val="none" w:sz="0" w:space="0" w:color="auto"/>
      </w:divBdr>
    </w:div>
    <w:div w:id="483741453">
      <w:bodyDiv w:val="1"/>
      <w:marLeft w:val="0"/>
      <w:marRight w:val="0"/>
      <w:marTop w:val="0"/>
      <w:marBottom w:val="0"/>
      <w:divBdr>
        <w:top w:val="none" w:sz="0" w:space="0" w:color="auto"/>
        <w:left w:val="none" w:sz="0" w:space="0" w:color="auto"/>
        <w:bottom w:val="none" w:sz="0" w:space="0" w:color="auto"/>
        <w:right w:val="none" w:sz="0" w:space="0" w:color="auto"/>
      </w:divBdr>
    </w:div>
    <w:div w:id="505024995">
      <w:bodyDiv w:val="1"/>
      <w:marLeft w:val="0"/>
      <w:marRight w:val="0"/>
      <w:marTop w:val="0"/>
      <w:marBottom w:val="0"/>
      <w:divBdr>
        <w:top w:val="none" w:sz="0" w:space="0" w:color="auto"/>
        <w:left w:val="none" w:sz="0" w:space="0" w:color="auto"/>
        <w:bottom w:val="none" w:sz="0" w:space="0" w:color="auto"/>
        <w:right w:val="none" w:sz="0" w:space="0" w:color="auto"/>
      </w:divBdr>
    </w:div>
    <w:div w:id="543719205">
      <w:bodyDiv w:val="1"/>
      <w:marLeft w:val="0"/>
      <w:marRight w:val="0"/>
      <w:marTop w:val="0"/>
      <w:marBottom w:val="0"/>
      <w:divBdr>
        <w:top w:val="none" w:sz="0" w:space="0" w:color="auto"/>
        <w:left w:val="none" w:sz="0" w:space="0" w:color="auto"/>
        <w:bottom w:val="none" w:sz="0" w:space="0" w:color="auto"/>
        <w:right w:val="none" w:sz="0" w:space="0" w:color="auto"/>
      </w:divBdr>
    </w:div>
    <w:div w:id="558782690">
      <w:bodyDiv w:val="1"/>
      <w:marLeft w:val="0"/>
      <w:marRight w:val="0"/>
      <w:marTop w:val="0"/>
      <w:marBottom w:val="0"/>
      <w:divBdr>
        <w:top w:val="none" w:sz="0" w:space="0" w:color="auto"/>
        <w:left w:val="none" w:sz="0" w:space="0" w:color="auto"/>
        <w:bottom w:val="none" w:sz="0" w:space="0" w:color="auto"/>
        <w:right w:val="none" w:sz="0" w:space="0" w:color="auto"/>
      </w:divBdr>
    </w:div>
    <w:div w:id="566648032">
      <w:bodyDiv w:val="1"/>
      <w:marLeft w:val="0"/>
      <w:marRight w:val="0"/>
      <w:marTop w:val="0"/>
      <w:marBottom w:val="0"/>
      <w:divBdr>
        <w:top w:val="none" w:sz="0" w:space="0" w:color="auto"/>
        <w:left w:val="none" w:sz="0" w:space="0" w:color="auto"/>
        <w:bottom w:val="none" w:sz="0" w:space="0" w:color="auto"/>
        <w:right w:val="none" w:sz="0" w:space="0" w:color="auto"/>
      </w:divBdr>
    </w:div>
    <w:div w:id="573440990">
      <w:bodyDiv w:val="1"/>
      <w:marLeft w:val="0"/>
      <w:marRight w:val="0"/>
      <w:marTop w:val="0"/>
      <w:marBottom w:val="0"/>
      <w:divBdr>
        <w:top w:val="none" w:sz="0" w:space="0" w:color="auto"/>
        <w:left w:val="none" w:sz="0" w:space="0" w:color="auto"/>
        <w:bottom w:val="none" w:sz="0" w:space="0" w:color="auto"/>
        <w:right w:val="none" w:sz="0" w:space="0" w:color="auto"/>
      </w:divBdr>
      <w:divsChild>
        <w:div w:id="138813516">
          <w:marLeft w:val="547"/>
          <w:marRight w:val="0"/>
          <w:marTop w:val="0"/>
          <w:marBottom w:val="0"/>
          <w:divBdr>
            <w:top w:val="none" w:sz="0" w:space="0" w:color="auto"/>
            <w:left w:val="none" w:sz="0" w:space="0" w:color="auto"/>
            <w:bottom w:val="none" w:sz="0" w:space="0" w:color="auto"/>
            <w:right w:val="none" w:sz="0" w:space="0" w:color="auto"/>
          </w:divBdr>
        </w:div>
      </w:divsChild>
    </w:div>
    <w:div w:id="619848530">
      <w:bodyDiv w:val="1"/>
      <w:marLeft w:val="0"/>
      <w:marRight w:val="0"/>
      <w:marTop w:val="0"/>
      <w:marBottom w:val="0"/>
      <w:divBdr>
        <w:top w:val="none" w:sz="0" w:space="0" w:color="auto"/>
        <w:left w:val="none" w:sz="0" w:space="0" w:color="auto"/>
        <w:bottom w:val="none" w:sz="0" w:space="0" w:color="auto"/>
        <w:right w:val="none" w:sz="0" w:space="0" w:color="auto"/>
      </w:divBdr>
    </w:div>
    <w:div w:id="631907553">
      <w:bodyDiv w:val="1"/>
      <w:marLeft w:val="0"/>
      <w:marRight w:val="0"/>
      <w:marTop w:val="0"/>
      <w:marBottom w:val="0"/>
      <w:divBdr>
        <w:top w:val="none" w:sz="0" w:space="0" w:color="auto"/>
        <w:left w:val="none" w:sz="0" w:space="0" w:color="auto"/>
        <w:bottom w:val="none" w:sz="0" w:space="0" w:color="auto"/>
        <w:right w:val="none" w:sz="0" w:space="0" w:color="auto"/>
      </w:divBdr>
    </w:div>
    <w:div w:id="635834357">
      <w:bodyDiv w:val="1"/>
      <w:marLeft w:val="0"/>
      <w:marRight w:val="0"/>
      <w:marTop w:val="0"/>
      <w:marBottom w:val="0"/>
      <w:divBdr>
        <w:top w:val="none" w:sz="0" w:space="0" w:color="auto"/>
        <w:left w:val="none" w:sz="0" w:space="0" w:color="auto"/>
        <w:bottom w:val="none" w:sz="0" w:space="0" w:color="auto"/>
        <w:right w:val="none" w:sz="0" w:space="0" w:color="auto"/>
      </w:divBdr>
      <w:divsChild>
        <w:div w:id="2030131894">
          <w:marLeft w:val="547"/>
          <w:marRight w:val="0"/>
          <w:marTop w:val="173"/>
          <w:marBottom w:val="0"/>
          <w:divBdr>
            <w:top w:val="none" w:sz="0" w:space="0" w:color="auto"/>
            <w:left w:val="none" w:sz="0" w:space="0" w:color="auto"/>
            <w:bottom w:val="none" w:sz="0" w:space="0" w:color="auto"/>
            <w:right w:val="none" w:sz="0" w:space="0" w:color="auto"/>
          </w:divBdr>
        </w:div>
      </w:divsChild>
    </w:div>
    <w:div w:id="645431041">
      <w:bodyDiv w:val="1"/>
      <w:marLeft w:val="0"/>
      <w:marRight w:val="0"/>
      <w:marTop w:val="0"/>
      <w:marBottom w:val="0"/>
      <w:divBdr>
        <w:top w:val="none" w:sz="0" w:space="0" w:color="auto"/>
        <w:left w:val="none" w:sz="0" w:space="0" w:color="auto"/>
        <w:bottom w:val="none" w:sz="0" w:space="0" w:color="auto"/>
        <w:right w:val="none" w:sz="0" w:space="0" w:color="auto"/>
      </w:divBdr>
      <w:divsChild>
        <w:div w:id="1499729262">
          <w:marLeft w:val="547"/>
          <w:marRight w:val="0"/>
          <w:marTop w:val="0"/>
          <w:marBottom w:val="0"/>
          <w:divBdr>
            <w:top w:val="none" w:sz="0" w:space="0" w:color="auto"/>
            <w:left w:val="none" w:sz="0" w:space="0" w:color="auto"/>
            <w:bottom w:val="none" w:sz="0" w:space="0" w:color="auto"/>
            <w:right w:val="none" w:sz="0" w:space="0" w:color="auto"/>
          </w:divBdr>
        </w:div>
        <w:div w:id="1710489735">
          <w:marLeft w:val="547"/>
          <w:marRight w:val="0"/>
          <w:marTop w:val="0"/>
          <w:marBottom w:val="0"/>
          <w:divBdr>
            <w:top w:val="none" w:sz="0" w:space="0" w:color="auto"/>
            <w:left w:val="none" w:sz="0" w:space="0" w:color="auto"/>
            <w:bottom w:val="none" w:sz="0" w:space="0" w:color="auto"/>
            <w:right w:val="none" w:sz="0" w:space="0" w:color="auto"/>
          </w:divBdr>
        </w:div>
        <w:div w:id="481384231">
          <w:marLeft w:val="547"/>
          <w:marRight w:val="0"/>
          <w:marTop w:val="0"/>
          <w:marBottom w:val="0"/>
          <w:divBdr>
            <w:top w:val="none" w:sz="0" w:space="0" w:color="auto"/>
            <w:left w:val="none" w:sz="0" w:space="0" w:color="auto"/>
            <w:bottom w:val="none" w:sz="0" w:space="0" w:color="auto"/>
            <w:right w:val="none" w:sz="0" w:space="0" w:color="auto"/>
          </w:divBdr>
        </w:div>
        <w:div w:id="586423005">
          <w:marLeft w:val="547"/>
          <w:marRight w:val="0"/>
          <w:marTop w:val="0"/>
          <w:marBottom w:val="0"/>
          <w:divBdr>
            <w:top w:val="none" w:sz="0" w:space="0" w:color="auto"/>
            <w:left w:val="none" w:sz="0" w:space="0" w:color="auto"/>
            <w:bottom w:val="none" w:sz="0" w:space="0" w:color="auto"/>
            <w:right w:val="none" w:sz="0" w:space="0" w:color="auto"/>
          </w:divBdr>
        </w:div>
      </w:divsChild>
    </w:div>
    <w:div w:id="660282030">
      <w:bodyDiv w:val="1"/>
      <w:marLeft w:val="0"/>
      <w:marRight w:val="0"/>
      <w:marTop w:val="0"/>
      <w:marBottom w:val="0"/>
      <w:divBdr>
        <w:top w:val="none" w:sz="0" w:space="0" w:color="auto"/>
        <w:left w:val="none" w:sz="0" w:space="0" w:color="auto"/>
        <w:bottom w:val="none" w:sz="0" w:space="0" w:color="auto"/>
        <w:right w:val="none" w:sz="0" w:space="0" w:color="auto"/>
      </w:divBdr>
    </w:div>
    <w:div w:id="668941683">
      <w:bodyDiv w:val="1"/>
      <w:marLeft w:val="0"/>
      <w:marRight w:val="0"/>
      <w:marTop w:val="0"/>
      <w:marBottom w:val="0"/>
      <w:divBdr>
        <w:top w:val="none" w:sz="0" w:space="0" w:color="auto"/>
        <w:left w:val="none" w:sz="0" w:space="0" w:color="auto"/>
        <w:bottom w:val="none" w:sz="0" w:space="0" w:color="auto"/>
        <w:right w:val="none" w:sz="0" w:space="0" w:color="auto"/>
      </w:divBdr>
      <w:divsChild>
        <w:div w:id="744568360">
          <w:marLeft w:val="547"/>
          <w:marRight w:val="0"/>
          <w:marTop w:val="163"/>
          <w:marBottom w:val="0"/>
          <w:divBdr>
            <w:top w:val="none" w:sz="0" w:space="0" w:color="auto"/>
            <w:left w:val="none" w:sz="0" w:space="0" w:color="auto"/>
            <w:bottom w:val="none" w:sz="0" w:space="0" w:color="auto"/>
            <w:right w:val="none" w:sz="0" w:space="0" w:color="auto"/>
          </w:divBdr>
        </w:div>
      </w:divsChild>
    </w:div>
    <w:div w:id="674577071">
      <w:bodyDiv w:val="1"/>
      <w:marLeft w:val="0"/>
      <w:marRight w:val="0"/>
      <w:marTop w:val="0"/>
      <w:marBottom w:val="0"/>
      <w:divBdr>
        <w:top w:val="none" w:sz="0" w:space="0" w:color="auto"/>
        <w:left w:val="none" w:sz="0" w:space="0" w:color="auto"/>
        <w:bottom w:val="none" w:sz="0" w:space="0" w:color="auto"/>
        <w:right w:val="none" w:sz="0" w:space="0" w:color="auto"/>
      </w:divBdr>
      <w:divsChild>
        <w:div w:id="271406019">
          <w:marLeft w:val="547"/>
          <w:marRight w:val="0"/>
          <w:marTop w:val="0"/>
          <w:marBottom w:val="0"/>
          <w:divBdr>
            <w:top w:val="none" w:sz="0" w:space="0" w:color="auto"/>
            <w:left w:val="none" w:sz="0" w:space="0" w:color="auto"/>
            <w:bottom w:val="none" w:sz="0" w:space="0" w:color="auto"/>
            <w:right w:val="none" w:sz="0" w:space="0" w:color="auto"/>
          </w:divBdr>
        </w:div>
        <w:div w:id="1171947313">
          <w:marLeft w:val="547"/>
          <w:marRight w:val="0"/>
          <w:marTop w:val="0"/>
          <w:marBottom w:val="0"/>
          <w:divBdr>
            <w:top w:val="none" w:sz="0" w:space="0" w:color="auto"/>
            <w:left w:val="none" w:sz="0" w:space="0" w:color="auto"/>
            <w:bottom w:val="none" w:sz="0" w:space="0" w:color="auto"/>
            <w:right w:val="none" w:sz="0" w:space="0" w:color="auto"/>
          </w:divBdr>
        </w:div>
        <w:div w:id="2022975093">
          <w:marLeft w:val="547"/>
          <w:marRight w:val="0"/>
          <w:marTop w:val="0"/>
          <w:marBottom w:val="0"/>
          <w:divBdr>
            <w:top w:val="none" w:sz="0" w:space="0" w:color="auto"/>
            <w:left w:val="none" w:sz="0" w:space="0" w:color="auto"/>
            <w:bottom w:val="none" w:sz="0" w:space="0" w:color="auto"/>
            <w:right w:val="none" w:sz="0" w:space="0" w:color="auto"/>
          </w:divBdr>
        </w:div>
        <w:div w:id="116721719">
          <w:marLeft w:val="547"/>
          <w:marRight w:val="0"/>
          <w:marTop w:val="0"/>
          <w:marBottom w:val="0"/>
          <w:divBdr>
            <w:top w:val="none" w:sz="0" w:space="0" w:color="auto"/>
            <w:left w:val="none" w:sz="0" w:space="0" w:color="auto"/>
            <w:bottom w:val="none" w:sz="0" w:space="0" w:color="auto"/>
            <w:right w:val="none" w:sz="0" w:space="0" w:color="auto"/>
          </w:divBdr>
        </w:div>
      </w:divsChild>
    </w:div>
    <w:div w:id="676156492">
      <w:bodyDiv w:val="1"/>
      <w:marLeft w:val="0"/>
      <w:marRight w:val="0"/>
      <w:marTop w:val="0"/>
      <w:marBottom w:val="0"/>
      <w:divBdr>
        <w:top w:val="none" w:sz="0" w:space="0" w:color="auto"/>
        <w:left w:val="none" w:sz="0" w:space="0" w:color="auto"/>
        <w:bottom w:val="none" w:sz="0" w:space="0" w:color="auto"/>
        <w:right w:val="none" w:sz="0" w:space="0" w:color="auto"/>
      </w:divBdr>
    </w:div>
    <w:div w:id="685713428">
      <w:bodyDiv w:val="1"/>
      <w:marLeft w:val="0"/>
      <w:marRight w:val="0"/>
      <w:marTop w:val="0"/>
      <w:marBottom w:val="0"/>
      <w:divBdr>
        <w:top w:val="none" w:sz="0" w:space="0" w:color="auto"/>
        <w:left w:val="none" w:sz="0" w:space="0" w:color="auto"/>
        <w:bottom w:val="none" w:sz="0" w:space="0" w:color="auto"/>
        <w:right w:val="none" w:sz="0" w:space="0" w:color="auto"/>
      </w:divBdr>
    </w:div>
    <w:div w:id="701248660">
      <w:bodyDiv w:val="1"/>
      <w:marLeft w:val="0"/>
      <w:marRight w:val="0"/>
      <w:marTop w:val="0"/>
      <w:marBottom w:val="0"/>
      <w:divBdr>
        <w:top w:val="none" w:sz="0" w:space="0" w:color="auto"/>
        <w:left w:val="none" w:sz="0" w:space="0" w:color="auto"/>
        <w:bottom w:val="none" w:sz="0" w:space="0" w:color="auto"/>
        <w:right w:val="none" w:sz="0" w:space="0" w:color="auto"/>
      </w:divBdr>
    </w:div>
    <w:div w:id="717708678">
      <w:bodyDiv w:val="1"/>
      <w:marLeft w:val="0"/>
      <w:marRight w:val="0"/>
      <w:marTop w:val="0"/>
      <w:marBottom w:val="0"/>
      <w:divBdr>
        <w:top w:val="none" w:sz="0" w:space="0" w:color="auto"/>
        <w:left w:val="none" w:sz="0" w:space="0" w:color="auto"/>
        <w:bottom w:val="none" w:sz="0" w:space="0" w:color="auto"/>
        <w:right w:val="none" w:sz="0" w:space="0" w:color="auto"/>
      </w:divBdr>
      <w:divsChild>
        <w:div w:id="1596789280">
          <w:marLeft w:val="547"/>
          <w:marRight w:val="0"/>
          <w:marTop w:val="125"/>
          <w:marBottom w:val="0"/>
          <w:divBdr>
            <w:top w:val="none" w:sz="0" w:space="0" w:color="auto"/>
            <w:left w:val="none" w:sz="0" w:space="0" w:color="auto"/>
            <w:bottom w:val="none" w:sz="0" w:space="0" w:color="auto"/>
            <w:right w:val="none" w:sz="0" w:space="0" w:color="auto"/>
          </w:divBdr>
        </w:div>
        <w:div w:id="673849287">
          <w:marLeft w:val="547"/>
          <w:marRight w:val="0"/>
          <w:marTop w:val="125"/>
          <w:marBottom w:val="0"/>
          <w:divBdr>
            <w:top w:val="none" w:sz="0" w:space="0" w:color="auto"/>
            <w:left w:val="none" w:sz="0" w:space="0" w:color="auto"/>
            <w:bottom w:val="none" w:sz="0" w:space="0" w:color="auto"/>
            <w:right w:val="none" w:sz="0" w:space="0" w:color="auto"/>
          </w:divBdr>
        </w:div>
        <w:div w:id="1259943734">
          <w:marLeft w:val="547"/>
          <w:marRight w:val="0"/>
          <w:marTop w:val="125"/>
          <w:marBottom w:val="0"/>
          <w:divBdr>
            <w:top w:val="none" w:sz="0" w:space="0" w:color="auto"/>
            <w:left w:val="none" w:sz="0" w:space="0" w:color="auto"/>
            <w:bottom w:val="none" w:sz="0" w:space="0" w:color="auto"/>
            <w:right w:val="none" w:sz="0" w:space="0" w:color="auto"/>
          </w:divBdr>
        </w:div>
      </w:divsChild>
    </w:div>
    <w:div w:id="722406865">
      <w:bodyDiv w:val="1"/>
      <w:marLeft w:val="0"/>
      <w:marRight w:val="0"/>
      <w:marTop w:val="0"/>
      <w:marBottom w:val="0"/>
      <w:divBdr>
        <w:top w:val="none" w:sz="0" w:space="0" w:color="auto"/>
        <w:left w:val="none" w:sz="0" w:space="0" w:color="auto"/>
        <w:bottom w:val="none" w:sz="0" w:space="0" w:color="auto"/>
        <w:right w:val="none" w:sz="0" w:space="0" w:color="auto"/>
      </w:divBdr>
    </w:div>
    <w:div w:id="725841043">
      <w:bodyDiv w:val="1"/>
      <w:marLeft w:val="0"/>
      <w:marRight w:val="0"/>
      <w:marTop w:val="0"/>
      <w:marBottom w:val="0"/>
      <w:divBdr>
        <w:top w:val="none" w:sz="0" w:space="0" w:color="auto"/>
        <w:left w:val="none" w:sz="0" w:space="0" w:color="auto"/>
        <w:bottom w:val="none" w:sz="0" w:space="0" w:color="auto"/>
        <w:right w:val="none" w:sz="0" w:space="0" w:color="auto"/>
      </w:divBdr>
    </w:div>
    <w:div w:id="726227059">
      <w:bodyDiv w:val="1"/>
      <w:marLeft w:val="0"/>
      <w:marRight w:val="0"/>
      <w:marTop w:val="0"/>
      <w:marBottom w:val="0"/>
      <w:divBdr>
        <w:top w:val="none" w:sz="0" w:space="0" w:color="auto"/>
        <w:left w:val="none" w:sz="0" w:space="0" w:color="auto"/>
        <w:bottom w:val="none" w:sz="0" w:space="0" w:color="auto"/>
        <w:right w:val="none" w:sz="0" w:space="0" w:color="auto"/>
      </w:divBdr>
    </w:div>
    <w:div w:id="740911774">
      <w:bodyDiv w:val="1"/>
      <w:marLeft w:val="0"/>
      <w:marRight w:val="0"/>
      <w:marTop w:val="0"/>
      <w:marBottom w:val="0"/>
      <w:divBdr>
        <w:top w:val="none" w:sz="0" w:space="0" w:color="auto"/>
        <w:left w:val="none" w:sz="0" w:space="0" w:color="auto"/>
        <w:bottom w:val="none" w:sz="0" w:space="0" w:color="auto"/>
        <w:right w:val="none" w:sz="0" w:space="0" w:color="auto"/>
      </w:divBdr>
    </w:div>
    <w:div w:id="740951461">
      <w:bodyDiv w:val="1"/>
      <w:marLeft w:val="0"/>
      <w:marRight w:val="0"/>
      <w:marTop w:val="0"/>
      <w:marBottom w:val="0"/>
      <w:divBdr>
        <w:top w:val="none" w:sz="0" w:space="0" w:color="auto"/>
        <w:left w:val="none" w:sz="0" w:space="0" w:color="auto"/>
        <w:bottom w:val="none" w:sz="0" w:space="0" w:color="auto"/>
        <w:right w:val="none" w:sz="0" w:space="0" w:color="auto"/>
      </w:divBdr>
    </w:div>
    <w:div w:id="742071846">
      <w:bodyDiv w:val="1"/>
      <w:marLeft w:val="0"/>
      <w:marRight w:val="0"/>
      <w:marTop w:val="0"/>
      <w:marBottom w:val="0"/>
      <w:divBdr>
        <w:top w:val="none" w:sz="0" w:space="0" w:color="auto"/>
        <w:left w:val="none" w:sz="0" w:space="0" w:color="auto"/>
        <w:bottom w:val="none" w:sz="0" w:space="0" w:color="auto"/>
        <w:right w:val="none" w:sz="0" w:space="0" w:color="auto"/>
      </w:divBdr>
    </w:div>
    <w:div w:id="760177158">
      <w:bodyDiv w:val="1"/>
      <w:marLeft w:val="0"/>
      <w:marRight w:val="0"/>
      <w:marTop w:val="0"/>
      <w:marBottom w:val="0"/>
      <w:divBdr>
        <w:top w:val="none" w:sz="0" w:space="0" w:color="auto"/>
        <w:left w:val="none" w:sz="0" w:space="0" w:color="auto"/>
        <w:bottom w:val="none" w:sz="0" w:space="0" w:color="auto"/>
        <w:right w:val="none" w:sz="0" w:space="0" w:color="auto"/>
      </w:divBdr>
      <w:divsChild>
        <w:div w:id="1266621493">
          <w:marLeft w:val="547"/>
          <w:marRight w:val="0"/>
          <w:marTop w:val="0"/>
          <w:marBottom w:val="0"/>
          <w:divBdr>
            <w:top w:val="none" w:sz="0" w:space="0" w:color="auto"/>
            <w:left w:val="none" w:sz="0" w:space="0" w:color="auto"/>
            <w:bottom w:val="none" w:sz="0" w:space="0" w:color="auto"/>
            <w:right w:val="none" w:sz="0" w:space="0" w:color="auto"/>
          </w:divBdr>
        </w:div>
        <w:div w:id="901675995">
          <w:marLeft w:val="547"/>
          <w:marRight w:val="0"/>
          <w:marTop w:val="0"/>
          <w:marBottom w:val="0"/>
          <w:divBdr>
            <w:top w:val="none" w:sz="0" w:space="0" w:color="auto"/>
            <w:left w:val="none" w:sz="0" w:space="0" w:color="auto"/>
            <w:bottom w:val="none" w:sz="0" w:space="0" w:color="auto"/>
            <w:right w:val="none" w:sz="0" w:space="0" w:color="auto"/>
          </w:divBdr>
        </w:div>
        <w:div w:id="896938492">
          <w:marLeft w:val="547"/>
          <w:marRight w:val="0"/>
          <w:marTop w:val="0"/>
          <w:marBottom w:val="0"/>
          <w:divBdr>
            <w:top w:val="none" w:sz="0" w:space="0" w:color="auto"/>
            <w:left w:val="none" w:sz="0" w:space="0" w:color="auto"/>
            <w:bottom w:val="none" w:sz="0" w:space="0" w:color="auto"/>
            <w:right w:val="none" w:sz="0" w:space="0" w:color="auto"/>
          </w:divBdr>
        </w:div>
      </w:divsChild>
    </w:div>
    <w:div w:id="763233370">
      <w:bodyDiv w:val="1"/>
      <w:marLeft w:val="0"/>
      <w:marRight w:val="0"/>
      <w:marTop w:val="0"/>
      <w:marBottom w:val="0"/>
      <w:divBdr>
        <w:top w:val="none" w:sz="0" w:space="0" w:color="auto"/>
        <w:left w:val="none" w:sz="0" w:space="0" w:color="auto"/>
        <w:bottom w:val="none" w:sz="0" w:space="0" w:color="auto"/>
        <w:right w:val="none" w:sz="0" w:space="0" w:color="auto"/>
      </w:divBdr>
      <w:divsChild>
        <w:div w:id="1689939343">
          <w:marLeft w:val="547"/>
          <w:marRight w:val="0"/>
          <w:marTop w:val="115"/>
          <w:marBottom w:val="0"/>
          <w:divBdr>
            <w:top w:val="none" w:sz="0" w:space="0" w:color="auto"/>
            <w:left w:val="none" w:sz="0" w:space="0" w:color="auto"/>
            <w:bottom w:val="none" w:sz="0" w:space="0" w:color="auto"/>
            <w:right w:val="none" w:sz="0" w:space="0" w:color="auto"/>
          </w:divBdr>
        </w:div>
      </w:divsChild>
    </w:div>
    <w:div w:id="784808682">
      <w:bodyDiv w:val="1"/>
      <w:marLeft w:val="0"/>
      <w:marRight w:val="0"/>
      <w:marTop w:val="0"/>
      <w:marBottom w:val="0"/>
      <w:divBdr>
        <w:top w:val="none" w:sz="0" w:space="0" w:color="auto"/>
        <w:left w:val="none" w:sz="0" w:space="0" w:color="auto"/>
        <w:bottom w:val="none" w:sz="0" w:space="0" w:color="auto"/>
        <w:right w:val="none" w:sz="0" w:space="0" w:color="auto"/>
      </w:divBdr>
    </w:div>
    <w:div w:id="801536757">
      <w:bodyDiv w:val="1"/>
      <w:marLeft w:val="0"/>
      <w:marRight w:val="0"/>
      <w:marTop w:val="0"/>
      <w:marBottom w:val="0"/>
      <w:divBdr>
        <w:top w:val="none" w:sz="0" w:space="0" w:color="auto"/>
        <w:left w:val="none" w:sz="0" w:space="0" w:color="auto"/>
        <w:bottom w:val="none" w:sz="0" w:space="0" w:color="auto"/>
        <w:right w:val="none" w:sz="0" w:space="0" w:color="auto"/>
      </w:divBdr>
    </w:div>
    <w:div w:id="816458386">
      <w:bodyDiv w:val="1"/>
      <w:marLeft w:val="0"/>
      <w:marRight w:val="0"/>
      <w:marTop w:val="0"/>
      <w:marBottom w:val="0"/>
      <w:divBdr>
        <w:top w:val="none" w:sz="0" w:space="0" w:color="auto"/>
        <w:left w:val="none" w:sz="0" w:space="0" w:color="auto"/>
        <w:bottom w:val="none" w:sz="0" w:space="0" w:color="auto"/>
        <w:right w:val="none" w:sz="0" w:space="0" w:color="auto"/>
      </w:divBdr>
    </w:div>
    <w:div w:id="821119353">
      <w:bodyDiv w:val="1"/>
      <w:marLeft w:val="0"/>
      <w:marRight w:val="0"/>
      <w:marTop w:val="0"/>
      <w:marBottom w:val="0"/>
      <w:divBdr>
        <w:top w:val="none" w:sz="0" w:space="0" w:color="auto"/>
        <w:left w:val="none" w:sz="0" w:space="0" w:color="auto"/>
        <w:bottom w:val="none" w:sz="0" w:space="0" w:color="auto"/>
        <w:right w:val="none" w:sz="0" w:space="0" w:color="auto"/>
      </w:divBdr>
    </w:div>
    <w:div w:id="823086089">
      <w:bodyDiv w:val="1"/>
      <w:marLeft w:val="0"/>
      <w:marRight w:val="0"/>
      <w:marTop w:val="0"/>
      <w:marBottom w:val="0"/>
      <w:divBdr>
        <w:top w:val="none" w:sz="0" w:space="0" w:color="auto"/>
        <w:left w:val="none" w:sz="0" w:space="0" w:color="auto"/>
        <w:bottom w:val="none" w:sz="0" w:space="0" w:color="auto"/>
        <w:right w:val="none" w:sz="0" w:space="0" w:color="auto"/>
      </w:divBdr>
      <w:divsChild>
        <w:div w:id="1311910775">
          <w:marLeft w:val="547"/>
          <w:marRight w:val="0"/>
          <w:marTop w:val="154"/>
          <w:marBottom w:val="0"/>
          <w:divBdr>
            <w:top w:val="none" w:sz="0" w:space="0" w:color="auto"/>
            <w:left w:val="none" w:sz="0" w:space="0" w:color="auto"/>
            <w:bottom w:val="none" w:sz="0" w:space="0" w:color="auto"/>
            <w:right w:val="none" w:sz="0" w:space="0" w:color="auto"/>
          </w:divBdr>
        </w:div>
        <w:div w:id="1567031487">
          <w:marLeft w:val="547"/>
          <w:marRight w:val="0"/>
          <w:marTop w:val="134"/>
          <w:marBottom w:val="0"/>
          <w:divBdr>
            <w:top w:val="none" w:sz="0" w:space="0" w:color="auto"/>
            <w:left w:val="none" w:sz="0" w:space="0" w:color="auto"/>
            <w:bottom w:val="none" w:sz="0" w:space="0" w:color="auto"/>
            <w:right w:val="none" w:sz="0" w:space="0" w:color="auto"/>
          </w:divBdr>
        </w:div>
        <w:div w:id="534000714">
          <w:marLeft w:val="547"/>
          <w:marRight w:val="0"/>
          <w:marTop w:val="115"/>
          <w:marBottom w:val="0"/>
          <w:divBdr>
            <w:top w:val="none" w:sz="0" w:space="0" w:color="auto"/>
            <w:left w:val="none" w:sz="0" w:space="0" w:color="auto"/>
            <w:bottom w:val="none" w:sz="0" w:space="0" w:color="auto"/>
            <w:right w:val="none" w:sz="0" w:space="0" w:color="auto"/>
          </w:divBdr>
        </w:div>
        <w:div w:id="1957565469">
          <w:marLeft w:val="547"/>
          <w:marRight w:val="0"/>
          <w:marTop w:val="115"/>
          <w:marBottom w:val="0"/>
          <w:divBdr>
            <w:top w:val="none" w:sz="0" w:space="0" w:color="auto"/>
            <w:left w:val="none" w:sz="0" w:space="0" w:color="auto"/>
            <w:bottom w:val="none" w:sz="0" w:space="0" w:color="auto"/>
            <w:right w:val="none" w:sz="0" w:space="0" w:color="auto"/>
          </w:divBdr>
        </w:div>
      </w:divsChild>
    </w:div>
    <w:div w:id="829712989">
      <w:bodyDiv w:val="1"/>
      <w:marLeft w:val="0"/>
      <w:marRight w:val="0"/>
      <w:marTop w:val="0"/>
      <w:marBottom w:val="0"/>
      <w:divBdr>
        <w:top w:val="none" w:sz="0" w:space="0" w:color="auto"/>
        <w:left w:val="none" w:sz="0" w:space="0" w:color="auto"/>
        <w:bottom w:val="none" w:sz="0" w:space="0" w:color="auto"/>
        <w:right w:val="none" w:sz="0" w:space="0" w:color="auto"/>
      </w:divBdr>
    </w:div>
    <w:div w:id="854881877">
      <w:bodyDiv w:val="1"/>
      <w:marLeft w:val="0"/>
      <w:marRight w:val="0"/>
      <w:marTop w:val="0"/>
      <w:marBottom w:val="0"/>
      <w:divBdr>
        <w:top w:val="none" w:sz="0" w:space="0" w:color="auto"/>
        <w:left w:val="none" w:sz="0" w:space="0" w:color="auto"/>
        <w:bottom w:val="none" w:sz="0" w:space="0" w:color="auto"/>
        <w:right w:val="none" w:sz="0" w:space="0" w:color="auto"/>
      </w:divBdr>
      <w:divsChild>
        <w:div w:id="626279392">
          <w:marLeft w:val="547"/>
          <w:marRight w:val="0"/>
          <w:marTop w:val="0"/>
          <w:marBottom w:val="0"/>
          <w:divBdr>
            <w:top w:val="none" w:sz="0" w:space="0" w:color="auto"/>
            <w:left w:val="none" w:sz="0" w:space="0" w:color="auto"/>
            <w:bottom w:val="none" w:sz="0" w:space="0" w:color="auto"/>
            <w:right w:val="none" w:sz="0" w:space="0" w:color="auto"/>
          </w:divBdr>
        </w:div>
        <w:div w:id="1800147850">
          <w:marLeft w:val="547"/>
          <w:marRight w:val="0"/>
          <w:marTop w:val="0"/>
          <w:marBottom w:val="0"/>
          <w:divBdr>
            <w:top w:val="none" w:sz="0" w:space="0" w:color="auto"/>
            <w:left w:val="none" w:sz="0" w:space="0" w:color="auto"/>
            <w:bottom w:val="none" w:sz="0" w:space="0" w:color="auto"/>
            <w:right w:val="none" w:sz="0" w:space="0" w:color="auto"/>
          </w:divBdr>
        </w:div>
      </w:divsChild>
    </w:div>
    <w:div w:id="860162979">
      <w:bodyDiv w:val="1"/>
      <w:marLeft w:val="0"/>
      <w:marRight w:val="0"/>
      <w:marTop w:val="0"/>
      <w:marBottom w:val="0"/>
      <w:divBdr>
        <w:top w:val="none" w:sz="0" w:space="0" w:color="auto"/>
        <w:left w:val="none" w:sz="0" w:space="0" w:color="auto"/>
        <w:bottom w:val="none" w:sz="0" w:space="0" w:color="auto"/>
        <w:right w:val="none" w:sz="0" w:space="0" w:color="auto"/>
      </w:divBdr>
    </w:div>
    <w:div w:id="870728719">
      <w:bodyDiv w:val="1"/>
      <w:marLeft w:val="0"/>
      <w:marRight w:val="0"/>
      <w:marTop w:val="0"/>
      <w:marBottom w:val="0"/>
      <w:divBdr>
        <w:top w:val="none" w:sz="0" w:space="0" w:color="auto"/>
        <w:left w:val="none" w:sz="0" w:space="0" w:color="auto"/>
        <w:bottom w:val="none" w:sz="0" w:space="0" w:color="auto"/>
        <w:right w:val="none" w:sz="0" w:space="0" w:color="auto"/>
      </w:divBdr>
    </w:div>
    <w:div w:id="873619757">
      <w:bodyDiv w:val="1"/>
      <w:marLeft w:val="0"/>
      <w:marRight w:val="0"/>
      <w:marTop w:val="0"/>
      <w:marBottom w:val="0"/>
      <w:divBdr>
        <w:top w:val="none" w:sz="0" w:space="0" w:color="auto"/>
        <w:left w:val="none" w:sz="0" w:space="0" w:color="auto"/>
        <w:bottom w:val="none" w:sz="0" w:space="0" w:color="auto"/>
        <w:right w:val="none" w:sz="0" w:space="0" w:color="auto"/>
      </w:divBdr>
      <w:divsChild>
        <w:div w:id="861279844">
          <w:marLeft w:val="547"/>
          <w:marRight w:val="0"/>
          <w:marTop w:val="0"/>
          <w:marBottom w:val="0"/>
          <w:divBdr>
            <w:top w:val="none" w:sz="0" w:space="0" w:color="auto"/>
            <w:left w:val="none" w:sz="0" w:space="0" w:color="auto"/>
            <w:bottom w:val="none" w:sz="0" w:space="0" w:color="auto"/>
            <w:right w:val="none" w:sz="0" w:space="0" w:color="auto"/>
          </w:divBdr>
        </w:div>
        <w:div w:id="1987582429">
          <w:marLeft w:val="547"/>
          <w:marRight w:val="0"/>
          <w:marTop w:val="0"/>
          <w:marBottom w:val="0"/>
          <w:divBdr>
            <w:top w:val="none" w:sz="0" w:space="0" w:color="auto"/>
            <w:left w:val="none" w:sz="0" w:space="0" w:color="auto"/>
            <w:bottom w:val="none" w:sz="0" w:space="0" w:color="auto"/>
            <w:right w:val="none" w:sz="0" w:space="0" w:color="auto"/>
          </w:divBdr>
        </w:div>
        <w:div w:id="1561012797">
          <w:marLeft w:val="547"/>
          <w:marRight w:val="0"/>
          <w:marTop w:val="0"/>
          <w:marBottom w:val="0"/>
          <w:divBdr>
            <w:top w:val="none" w:sz="0" w:space="0" w:color="auto"/>
            <w:left w:val="none" w:sz="0" w:space="0" w:color="auto"/>
            <w:bottom w:val="none" w:sz="0" w:space="0" w:color="auto"/>
            <w:right w:val="none" w:sz="0" w:space="0" w:color="auto"/>
          </w:divBdr>
        </w:div>
        <w:div w:id="1922713253">
          <w:marLeft w:val="547"/>
          <w:marRight w:val="0"/>
          <w:marTop w:val="0"/>
          <w:marBottom w:val="0"/>
          <w:divBdr>
            <w:top w:val="none" w:sz="0" w:space="0" w:color="auto"/>
            <w:left w:val="none" w:sz="0" w:space="0" w:color="auto"/>
            <w:bottom w:val="none" w:sz="0" w:space="0" w:color="auto"/>
            <w:right w:val="none" w:sz="0" w:space="0" w:color="auto"/>
          </w:divBdr>
        </w:div>
      </w:divsChild>
    </w:div>
    <w:div w:id="888881616">
      <w:bodyDiv w:val="1"/>
      <w:marLeft w:val="0"/>
      <w:marRight w:val="0"/>
      <w:marTop w:val="0"/>
      <w:marBottom w:val="0"/>
      <w:divBdr>
        <w:top w:val="none" w:sz="0" w:space="0" w:color="auto"/>
        <w:left w:val="none" w:sz="0" w:space="0" w:color="auto"/>
        <w:bottom w:val="none" w:sz="0" w:space="0" w:color="auto"/>
        <w:right w:val="none" w:sz="0" w:space="0" w:color="auto"/>
      </w:divBdr>
    </w:div>
    <w:div w:id="898174244">
      <w:bodyDiv w:val="1"/>
      <w:marLeft w:val="0"/>
      <w:marRight w:val="0"/>
      <w:marTop w:val="0"/>
      <w:marBottom w:val="0"/>
      <w:divBdr>
        <w:top w:val="none" w:sz="0" w:space="0" w:color="auto"/>
        <w:left w:val="none" w:sz="0" w:space="0" w:color="auto"/>
        <w:bottom w:val="none" w:sz="0" w:space="0" w:color="auto"/>
        <w:right w:val="none" w:sz="0" w:space="0" w:color="auto"/>
      </w:divBdr>
      <w:divsChild>
        <w:div w:id="458033643">
          <w:marLeft w:val="547"/>
          <w:marRight w:val="0"/>
          <w:marTop w:val="115"/>
          <w:marBottom w:val="0"/>
          <w:divBdr>
            <w:top w:val="none" w:sz="0" w:space="0" w:color="auto"/>
            <w:left w:val="none" w:sz="0" w:space="0" w:color="auto"/>
            <w:bottom w:val="none" w:sz="0" w:space="0" w:color="auto"/>
            <w:right w:val="none" w:sz="0" w:space="0" w:color="auto"/>
          </w:divBdr>
        </w:div>
        <w:div w:id="526990051">
          <w:marLeft w:val="547"/>
          <w:marRight w:val="0"/>
          <w:marTop w:val="115"/>
          <w:marBottom w:val="0"/>
          <w:divBdr>
            <w:top w:val="none" w:sz="0" w:space="0" w:color="auto"/>
            <w:left w:val="none" w:sz="0" w:space="0" w:color="auto"/>
            <w:bottom w:val="none" w:sz="0" w:space="0" w:color="auto"/>
            <w:right w:val="none" w:sz="0" w:space="0" w:color="auto"/>
          </w:divBdr>
        </w:div>
      </w:divsChild>
    </w:div>
    <w:div w:id="903099100">
      <w:bodyDiv w:val="1"/>
      <w:marLeft w:val="0"/>
      <w:marRight w:val="0"/>
      <w:marTop w:val="0"/>
      <w:marBottom w:val="0"/>
      <w:divBdr>
        <w:top w:val="none" w:sz="0" w:space="0" w:color="auto"/>
        <w:left w:val="none" w:sz="0" w:space="0" w:color="auto"/>
        <w:bottom w:val="none" w:sz="0" w:space="0" w:color="auto"/>
        <w:right w:val="none" w:sz="0" w:space="0" w:color="auto"/>
      </w:divBdr>
    </w:div>
    <w:div w:id="905072973">
      <w:bodyDiv w:val="1"/>
      <w:marLeft w:val="0"/>
      <w:marRight w:val="0"/>
      <w:marTop w:val="0"/>
      <w:marBottom w:val="0"/>
      <w:divBdr>
        <w:top w:val="none" w:sz="0" w:space="0" w:color="auto"/>
        <w:left w:val="none" w:sz="0" w:space="0" w:color="auto"/>
        <w:bottom w:val="none" w:sz="0" w:space="0" w:color="auto"/>
        <w:right w:val="none" w:sz="0" w:space="0" w:color="auto"/>
      </w:divBdr>
    </w:div>
    <w:div w:id="906959660">
      <w:bodyDiv w:val="1"/>
      <w:marLeft w:val="0"/>
      <w:marRight w:val="0"/>
      <w:marTop w:val="0"/>
      <w:marBottom w:val="0"/>
      <w:divBdr>
        <w:top w:val="none" w:sz="0" w:space="0" w:color="auto"/>
        <w:left w:val="none" w:sz="0" w:space="0" w:color="auto"/>
        <w:bottom w:val="none" w:sz="0" w:space="0" w:color="auto"/>
        <w:right w:val="none" w:sz="0" w:space="0" w:color="auto"/>
      </w:divBdr>
      <w:divsChild>
        <w:div w:id="27874208">
          <w:marLeft w:val="547"/>
          <w:marRight w:val="0"/>
          <w:marTop w:val="120"/>
          <w:marBottom w:val="0"/>
          <w:divBdr>
            <w:top w:val="none" w:sz="0" w:space="0" w:color="auto"/>
            <w:left w:val="none" w:sz="0" w:space="0" w:color="auto"/>
            <w:bottom w:val="none" w:sz="0" w:space="0" w:color="auto"/>
            <w:right w:val="none" w:sz="0" w:space="0" w:color="auto"/>
          </w:divBdr>
        </w:div>
      </w:divsChild>
    </w:div>
    <w:div w:id="920137919">
      <w:bodyDiv w:val="1"/>
      <w:marLeft w:val="0"/>
      <w:marRight w:val="0"/>
      <w:marTop w:val="0"/>
      <w:marBottom w:val="0"/>
      <w:divBdr>
        <w:top w:val="none" w:sz="0" w:space="0" w:color="auto"/>
        <w:left w:val="none" w:sz="0" w:space="0" w:color="auto"/>
        <w:bottom w:val="none" w:sz="0" w:space="0" w:color="auto"/>
        <w:right w:val="none" w:sz="0" w:space="0" w:color="auto"/>
      </w:divBdr>
      <w:divsChild>
        <w:div w:id="271517214">
          <w:marLeft w:val="547"/>
          <w:marRight w:val="0"/>
          <w:marTop w:val="154"/>
          <w:marBottom w:val="0"/>
          <w:divBdr>
            <w:top w:val="none" w:sz="0" w:space="0" w:color="auto"/>
            <w:left w:val="none" w:sz="0" w:space="0" w:color="auto"/>
            <w:bottom w:val="none" w:sz="0" w:space="0" w:color="auto"/>
            <w:right w:val="none" w:sz="0" w:space="0" w:color="auto"/>
          </w:divBdr>
        </w:div>
      </w:divsChild>
    </w:div>
    <w:div w:id="929198091">
      <w:bodyDiv w:val="1"/>
      <w:marLeft w:val="0"/>
      <w:marRight w:val="0"/>
      <w:marTop w:val="0"/>
      <w:marBottom w:val="0"/>
      <w:divBdr>
        <w:top w:val="none" w:sz="0" w:space="0" w:color="auto"/>
        <w:left w:val="none" w:sz="0" w:space="0" w:color="auto"/>
        <w:bottom w:val="none" w:sz="0" w:space="0" w:color="auto"/>
        <w:right w:val="none" w:sz="0" w:space="0" w:color="auto"/>
      </w:divBdr>
    </w:div>
    <w:div w:id="939332259">
      <w:bodyDiv w:val="1"/>
      <w:marLeft w:val="0"/>
      <w:marRight w:val="0"/>
      <w:marTop w:val="0"/>
      <w:marBottom w:val="0"/>
      <w:divBdr>
        <w:top w:val="none" w:sz="0" w:space="0" w:color="auto"/>
        <w:left w:val="none" w:sz="0" w:space="0" w:color="auto"/>
        <w:bottom w:val="none" w:sz="0" w:space="0" w:color="auto"/>
        <w:right w:val="none" w:sz="0" w:space="0" w:color="auto"/>
      </w:divBdr>
      <w:divsChild>
        <w:div w:id="1607425103">
          <w:marLeft w:val="547"/>
          <w:marRight w:val="0"/>
          <w:marTop w:val="0"/>
          <w:marBottom w:val="0"/>
          <w:divBdr>
            <w:top w:val="none" w:sz="0" w:space="0" w:color="auto"/>
            <w:left w:val="none" w:sz="0" w:space="0" w:color="auto"/>
            <w:bottom w:val="none" w:sz="0" w:space="0" w:color="auto"/>
            <w:right w:val="none" w:sz="0" w:space="0" w:color="auto"/>
          </w:divBdr>
        </w:div>
        <w:div w:id="562300369">
          <w:marLeft w:val="547"/>
          <w:marRight w:val="0"/>
          <w:marTop w:val="120"/>
          <w:marBottom w:val="0"/>
          <w:divBdr>
            <w:top w:val="none" w:sz="0" w:space="0" w:color="auto"/>
            <w:left w:val="none" w:sz="0" w:space="0" w:color="auto"/>
            <w:bottom w:val="none" w:sz="0" w:space="0" w:color="auto"/>
            <w:right w:val="none" w:sz="0" w:space="0" w:color="auto"/>
          </w:divBdr>
        </w:div>
        <w:div w:id="1483279382">
          <w:marLeft w:val="547"/>
          <w:marRight w:val="0"/>
          <w:marTop w:val="134"/>
          <w:marBottom w:val="0"/>
          <w:divBdr>
            <w:top w:val="none" w:sz="0" w:space="0" w:color="auto"/>
            <w:left w:val="none" w:sz="0" w:space="0" w:color="auto"/>
            <w:bottom w:val="none" w:sz="0" w:space="0" w:color="auto"/>
            <w:right w:val="none" w:sz="0" w:space="0" w:color="auto"/>
          </w:divBdr>
        </w:div>
        <w:div w:id="2060543645">
          <w:marLeft w:val="547"/>
          <w:marRight w:val="0"/>
          <w:marTop w:val="134"/>
          <w:marBottom w:val="0"/>
          <w:divBdr>
            <w:top w:val="none" w:sz="0" w:space="0" w:color="auto"/>
            <w:left w:val="none" w:sz="0" w:space="0" w:color="auto"/>
            <w:bottom w:val="none" w:sz="0" w:space="0" w:color="auto"/>
            <w:right w:val="none" w:sz="0" w:space="0" w:color="auto"/>
          </w:divBdr>
        </w:div>
        <w:div w:id="483862398">
          <w:marLeft w:val="547"/>
          <w:marRight w:val="0"/>
          <w:marTop w:val="134"/>
          <w:marBottom w:val="0"/>
          <w:divBdr>
            <w:top w:val="none" w:sz="0" w:space="0" w:color="auto"/>
            <w:left w:val="none" w:sz="0" w:space="0" w:color="auto"/>
            <w:bottom w:val="none" w:sz="0" w:space="0" w:color="auto"/>
            <w:right w:val="none" w:sz="0" w:space="0" w:color="auto"/>
          </w:divBdr>
        </w:div>
        <w:div w:id="1409688410">
          <w:marLeft w:val="547"/>
          <w:marRight w:val="0"/>
          <w:marTop w:val="134"/>
          <w:marBottom w:val="0"/>
          <w:divBdr>
            <w:top w:val="none" w:sz="0" w:space="0" w:color="auto"/>
            <w:left w:val="none" w:sz="0" w:space="0" w:color="auto"/>
            <w:bottom w:val="none" w:sz="0" w:space="0" w:color="auto"/>
            <w:right w:val="none" w:sz="0" w:space="0" w:color="auto"/>
          </w:divBdr>
        </w:div>
      </w:divsChild>
    </w:div>
    <w:div w:id="939682001">
      <w:bodyDiv w:val="1"/>
      <w:marLeft w:val="0"/>
      <w:marRight w:val="0"/>
      <w:marTop w:val="0"/>
      <w:marBottom w:val="0"/>
      <w:divBdr>
        <w:top w:val="none" w:sz="0" w:space="0" w:color="auto"/>
        <w:left w:val="none" w:sz="0" w:space="0" w:color="auto"/>
        <w:bottom w:val="none" w:sz="0" w:space="0" w:color="auto"/>
        <w:right w:val="none" w:sz="0" w:space="0" w:color="auto"/>
      </w:divBdr>
    </w:div>
    <w:div w:id="958803483">
      <w:bodyDiv w:val="1"/>
      <w:marLeft w:val="0"/>
      <w:marRight w:val="0"/>
      <w:marTop w:val="0"/>
      <w:marBottom w:val="0"/>
      <w:divBdr>
        <w:top w:val="none" w:sz="0" w:space="0" w:color="auto"/>
        <w:left w:val="none" w:sz="0" w:space="0" w:color="auto"/>
        <w:bottom w:val="none" w:sz="0" w:space="0" w:color="auto"/>
        <w:right w:val="none" w:sz="0" w:space="0" w:color="auto"/>
      </w:divBdr>
      <w:divsChild>
        <w:div w:id="1696732019">
          <w:marLeft w:val="547"/>
          <w:marRight w:val="0"/>
          <w:marTop w:val="0"/>
          <w:marBottom w:val="0"/>
          <w:divBdr>
            <w:top w:val="none" w:sz="0" w:space="0" w:color="auto"/>
            <w:left w:val="none" w:sz="0" w:space="0" w:color="auto"/>
            <w:bottom w:val="none" w:sz="0" w:space="0" w:color="auto"/>
            <w:right w:val="none" w:sz="0" w:space="0" w:color="auto"/>
          </w:divBdr>
        </w:div>
        <w:div w:id="562762888">
          <w:marLeft w:val="547"/>
          <w:marRight w:val="0"/>
          <w:marTop w:val="0"/>
          <w:marBottom w:val="0"/>
          <w:divBdr>
            <w:top w:val="none" w:sz="0" w:space="0" w:color="auto"/>
            <w:left w:val="none" w:sz="0" w:space="0" w:color="auto"/>
            <w:bottom w:val="none" w:sz="0" w:space="0" w:color="auto"/>
            <w:right w:val="none" w:sz="0" w:space="0" w:color="auto"/>
          </w:divBdr>
        </w:div>
      </w:divsChild>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992025398">
      <w:bodyDiv w:val="1"/>
      <w:marLeft w:val="0"/>
      <w:marRight w:val="0"/>
      <w:marTop w:val="0"/>
      <w:marBottom w:val="0"/>
      <w:divBdr>
        <w:top w:val="none" w:sz="0" w:space="0" w:color="auto"/>
        <w:left w:val="none" w:sz="0" w:space="0" w:color="auto"/>
        <w:bottom w:val="none" w:sz="0" w:space="0" w:color="auto"/>
        <w:right w:val="none" w:sz="0" w:space="0" w:color="auto"/>
      </w:divBdr>
    </w:div>
    <w:div w:id="1004473037">
      <w:bodyDiv w:val="1"/>
      <w:marLeft w:val="0"/>
      <w:marRight w:val="0"/>
      <w:marTop w:val="0"/>
      <w:marBottom w:val="0"/>
      <w:divBdr>
        <w:top w:val="none" w:sz="0" w:space="0" w:color="auto"/>
        <w:left w:val="none" w:sz="0" w:space="0" w:color="auto"/>
        <w:bottom w:val="none" w:sz="0" w:space="0" w:color="auto"/>
        <w:right w:val="none" w:sz="0" w:space="0" w:color="auto"/>
      </w:divBdr>
    </w:div>
    <w:div w:id="1007557587">
      <w:bodyDiv w:val="1"/>
      <w:marLeft w:val="0"/>
      <w:marRight w:val="0"/>
      <w:marTop w:val="0"/>
      <w:marBottom w:val="0"/>
      <w:divBdr>
        <w:top w:val="none" w:sz="0" w:space="0" w:color="auto"/>
        <w:left w:val="none" w:sz="0" w:space="0" w:color="auto"/>
        <w:bottom w:val="none" w:sz="0" w:space="0" w:color="auto"/>
        <w:right w:val="none" w:sz="0" w:space="0" w:color="auto"/>
      </w:divBdr>
      <w:divsChild>
        <w:div w:id="1800370529">
          <w:marLeft w:val="547"/>
          <w:marRight w:val="0"/>
          <w:marTop w:val="115"/>
          <w:marBottom w:val="0"/>
          <w:divBdr>
            <w:top w:val="none" w:sz="0" w:space="0" w:color="auto"/>
            <w:left w:val="none" w:sz="0" w:space="0" w:color="auto"/>
            <w:bottom w:val="none" w:sz="0" w:space="0" w:color="auto"/>
            <w:right w:val="none" w:sz="0" w:space="0" w:color="auto"/>
          </w:divBdr>
        </w:div>
      </w:divsChild>
    </w:div>
    <w:div w:id="1014457982">
      <w:bodyDiv w:val="1"/>
      <w:marLeft w:val="0"/>
      <w:marRight w:val="0"/>
      <w:marTop w:val="0"/>
      <w:marBottom w:val="0"/>
      <w:divBdr>
        <w:top w:val="none" w:sz="0" w:space="0" w:color="auto"/>
        <w:left w:val="none" w:sz="0" w:space="0" w:color="auto"/>
        <w:bottom w:val="none" w:sz="0" w:space="0" w:color="auto"/>
        <w:right w:val="none" w:sz="0" w:space="0" w:color="auto"/>
      </w:divBdr>
    </w:div>
    <w:div w:id="1016730532">
      <w:bodyDiv w:val="1"/>
      <w:marLeft w:val="0"/>
      <w:marRight w:val="0"/>
      <w:marTop w:val="0"/>
      <w:marBottom w:val="0"/>
      <w:divBdr>
        <w:top w:val="none" w:sz="0" w:space="0" w:color="auto"/>
        <w:left w:val="none" w:sz="0" w:space="0" w:color="auto"/>
        <w:bottom w:val="none" w:sz="0" w:space="0" w:color="auto"/>
        <w:right w:val="none" w:sz="0" w:space="0" w:color="auto"/>
      </w:divBdr>
      <w:divsChild>
        <w:div w:id="1745179290">
          <w:marLeft w:val="547"/>
          <w:marRight w:val="0"/>
          <w:marTop w:val="134"/>
          <w:marBottom w:val="0"/>
          <w:divBdr>
            <w:top w:val="none" w:sz="0" w:space="0" w:color="auto"/>
            <w:left w:val="none" w:sz="0" w:space="0" w:color="auto"/>
            <w:bottom w:val="none" w:sz="0" w:space="0" w:color="auto"/>
            <w:right w:val="none" w:sz="0" w:space="0" w:color="auto"/>
          </w:divBdr>
        </w:div>
        <w:div w:id="395587439">
          <w:marLeft w:val="547"/>
          <w:marRight w:val="0"/>
          <w:marTop w:val="0"/>
          <w:marBottom w:val="0"/>
          <w:divBdr>
            <w:top w:val="none" w:sz="0" w:space="0" w:color="auto"/>
            <w:left w:val="none" w:sz="0" w:space="0" w:color="auto"/>
            <w:bottom w:val="none" w:sz="0" w:space="0" w:color="auto"/>
            <w:right w:val="none" w:sz="0" w:space="0" w:color="auto"/>
          </w:divBdr>
        </w:div>
      </w:divsChild>
    </w:div>
    <w:div w:id="1024328336">
      <w:bodyDiv w:val="1"/>
      <w:marLeft w:val="0"/>
      <w:marRight w:val="0"/>
      <w:marTop w:val="0"/>
      <w:marBottom w:val="0"/>
      <w:divBdr>
        <w:top w:val="none" w:sz="0" w:space="0" w:color="auto"/>
        <w:left w:val="none" w:sz="0" w:space="0" w:color="auto"/>
        <w:bottom w:val="none" w:sz="0" w:space="0" w:color="auto"/>
        <w:right w:val="none" w:sz="0" w:space="0" w:color="auto"/>
      </w:divBdr>
    </w:div>
    <w:div w:id="1028486147">
      <w:bodyDiv w:val="1"/>
      <w:marLeft w:val="0"/>
      <w:marRight w:val="0"/>
      <w:marTop w:val="0"/>
      <w:marBottom w:val="0"/>
      <w:divBdr>
        <w:top w:val="none" w:sz="0" w:space="0" w:color="auto"/>
        <w:left w:val="none" w:sz="0" w:space="0" w:color="auto"/>
        <w:bottom w:val="none" w:sz="0" w:space="0" w:color="auto"/>
        <w:right w:val="none" w:sz="0" w:space="0" w:color="auto"/>
      </w:divBdr>
    </w:div>
    <w:div w:id="1038702146">
      <w:bodyDiv w:val="1"/>
      <w:marLeft w:val="0"/>
      <w:marRight w:val="0"/>
      <w:marTop w:val="0"/>
      <w:marBottom w:val="0"/>
      <w:divBdr>
        <w:top w:val="none" w:sz="0" w:space="0" w:color="auto"/>
        <w:left w:val="none" w:sz="0" w:space="0" w:color="auto"/>
        <w:bottom w:val="none" w:sz="0" w:space="0" w:color="auto"/>
        <w:right w:val="none" w:sz="0" w:space="0" w:color="auto"/>
      </w:divBdr>
      <w:divsChild>
        <w:div w:id="177961727">
          <w:marLeft w:val="547"/>
          <w:marRight w:val="0"/>
          <w:marTop w:val="0"/>
          <w:marBottom w:val="0"/>
          <w:divBdr>
            <w:top w:val="none" w:sz="0" w:space="0" w:color="auto"/>
            <w:left w:val="none" w:sz="0" w:space="0" w:color="auto"/>
            <w:bottom w:val="none" w:sz="0" w:space="0" w:color="auto"/>
            <w:right w:val="none" w:sz="0" w:space="0" w:color="auto"/>
          </w:divBdr>
        </w:div>
      </w:divsChild>
    </w:div>
    <w:div w:id="1122264076">
      <w:bodyDiv w:val="1"/>
      <w:marLeft w:val="0"/>
      <w:marRight w:val="0"/>
      <w:marTop w:val="0"/>
      <w:marBottom w:val="0"/>
      <w:divBdr>
        <w:top w:val="none" w:sz="0" w:space="0" w:color="auto"/>
        <w:left w:val="none" w:sz="0" w:space="0" w:color="auto"/>
        <w:bottom w:val="none" w:sz="0" w:space="0" w:color="auto"/>
        <w:right w:val="none" w:sz="0" w:space="0" w:color="auto"/>
      </w:divBdr>
    </w:div>
    <w:div w:id="1124272027">
      <w:bodyDiv w:val="1"/>
      <w:marLeft w:val="0"/>
      <w:marRight w:val="0"/>
      <w:marTop w:val="0"/>
      <w:marBottom w:val="0"/>
      <w:divBdr>
        <w:top w:val="none" w:sz="0" w:space="0" w:color="auto"/>
        <w:left w:val="none" w:sz="0" w:space="0" w:color="auto"/>
        <w:bottom w:val="none" w:sz="0" w:space="0" w:color="auto"/>
        <w:right w:val="none" w:sz="0" w:space="0" w:color="auto"/>
      </w:divBdr>
      <w:divsChild>
        <w:div w:id="366149724">
          <w:marLeft w:val="547"/>
          <w:marRight w:val="0"/>
          <w:marTop w:val="0"/>
          <w:marBottom w:val="0"/>
          <w:divBdr>
            <w:top w:val="none" w:sz="0" w:space="0" w:color="auto"/>
            <w:left w:val="none" w:sz="0" w:space="0" w:color="auto"/>
            <w:bottom w:val="none" w:sz="0" w:space="0" w:color="auto"/>
            <w:right w:val="none" w:sz="0" w:space="0" w:color="auto"/>
          </w:divBdr>
        </w:div>
      </w:divsChild>
    </w:div>
    <w:div w:id="1125778422">
      <w:bodyDiv w:val="1"/>
      <w:marLeft w:val="0"/>
      <w:marRight w:val="0"/>
      <w:marTop w:val="0"/>
      <w:marBottom w:val="0"/>
      <w:divBdr>
        <w:top w:val="none" w:sz="0" w:space="0" w:color="auto"/>
        <w:left w:val="none" w:sz="0" w:space="0" w:color="auto"/>
        <w:bottom w:val="none" w:sz="0" w:space="0" w:color="auto"/>
        <w:right w:val="none" w:sz="0" w:space="0" w:color="auto"/>
      </w:divBdr>
    </w:div>
    <w:div w:id="1133055974">
      <w:bodyDiv w:val="1"/>
      <w:marLeft w:val="0"/>
      <w:marRight w:val="0"/>
      <w:marTop w:val="0"/>
      <w:marBottom w:val="0"/>
      <w:divBdr>
        <w:top w:val="none" w:sz="0" w:space="0" w:color="auto"/>
        <w:left w:val="none" w:sz="0" w:space="0" w:color="auto"/>
        <w:bottom w:val="none" w:sz="0" w:space="0" w:color="auto"/>
        <w:right w:val="none" w:sz="0" w:space="0" w:color="auto"/>
      </w:divBdr>
    </w:div>
    <w:div w:id="1165441645">
      <w:bodyDiv w:val="1"/>
      <w:marLeft w:val="0"/>
      <w:marRight w:val="0"/>
      <w:marTop w:val="0"/>
      <w:marBottom w:val="0"/>
      <w:divBdr>
        <w:top w:val="none" w:sz="0" w:space="0" w:color="auto"/>
        <w:left w:val="none" w:sz="0" w:space="0" w:color="auto"/>
        <w:bottom w:val="none" w:sz="0" w:space="0" w:color="auto"/>
        <w:right w:val="none" w:sz="0" w:space="0" w:color="auto"/>
      </w:divBdr>
    </w:div>
    <w:div w:id="1166821527">
      <w:bodyDiv w:val="1"/>
      <w:marLeft w:val="0"/>
      <w:marRight w:val="0"/>
      <w:marTop w:val="0"/>
      <w:marBottom w:val="0"/>
      <w:divBdr>
        <w:top w:val="none" w:sz="0" w:space="0" w:color="auto"/>
        <w:left w:val="none" w:sz="0" w:space="0" w:color="auto"/>
        <w:bottom w:val="none" w:sz="0" w:space="0" w:color="auto"/>
        <w:right w:val="none" w:sz="0" w:space="0" w:color="auto"/>
      </w:divBdr>
      <w:divsChild>
        <w:div w:id="2117477143">
          <w:marLeft w:val="547"/>
          <w:marRight w:val="0"/>
          <w:marTop w:val="0"/>
          <w:marBottom w:val="0"/>
          <w:divBdr>
            <w:top w:val="none" w:sz="0" w:space="0" w:color="auto"/>
            <w:left w:val="none" w:sz="0" w:space="0" w:color="auto"/>
            <w:bottom w:val="none" w:sz="0" w:space="0" w:color="auto"/>
            <w:right w:val="none" w:sz="0" w:space="0" w:color="auto"/>
          </w:divBdr>
        </w:div>
      </w:divsChild>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207982806">
      <w:bodyDiv w:val="1"/>
      <w:marLeft w:val="0"/>
      <w:marRight w:val="0"/>
      <w:marTop w:val="0"/>
      <w:marBottom w:val="0"/>
      <w:divBdr>
        <w:top w:val="none" w:sz="0" w:space="0" w:color="auto"/>
        <w:left w:val="none" w:sz="0" w:space="0" w:color="auto"/>
        <w:bottom w:val="none" w:sz="0" w:space="0" w:color="auto"/>
        <w:right w:val="none" w:sz="0" w:space="0" w:color="auto"/>
      </w:divBdr>
      <w:divsChild>
        <w:div w:id="1215123253">
          <w:marLeft w:val="547"/>
          <w:marRight w:val="0"/>
          <w:marTop w:val="173"/>
          <w:marBottom w:val="0"/>
          <w:divBdr>
            <w:top w:val="none" w:sz="0" w:space="0" w:color="auto"/>
            <w:left w:val="none" w:sz="0" w:space="0" w:color="auto"/>
            <w:bottom w:val="none" w:sz="0" w:space="0" w:color="auto"/>
            <w:right w:val="none" w:sz="0" w:space="0" w:color="auto"/>
          </w:divBdr>
        </w:div>
      </w:divsChild>
    </w:div>
    <w:div w:id="1213999369">
      <w:bodyDiv w:val="1"/>
      <w:marLeft w:val="0"/>
      <w:marRight w:val="0"/>
      <w:marTop w:val="0"/>
      <w:marBottom w:val="0"/>
      <w:divBdr>
        <w:top w:val="none" w:sz="0" w:space="0" w:color="auto"/>
        <w:left w:val="none" w:sz="0" w:space="0" w:color="auto"/>
        <w:bottom w:val="none" w:sz="0" w:space="0" w:color="auto"/>
        <w:right w:val="none" w:sz="0" w:space="0" w:color="auto"/>
      </w:divBdr>
      <w:divsChild>
        <w:div w:id="952857657">
          <w:marLeft w:val="547"/>
          <w:marRight w:val="0"/>
          <w:marTop w:val="134"/>
          <w:marBottom w:val="0"/>
          <w:divBdr>
            <w:top w:val="none" w:sz="0" w:space="0" w:color="auto"/>
            <w:left w:val="none" w:sz="0" w:space="0" w:color="auto"/>
            <w:bottom w:val="none" w:sz="0" w:space="0" w:color="auto"/>
            <w:right w:val="none" w:sz="0" w:space="0" w:color="auto"/>
          </w:divBdr>
        </w:div>
        <w:div w:id="1368022658">
          <w:marLeft w:val="547"/>
          <w:marRight w:val="0"/>
          <w:marTop w:val="134"/>
          <w:marBottom w:val="0"/>
          <w:divBdr>
            <w:top w:val="none" w:sz="0" w:space="0" w:color="auto"/>
            <w:left w:val="none" w:sz="0" w:space="0" w:color="auto"/>
            <w:bottom w:val="none" w:sz="0" w:space="0" w:color="auto"/>
            <w:right w:val="none" w:sz="0" w:space="0" w:color="auto"/>
          </w:divBdr>
        </w:div>
      </w:divsChild>
    </w:div>
    <w:div w:id="1237131644">
      <w:bodyDiv w:val="1"/>
      <w:marLeft w:val="0"/>
      <w:marRight w:val="0"/>
      <w:marTop w:val="0"/>
      <w:marBottom w:val="0"/>
      <w:divBdr>
        <w:top w:val="none" w:sz="0" w:space="0" w:color="auto"/>
        <w:left w:val="none" w:sz="0" w:space="0" w:color="auto"/>
        <w:bottom w:val="none" w:sz="0" w:space="0" w:color="auto"/>
        <w:right w:val="none" w:sz="0" w:space="0" w:color="auto"/>
      </w:divBdr>
      <w:divsChild>
        <w:div w:id="2126924827">
          <w:marLeft w:val="547"/>
          <w:marRight w:val="0"/>
          <w:marTop w:val="0"/>
          <w:marBottom w:val="0"/>
          <w:divBdr>
            <w:top w:val="none" w:sz="0" w:space="0" w:color="auto"/>
            <w:left w:val="none" w:sz="0" w:space="0" w:color="auto"/>
            <w:bottom w:val="none" w:sz="0" w:space="0" w:color="auto"/>
            <w:right w:val="none" w:sz="0" w:space="0" w:color="auto"/>
          </w:divBdr>
        </w:div>
      </w:divsChild>
    </w:div>
    <w:div w:id="1245535612">
      <w:bodyDiv w:val="1"/>
      <w:marLeft w:val="0"/>
      <w:marRight w:val="0"/>
      <w:marTop w:val="0"/>
      <w:marBottom w:val="0"/>
      <w:divBdr>
        <w:top w:val="none" w:sz="0" w:space="0" w:color="auto"/>
        <w:left w:val="none" w:sz="0" w:space="0" w:color="auto"/>
        <w:bottom w:val="none" w:sz="0" w:space="0" w:color="auto"/>
        <w:right w:val="none" w:sz="0" w:space="0" w:color="auto"/>
      </w:divBdr>
      <w:divsChild>
        <w:div w:id="1232617952">
          <w:marLeft w:val="547"/>
          <w:marRight w:val="0"/>
          <w:marTop w:val="0"/>
          <w:marBottom w:val="0"/>
          <w:divBdr>
            <w:top w:val="none" w:sz="0" w:space="0" w:color="auto"/>
            <w:left w:val="none" w:sz="0" w:space="0" w:color="auto"/>
            <w:bottom w:val="none" w:sz="0" w:space="0" w:color="auto"/>
            <w:right w:val="none" w:sz="0" w:space="0" w:color="auto"/>
          </w:divBdr>
        </w:div>
        <w:div w:id="1238175340">
          <w:marLeft w:val="547"/>
          <w:marRight w:val="0"/>
          <w:marTop w:val="0"/>
          <w:marBottom w:val="0"/>
          <w:divBdr>
            <w:top w:val="none" w:sz="0" w:space="0" w:color="auto"/>
            <w:left w:val="none" w:sz="0" w:space="0" w:color="auto"/>
            <w:bottom w:val="none" w:sz="0" w:space="0" w:color="auto"/>
            <w:right w:val="none" w:sz="0" w:space="0" w:color="auto"/>
          </w:divBdr>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072660157">
          <w:marLeft w:val="547"/>
          <w:marRight w:val="0"/>
          <w:marTop w:val="134"/>
          <w:marBottom w:val="0"/>
          <w:divBdr>
            <w:top w:val="none" w:sz="0" w:space="0" w:color="auto"/>
            <w:left w:val="none" w:sz="0" w:space="0" w:color="auto"/>
            <w:bottom w:val="none" w:sz="0" w:space="0" w:color="auto"/>
            <w:right w:val="none" w:sz="0" w:space="0" w:color="auto"/>
          </w:divBdr>
        </w:div>
      </w:divsChild>
    </w:div>
    <w:div w:id="1249537673">
      <w:bodyDiv w:val="1"/>
      <w:marLeft w:val="0"/>
      <w:marRight w:val="0"/>
      <w:marTop w:val="0"/>
      <w:marBottom w:val="0"/>
      <w:divBdr>
        <w:top w:val="none" w:sz="0" w:space="0" w:color="auto"/>
        <w:left w:val="none" w:sz="0" w:space="0" w:color="auto"/>
        <w:bottom w:val="none" w:sz="0" w:space="0" w:color="auto"/>
        <w:right w:val="none" w:sz="0" w:space="0" w:color="auto"/>
      </w:divBdr>
    </w:div>
    <w:div w:id="1261446958">
      <w:bodyDiv w:val="1"/>
      <w:marLeft w:val="0"/>
      <w:marRight w:val="0"/>
      <w:marTop w:val="0"/>
      <w:marBottom w:val="0"/>
      <w:divBdr>
        <w:top w:val="none" w:sz="0" w:space="0" w:color="auto"/>
        <w:left w:val="none" w:sz="0" w:space="0" w:color="auto"/>
        <w:bottom w:val="none" w:sz="0" w:space="0" w:color="auto"/>
        <w:right w:val="none" w:sz="0" w:space="0" w:color="auto"/>
      </w:divBdr>
      <w:divsChild>
        <w:div w:id="1171410518">
          <w:marLeft w:val="547"/>
          <w:marRight w:val="0"/>
          <w:marTop w:val="115"/>
          <w:marBottom w:val="0"/>
          <w:divBdr>
            <w:top w:val="none" w:sz="0" w:space="0" w:color="auto"/>
            <w:left w:val="none" w:sz="0" w:space="0" w:color="auto"/>
            <w:bottom w:val="none" w:sz="0" w:space="0" w:color="auto"/>
            <w:right w:val="none" w:sz="0" w:space="0" w:color="auto"/>
          </w:divBdr>
        </w:div>
      </w:divsChild>
    </w:div>
    <w:div w:id="1264803934">
      <w:bodyDiv w:val="1"/>
      <w:marLeft w:val="0"/>
      <w:marRight w:val="0"/>
      <w:marTop w:val="0"/>
      <w:marBottom w:val="0"/>
      <w:divBdr>
        <w:top w:val="none" w:sz="0" w:space="0" w:color="auto"/>
        <w:left w:val="none" w:sz="0" w:space="0" w:color="auto"/>
        <w:bottom w:val="none" w:sz="0" w:space="0" w:color="auto"/>
        <w:right w:val="none" w:sz="0" w:space="0" w:color="auto"/>
      </w:divBdr>
      <w:divsChild>
        <w:div w:id="424423279">
          <w:marLeft w:val="547"/>
          <w:marRight w:val="0"/>
          <w:marTop w:val="139"/>
          <w:marBottom w:val="0"/>
          <w:divBdr>
            <w:top w:val="none" w:sz="0" w:space="0" w:color="auto"/>
            <w:left w:val="none" w:sz="0" w:space="0" w:color="auto"/>
            <w:bottom w:val="none" w:sz="0" w:space="0" w:color="auto"/>
            <w:right w:val="none" w:sz="0" w:space="0" w:color="auto"/>
          </w:divBdr>
        </w:div>
      </w:divsChild>
    </w:div>
    <w:div w:id="1267808041">
      <w:bodyDiv w:val="1"/>
      <w:marLeft w:val="0"/>
      <w:marRight w:val="0"/>
      <w:marTop w:val="0"/>
      <w:marBottom w:val="0"/>
      <w:divBdr>
        <w:top w:val="none" w:sz="0" w:space="0" w:color="auto"/>
        <w:left w:val="none" w:sz="0" w:space="0" w:color="auto"/>
        <w:bottom w:val="none" w:sz="0" w:space="0" w:color="auto"/>
        <w:right w:val="none" w:sz="0" w:space="0" w:color="auto"/>
      </w:divBdr>
      <w:divsChild>
        <w:div w:id="172384074">
          <w:marLeft w:val="547"/>
          <w:marRight w:val="0"/>
          <w:marTop w:val="134"/>
          <w:marBottom w:val="0"/>
          <w:divBdr>
            <w:top w:val="none" w:sz="0" w:space="0" w:color="auto"/>
            <w:left w:val="none" w:sz="0" w:space="0" w:color="auto"/>
            <w:bottom w:val="none" w:sz="0" w:space="0" w:color="auto"/>
            <w:right w:val="none" w:sz="0" w:space="0" w:color="auto"/>
          </w:divBdr>
        </w:div>
        <w:div w:id="1857227002">
          <w:marLeft w:val="547"/>
          <w:marRight w:val="0"/>
          <w:marTop w:val="134"/>
          <w:marBottom w:val="0"/>
          <w:divBdr>
            <w:top w:val="none" w:sz="0" w:space="0" w:color="auto"/>
            <w:left w:val="none" w:sz="0" w:space="0" w:color="auto"/>
            <w:bottom w:val="none" w:sz="0" w:space="0" w:color="auto"/>
            <w:right w:val="none" w:sz="0" w:space="0" w:color="auto"/>
          </w:divBdr>
        </w:div>
        <w:div w:id="278998640">
          <w:marLeft w:val="547"/>
          <w:marRight w:val="0"/>
          <w:marTop w:val="134"/>
          <w:marBottom w:val="0"/>
          <w:divBdr>
            <w:top w:val="none" w:sz="0" w:space="0" w:color="auto"/>
            <w:left w:val="none" w:sz="0" w:space="0" w:color="auto"/>
            <w:bottom w:val="none" w:sz="0" w:space="0" w:color="auto"/>
            <w:right w:val="none" w:sz="0" w:space="0" w:color="auto"/>
          </w:divBdr>
        </w:div>
        <w:div w:id="311715968">
          <w:marLeft w:val="547"/>
          <w:marRight w:val="0"/>
          <w:marTop w:val="134"/>
          <w:marBottom w:val="0"/>
          <w:divBdr>
            <w:top w:val="none" w:sz="0" w:space="0" w:color="auto"/>
            <w:left w:val="none" w:sz="0" w:space="0" w:color="auto"/>
            <w:bottom w:val="none" w:sz="0" w:space="0" w:color="auto"/>
            <w:right w:val="none" w:sz="0" w:space="0" w:color="auto"/>
          </w:divBdr>
        </w:div>
        <w:div w:id="1265529318">
          <w:marLeft w:val="547"/>
          <w:marRight w:val="0"/>
          <w:marTop w:val="134"/>
          <w:marBottom w:val="0"/>
          <w:divBdr>
            <w:top w:val="none" w:sz="0" w:space="0" w:color="auto"/>
            <w:left w:val="none" w:sz="0" w:space="0" w:color="auto"/>
            <w:bottom w:val="none" w:sz="0" w:space="0" w:color="auto"/>
            <w:right w:val="none" w:sz="0" w:space="0" w:color="auto"/>
          </w:divBdr>
        </w:div>
        <w:div w:id="1434326809">
          <w:marLeft w:val="547"/>
          <w:marRight w:val="0"/>
          <w:marTop w:val="134"/>
          <w:marBottom w:val="0"/>
          <w:divBdr>
            <w:top w:val="none" w:sz="0" w:space="0" w:color="auto"/>
            <w:left w:val="none" w:sz="0" w:space="0" w:color="auto"/>
            <w:bottom w:val="none" w:sz="0" w:space="0" w:color="auto"/>
            <w:right w:val="none" w:sz="0" w:space="0" w:color="auto"/>
          </w:divBdr>
        </w:div>
        <w:div w:id="2015254130">
          <w:marLeft w:val="547"/>
          <w:marRight w:val="0"/>
          <w:marTop w:val="134"/>
          <w:marBottom w:val="0"/>
          <w:divBdr>
            <w:top w:val="none" w:sz="0" w:space="0" w:color="auto"/>
            <w:left w:val="none" w:sz="0" w:space="0" w:color="auto"/>
            <w:bottom w:val="none" w:sz="0" w:space="0" w:color="auto"/>
            <w:right w:val="none" w:sz="0" w:space="0" w:color="auto"/>
          </w:divBdr>
        </w:div>
        <w:div w:id="642582132">
          <w:marLeft w:val="547"/>
          <w:marRight w:val="0"/>
          <w:marTop w:val="134"/>
          <w:marBottom w:val="0"/>
          <w:divBdr>
            <w:top w:val="none" w:sz="0" w:space="0" w:color="auto"/>
            <w:left w:val="none" w:sz="0" w:space="0" w:color="auto"/>
            <w:bottom w:val="none" w:sz="0" w:space="0" w:color="auto"/>
            <w:right w:val="none" w:sz="0" w:space="0" w:color="auto"/>
          </w:divBdr>
        </w:div>
        <w:div w:id="403918288">
          <w:marLeft w:val="547"/>
          <w:marRight w:val="0"/>
          <w:marTop w:val="134"/>
          <w:marBottom w:val="0"/>
          <w:divBdr>
            <w:top w:val="none" w:sz="0" w:space="0" w:color="auto"/>
            <w:left w:val="none" w:sz="0" w:space="0" w:color="auto"/>
            <w:bottom w:val="none" w:sz="0" w:space="0" w:color="auto"/>
            <w:right w:val="none" w:sz="0" w:space="0" w:color="auto"/>
          </w:divBdr>
        </w:div>
      </w:divsChild>
    </w:div>
    <w:div w:id="1297755957">
      <w:bodyDiv w:val="1"/>
      <w:marLeft w:val="0"/>
      <w:marRight w:val="0"/>
      <w:marTop w:val="0"/>
      <w:marBottom w:val="0"/>
      <w:divBdr>
        <w:top w:val="none" w:sz="0" w:space="0" w:color="auto"/>
        <w:left w:val="none" w:sz="0" w:space="0" w:color="auto"/>
        <w:bottom w:val="none" w:sz="0" w:space="0" w:color="auto"/>
        <w:right w:val="none" w:sz="0" w:space="0" w:color="auto"/>
      </w:divBdr>
      <w:divsChild>
        <w:div w:id="1240597909">
          <w:marLeft w:val="547"/>
          <w:marRight w:val="0"/>
          <w:marTop w:val="173"/>
          <w:marBottom w:val="0"/>
          <w:divBdr>
            <w:top w:val="none" w:sz="0" w:space="0" w:color="auto"/>
            <w:left w:val="none" w:sz="0" w:space="0" w:color="auto"/>
            <w:bottom w:val="none" w:sz="0" w:space="0" w:color="auto"/>
            <w:right w:val="none" w:sz="0" w:space="0" w:color="auto"/>
          </w:divBdr>
        </w:div>
        <w:div w:id="1584140519">
          <w:marLeft w:val="547"/>
          <w:marRight w:val="0"/>
          <w:marTop w:val="173"/>
          <w:marBottom w:val="0"/>
          <w:divBdr>
            <w:top w:val="none" w:sz="0" w:space="0" w:color="auto"/>
            <w:left w:val="none" w:sz="0" w:space="0" w:color="auto"/>
            <w:bottom w:val="none" w:sz="0" w:space="0" w:color="auto"/>
            <w:right w:val="none" w:sz="0" w:space="0" w:color="auto"/>
          </w:divBdr>
        </w:div>
        <w:div w:id="69541411">
          <w:marLeft w:val="547"/>
          <w:marRight w:val="0"/>
          <w:marTop w:val="173"/>
          <w:marBottom w:val="0"/>
          <w:divBdr>
            <w:top w:val="none" w:sz="0" w:space="0" w:color="auto"/>
            <w:left w:val="none" w:sz="0" w:space="0" w:color="auto"/>
            <w:bottom w:val="none" w:sz="0" w:space="0" w:color="auto"/>
            <w:right w:val="none" w:sz="0" w:space="0" w:color="auto"/>
          </w:divBdr>
        </w:div>
        <w:div w:id="230123836">
          <w:marLeft w:val="547"/>
          <w:marRight w:val="0"/>
          <w:marTop w:val="173"/>
          <w:marBottom w:val="0"/>
          <w:divBdr>
            <w:top w:val="none" w:sz="0" w:space="0" w:color="auto"/>
            <w:left w:val="none" w:sz="0" w:space="0" w:color="auto"/>
            <w:bottom w:val="none" w:sz="0" w:space="0" w:color="auto"/>
            <w:right w:val="none" w:sz="0" w:space="0" w:color="auto"/>
          </w:divBdr>
        </w:div>
      </w:divsChild>
    </w:div>
    <w:div w:id="1304389836">
      <w:bodyDiv w:val="1"/>
      <w:marLeft w:val="0"/>
      <w:marRight w:val="0"/>
      <w:marTop w:val="0"/>
      <w:marBottom w:val="0"/>
      <w:divBdr>
        <w:top w:val="none" w:sz="0" w:space="0" w:color="auto"/>
        <w:left w:val="none" w:sz="0" w:space="0" w:color="auto"/>
        <w:bottom w:val="none" w:sz="0" w:space="0" w:color="auto"/>
        <w:right w:val="none" w:sz="0" w:space="0" w:color="auto"/>
      </w:divBdr>
      <w:divsChild>
        <w:div w:id="254246155">
          <w:marLeft w:val="547"/>
          <w:marRight w:val="0"/>
          <w:marTop w:val="0"/>
          <w:marBottom w:val="0"/>
          <w:divBdr>
            <w:top w:val="none" w:sz="0" w:space="0" w:color="auto"/>
            <w:left w:val="none" w:sz="0" w:space="0" w:color="auto"/>
            <w:bottom w:val="none" w:sz="0" w:space="0" w:color="auto"/>
            <w:right w:val="none" w:sz="0" w:space="0" w:color="auto"/>
          </w:divBdr>
        </w:div>
      </w:divsChild>
    </w:div>
    <w:div w:id="1305426673">
      <w:bodyDiv w:val="1"/>
      <w:marLeft w:val="0"/>
      <w:marRight w:val="0"/>
      <w:marTop w:val="0"/>
      <w:marBottom w:val="0"/>
      <w:divBdr>
        <w:top w:val="none" w:sz="0" w:space="0" w:color="auto"/>
        <w:left w:val="none" w:sz="0" w:space="0" w:color="auto"/>
        <w:bottom w:val="none" w:sz="0" w:space="0" w:color="auto"/>
        <w:right w:val="none" w:sz="0" w:space="0" w:color="auto"/>
      </w:divBdr>
    </w:div>
    <w:div w:id="1305620167">
      <w:bodyDiv w:val="1"/>
      <w:marLeft w:val="0"/>
      <w:marRight w:val="0"/>
      <w:marTop w:val="0"/>
      <w:marBottom w:val="0"/>
      <w:divBdr>
        <w:top w:val="none" w:sz="0" w:space="0" w:color="auto"/>
        <w:left w:val="none" w:sz="0" w:space="0" w:color="auto"/>
        <w:bottom w:val="none" w:sz="0" w:space="0" w:color="auto"/>
        <w:right w:val="none" w:sz="0" w:space="0" w:color="auto"/>
      </w:divBdr>
    </w:div>
    <w:div w:id="1311404079">
      <w:bodyDiv w:val="1"/>
      <w:marLeft w:val="0"/>
      <w:marRight w:val="0"/>
      <w:marTop w:val="0"/>
      <w:marBottom w:val="0"/>
      <w:divBdr>
        <w:top w:val="none" w:sz="0" w:space="0" w:color="auto"/>
        <w:left w:val="none" w:sz="0" w:space="0" w:color="auto"/>
        <w:bottom w:val="none" w:sz="0" w:space="0" w:color="auto"/>
        <w:right w:val="none" w:sz="0" w:space="0" w:color="auto"/>
      </w:divBdr>
    </w:div>
    <w:div w:id="1330713530">
      <w:bodyDiv w:val="1"/>
      <w:marLeft w:val="0"/>
      <w:marRight w:val="0"/>
      <w:marTop w:val="0"/>
      <w:marBottom w:val="0"/>
      <w:divBdr>
        <w:top w:val="none" w:sz="0" w:space="0" w:color="auto"/>
        <w:left w:val="none" w:sz="0" w:space="0" w:color="auto"/>
        <w:bottom w:val="none" w:sz="0" w:space="0" w:color="auto"/>
        <w:right w:val="none" w:sz="0" w:space="0" w:color="auto"/>
      </w:divBdr>
    </w:div>
    <w:div w:id="1337071637">
      <w:bodyDiv w:val="1"/>
      <w:marLeft w:val="0"/>
      <w:marRight w:val="0"/>
      <w:marTop w:val="0"/>
      <w:marBottom w:val="0"/>
      <w:divBdr>
        <w:top w:val="none" w:sz="0" w:space="0" w:color="auto"/>
        <w:left w:val="none" w:sz="0" w:space="0" w:color="auto"/>
        <w:bottom w:val="none" w:sz="0" w:space="0" w:color="auto"/>
        <w:right w:val="none" w:sz="0" w:space="0" w:color="auto"/>
      </w:divBdr>
    </w:div>
    <w:div w:id="1349794266">
      <w:bodyDiv w:val="1"/>
      <w:marLeft w:val="0"/>
      <w:marRight w:val="0"/>
      <w:marTop w:val="0"/>
      <w:marBottom w:val="0"/>
      <w:divBdr>
        <w:top w:val="none" w:sz="0" w:space="0" w:color="auto"/>
        <w:left w:val="none" w:sz="0" w:space="0" w:color="auto"/>
        <w:bottom w:val="none" w:sz="0" w:space="0" w:color="auto"/>
        <w:right w:val="none" w:sz="0" w:space="0" w:color="auto"/>
      </w:divBdr>
    </w:div>
    <w:div w:id="1375040740">
      <w:bodyDiv w:val="1"/>
      <w:marLeft w:val="0"/>
      <w:marRight w:val="0"/>
      <w:marTop w:val="0"/>
      <w:marBottom w:val="0"/>
      <w:divBdr>
        <w:top w:val="none" w:sz="0" w:space="0" w:color="auto"/>
        <w:left w:val="none" w:sz="0" w:space="0" w:color="auto"/>
        <w:bottom w:val="none" w:sz="0" w:space="0" w:color="auto"/>
        <w:right w:val="none" w:sz="0" w:space="0" w:color="auto"/>
      </w:divBdr>
      <w:divsChild>
        <w:div w:id="922031692">
          <w:marLeft w:val="547"/>
          <w:marRight w:val="0"/>
          <w:marTop w:val="0"/>
          <w:marBottom w:val="0"/>
          <w:divBdr>
            <w:top w:val="none" w:sz="0" w:space="0" w:color="auto"/>
            <w:left w:val="none" w:sz="0" w:space="0" w:color="auto"/>
            <w:bottom w:val="none" w:sz="0" w:space="0" w:color="auto"/>
            <w:right w:val="none" w:sz="0" w:space="0" w:color="auto"/>
          </w:divBdr>
        </w:div>
        <w:div w:id="894587842">
          <w:marLeft w:val="547"/>
          <w:marRight w:val="0"/>
          <w:marTop w:val="0"/>
          <w:marBottom w:val="0"/>
          <w:divBdr>
            <w:top w:val="none" w:sz="0" w:space="0" w:color="auto"/>
            <w:left w:val="none" w:sz="0" w:space="0" w:color="auto"/>
            <w:bottom w:val="none" w:sz="0" w:space="0" w:color="auto"/>
            <w:right w:val="none" w:sz="0" w:space="0" w:color="auto"/>
          </w:divBdr>
        </w:div>
      </w:divsChild>
    </w:div>
    <w:div w:id="1387141432">
      <w:bodyDiv w:val="1"/>
      <w:marLeft w:val="0"/>
      <w:marRight w:val="0"/>
      <w:marTop w:val="0"/>
      <w:marBottom w:val="0"/>
      <w:divBdr>
        <w:top w:val="none" w:sz="0" w:space="0" w:color="auto"/>
        <w:left w:val="none" w:sz="0" w:space="0" w:color="auto"/>
        <w:bottom w:val="none" w:sz="0" w:space="0" w:color="auto"/>
        <w:right w:val="none" w:sz="0" w:space="0" w:color="auto"/>
      </w:divBdr>
    </w:div>
    <w:div w:id="1396318644">
      <w:bodyDiv w:val="1"/>
      <w:marLeft w:val="0"/>
      <w:marRight w:val="0"/>
      <w:marTop w:val="0"/>
      <w:marBottom w:val="0"/>
      <w:divBdr>
        <w:top w:val="none" w:sz="0" w:space="0" w:color="auto"/>
        <w:left w:val="none" w:sz="0" w:space="0" w:color="auto"/>
        <w:bottom w:val="none" w:sz="0" w:space="0" w:color="auto"/>
        <w:right w:val="none" w:sz="0" w:space="0" w:color="auto"/>
      </w:divBdr>
      <w:divsChild>
        <w:div w:id="82997060">
          <w:marLeft w:val="547"/>
          <w:marRight w:val="0"/>
          <w:marTop w:val="134"/>
          <w:marBottom w:val="0"/>
          <w:divBdr>
            <w:top w:val="none" w:sz="0" w:space="0" w:color="auto"/>
            <w:left w:val="none" w:sz="0" w:space="0" w:color="auto"/>
            <w:bottom w:val="none" w:sz="0" w:space="0" w:color="auto"/>
            <w:right w:val="none" w:sz="0" w:space="0" w:color="auto"/>
          </w:divBdr>
        </w:div>
        <w:div w:id="1203203827">
          <w:marLeft w:val="547"/>
          <w:marRight w:val="0"/>
          <w:marTop w:val="134"/>
          <w:marBottom w:val="0"/>
          <w:divBdr>
            <w:top w:val="none" w:sz="0" w:space="0" w:color="auto"/>
            <w:left w:val="none" w:sz="0" w:space="0" w:color="auto"/>
            <w:bottom w:val="none" w:sz="0" w:space="0" w:color="auto"/>
            <w:right w:val="none" w:sz="0" w:space="0" w:color="auto"/>
          </w:divBdr>
        </w:div>
        <w:div w:id="1649243075">
          <w:marLeft w:val="547"/>
          <w:marRight w:val="0"/>
          <w:marTop w:val="134"/>
          <w:marBottom w:val="0"/>
          <w:divBdr>
            <w:top w:val="none" w:sz="0" w:space="0" w:color="auto"/>
            <w:left w:val="none" w:sz="0" w:space="0" w:color="auto"/>
            <w:bottom w:val="none" w:sz="0" w:space="0" w:color="auto"/>
            <w:right w:val="none" w:sz="0" w:space="0" w:color="auto"/>
          </w:divBdr>
        </w:div>
        <w:div w:id="1821654164">
          <w:marLeft w:val="547"/>
          <w:marRight w:val="0"/>
          <w:marTop w:val="134"/>
          <w:marBottom w:val="0"/>
          <w:divBdr>
            <w:top w:val="none" w:sz="0" w:space="0" w:color="auto"/>
            <w:left w:val="none" w:sz="0" w:space="0" w:color="auto"/>
            <w:bottom w:val="none" w:sz="0" w:space="0" w:color="auto"/>
            <w:right w:val="none" w:sz="0" w:space="0" w:color="auto"/>
          </w:divBdr>
        </w:div>
        <w:div w:id="1632788829">
          <w:marLeft w:val="547"/>
          <w:marRight w:val="0"/>
          <w:marTop w:val="134"/>
          <w:marBottom w:val="0"/>
          <w:divBdr>
            <w:top w:val="none" w:sz="0" w:space="0" w:color="auto"/>
            <w:left w:val="none" w:sz="0" w:space="0" w:color="auto"/>
            <w:bottom w:val="none" w:sz="0" w:space="0" w:color="auto"/>
            <w:right w:val="none" w:sz="0" w:space="0" w:color="auto"/>
          </w:divBdr>
        </w:div>
        <w:div w:id="1732194425">
          <w:marLeft w:val="547"/>
          <w:marRight w:val="0"/>
          <w:marTop w:val="134"/>
          <w:marBottom w:val="0"/>
          <w:divBdr>
            <w:top w:val="none" w:sz="0" w:space="0" w:color="auto"/>
            <w:left w:val="none" w:sz="0" w:space="0" w:color="auto"/>
            <w:bottom w:val="none" w:sz="0" w:space="0" w:color="auto"/>
            <w:right w:val="none" w:sz="0" w:space="0" w:color="auto"/>
          </w:divBdr>
        </w:div>
        <w:div w:id="1222210303">
          <w:marLeft w:val="547"/>
          <w:marRight w:val="0"/>
          <w:marTop w:val="134"/>
          <w:marBottom w:val="0"/>
          <w:divBdr>
            <w:top w:val="none" w:sz="0" w:space="0" w:color="auto"/>
            <w:left w:val="none" w:sz="0" w:space="0" w:color="auto"/>
            <w:bottom w:val="none" w:sz="0" w:space="0" w:color="auto"/>
            <w:right w:val="none" w:sz="0" w:space="0" w:color="auto"/>
          </w:divBdr>
        </w:div>
        <w:div w:id="890505315">
          <w:marLeft w:val="547"/>
          <w:marRight w:val="0"/>
          <w:marTop w:val="134"/>
          <w:marBottom w:val="0"/>
          <w:divBdr>
            <w:top w:val="none" w:sz="0" w:space="0" w:color="auto"/>
            <w:left w:val="none" w:sz="0" w:space="0" w:color="auto"/>
            <w:bottom w:val="none" w:sz="0" w:space="0" w:color="auto"/>
            <w:right w:val="none" w:sz="0" w:space="0" w:color="auto"/>
          </w:divBdr>
        </w:div>
      </w:divsChild>
    </w:div>
    <w:div w:id="1420177498">
      <w:bodyDiv w:val="1"/>
      <w:marLeft w:val="0"/>
      <w:marRight w:val="0"/>
      <w:marTop w:val="0"/>
      <w:marBottom w:val="0"/>
      <w:divBdr>
        <w:top w:val="none" w:sz="0" w:space="0" w:color="auto"/>
        <w:left w:val="none" w:sz="0" w:space="0" w:color="auto"/>
        <w:bottom w:val="none" w:sz="0" w:space="0" w:color="auto"/>
        <w:right w:val="none" w:sz="0" w:space="0" w:color="auto"/>
      </w:divBdr>
      <w:divsChild>
        <w:div w:id="1533498553">
          <w:marLeft w:val="1166"/>
          <w:marRight w:val="0"/>
          <w:marTop w:val="0"/>
          <w:marBottom w:val="0"/>
          <w:divBdr>
            <w:top w:val="none" w:sz="0" w:space="0" w:color="auto"/>
            <w:left w:val="none" w:sz="0" w:space="0" w:color="auto"/>
            <w:bottom w:val="none" w:sz="0" w:space="0" w:color="auto"/>
            <w:right w:val="none" w:sz="0" w:space="0" w:color="auto"/>
          </w:divBdr>
        </w:div>
      </w:divsChild>
    </w:div>
    <w:div w:id="1420564775">
      <w:bodyDiv w:val="1"/>
      <w:marLeft w:val="0"/>
      <w:marRight w:val="0"/>
      <w:marTop w:val="0"/>
      <w:marBottom w:val="0"/>
      <w:divBdr>
        <w:top w:val="none" w:sz="0" w:space="0" w:color="auto"/>
        <w:left w:val="none" w:sz="0" w:space="0" w:color="auto"/>
        <w:bottom w:val="none" w:sz="0" w:space="0" w:color="auto"/>
        <w:right w:val="none" w:sz="0" w:space="0" w:color="auto"/>
      </w:divBdr>
    </w:div>
    <w:div w:id="1433894745">
      <w:bodyDiv w:val="1"/>
      <w:marLeft w:val="0"/>
      <w:marRight w:val="0"/>
      <w:marTop w:val="0"/>
      <w:marBottom w:val="0"/>
      <w:divBdr>
        <w:top w:val="none" w:sz="0" w:space="0" w:color="auto"/>
        <w:left w:val="none" w:sz="0" w:space="0" w:color="auto"/>
        <w:bottom w:val="none" w:sz="0" w:space="0" w:color="auto"/>
        <w:right w:val="none" w:sz="0" w:space="0" w:color="auto"/>
      </w:divBdr>
      <w:divsChild>
        <w:div w:id="53744987">
          <w:marLeft w:val="547"/>
          <w:marRight w:val="0"/>
          <w:marTop w:val="0"/>
          <w:marBottom w:val="0"/>
          <w:divBdr>
            <w:top w:val="none" w:sz="0" w:space="0" w:color="auto"/>
            <w:left w:val="none" w:sz="0" w:space="0" w:color="auto"/>
            <w:bottom w:val="none" w:sz="0" w:space="0" w:color="auto"/>
            <w:right w:val="none" w:sz="0" w:space="0" w:color="auto"/>
          </w:divBdr>
        </w:div>
      </w:divsChild>
    </w:div>
    <w:div w:id="1445809977">
      <w:bodyDiv w:val="1"/>
      <w:marLeft w:val="0"/>
      <w:marRight w:val="0"/>
      <w:marTop w:val="0"/>
      <w:marBottom w:val="0"/>
      <w:divBdr>
        <w:top w:val="none" w:sz="0" w:space="0" w:color="auto"/>
        <w:left w:val="none" w:sz="0" w:space="0" w:color="auto"/>
        <w:bottom w:val="none" w:sz="0" w:space="0" w:color="auto"/>
        <w:right w:val="none" w:sz="0" w:space="0" w:color="auto"/>
      </w:divBdr>
      <w:divsChild>
        <w:div w:id="159277898">
          <w:marLeft w:val="547"/>
          <w:marRight w:val="0"/>
          <w:marTop w:val="0"/>
          <w:marBottom w:val="0"/>
          <w:divBdr>
            <w:top w:val="none" w:sz="0" w:space="0" w:color="auto"/>
            <w:left w:val="none" w:sz="0" w:space="0" w:color="auto"/>
            <w:bottom w:val="none" w:sz="0" w:space="0" w:color="auto"/>
            <w:right w:val="none" w:sz="0" w:space="0" w:color="auto"/>
          </w:divBdr>
        </w:div>
        <w:div w:id="2141218111">
          <w:marLeft w:val="547"/>
          <w:marRight w:val="0"/>
          <w:marTop w:val="0"/>
          <w:marBottom w:val="0"/>
          <w:divBdr>
            <w:top w:val="none" w:sz="0" w:space="0" w:color="auto"/>
            <w:left w:val="none" w:sz="0" w:space="0" w:color="auto"/>
            <w:bottom w:val="none" w:sz="0" w:space="0" w:color="auto"/>
            <w:right w:val="none" w:sz="0" w:space="0" w:color="auto"/>
          </w:divBdr>
        </w:div>
        <w:div w:id="1233396297">
          <w:marLeft w:val="547"/>
          <w:marRight w:val="0"/>
          <w:marTop w:val="0"/>
          <w:marBottom w:val="0"/>
          <w:divBdr>
            <w:top w:val="none" w:sz="0" w:space="0" w:color="auto"/>
            <w:left w:val="none" w:sz="0" w:space="0" w:color="auto"/>
            <w:bottom w:val="none" w:sz="0" w:space="0" w:color="auto"/>
            <w:right w:val="none" w:sz="0" w:space="0" w:color="auto"/>
          </w:divBdr>
        </w:div>
      </w:divsChild>
    </w:div>
    <w:div w:id="1446658639">
      <w:bodyDiv w:val="1"/>
      <w:marLeft w:val="0"/>
      <w:marRight w:val="0"/>
      <w:marTop w:val="0"/>
      <w:marBottom w:val="0"/>
      <w:divBdr>
        <w:top w:val="none" w:sz="0" w:space="0" w:color="auto"/>
        <w:left w:val="none" w:sz="0" w:space="0" w:color="auto"/>
        <w:bottom w:val="none" w:sz="0" w:space="0" w:color="auto"/>
        <w:right w:val="none" w:sz="0" w:space="0" w:color="auto"/>
      </w:divBdr>
      <w:divsChild>
        <w:div w:id="192769734">
          <w:marLeft w:val="547"/>
          <w:marRight w:val="0"/>
          <w:marTop w:val="154"/>
          <w:marBottom w:val="0"/>
          <w:divBdr>
            <w:top w:val="none" w:sz="0" w:space="0" w:color="auto"/>
            <w:left w:val="none" w:sz="0" w:space="0" w:color="auto"/>
            <w:bottom w:val="none" w:sz="0" w:space="0" w:color="auto"/>
            <w:right w:val="none" w:sz="0" w:space="0" w:color="auto"/>
          </w:divBdr>
        </w:div>
      </w:divsChild>
    </w:div>
    <w:div w:id="1451166405">
      <w:bodyDiv w:val="1"/>
      <w:marLeft w:val="0"/>
      <w:marRight w:val="0"/>
      <w:marTop w:val="0"/>
      <w:marBottom w:val="0"/>
      <w:divBdr>
        <w:top w:val="none" w:sz="0" w:space="0" w:color="auto"/>
        <w:left w:val="none" w:sz="0" w:space="0" w:color="auto"/>
        <w:bottom w:val="none" w:sz="0" w:space="0" w:color="auto"/>
        <w:right w:val="none" w:sz="0" w:space="0" w:color="auto"/>
      </w:divBdr>
    </w:div>
    <w:div w:id="1451321407">
      <w:bodyDiv w:val="1"/>
      <w:marLeft w:val="0"/>
      <w:marRight w:val="0"/>
      <w:marTop w:val="0"/>
      <w:marBottom w:val="0"/>
      <w:divBdr>
        <w:top w:val="none" w:sz="0" w:space="0" w:color="auto"/>
        <w:left w:val="none" w:sz="0" w:space="0" w:color="auto"/>
        <w:bottom w:val="none" w:sz="0" w:space="0" w:color="auto"/>
        <w:right w:val="none" w:sz="0" w:space="0" w:color="auto"/>
      </w:divBdr>
    </w:div>
    <w:div w:id="1460494590">
      <w:bodyDiv w:val="1"/>
      <w:marLeft w:val="0"/>
      <w:marRight w:val="0"/>
      <w:marTop w:val="0"/>
      <w:marBottom w:val="0"/>
      <w:divBdr>
        <w:top w:val="none" w:sz="0" w:space="0" w:color="auto"/>
        <w:left w:val="none" w:sz="0" w:space="0" w:color="auto"/>
        <w:bottom w:val="none" w:sz="0" w:space="0" w:color="auto"/>
        <w:right w:val="none" w:sz="0" w:space="0" w:color="auto"/>
      </w:divBdr>
      <w:divsChild>
        <w:div w:id="1371031224">
          <w:marLeft w:val="547"/>
          <w:marRight w:val="0"/>
          <w:marTop w:val="139"/>
          <w:marBottom w:val="0"/>
          <w:divBdr>
            <w:top w:val="none" w:sz="0" w:space="0" w:color="auto"/>
            <w:left w:val="none" w:sz="0" w:space="0" w:color="auto"/>
            <w:bottom w:val="none" w:sz="0" w:space="0" w:color="auto"/>
            <w:right w:val="none" w:sz="0" w:space="0" w:color="auto"/>
          </w:divBdr>
        </w:div>
        <w:div w:id="1386217803">
          <w:marLeft w:val="547"/>
          <w:marRight w:val="0"/>
          <w:marTop w:val="77"/>
          <w:marBottom w:val="0"/>
          <w:divBdr>
            <w:top w:val="none" w:sz="0" w:space="0" w:color="auto"/>
            <w:left w:val="none" w:sz="0" w:space="0" w:color="auto"/>
            <w:bottom w:val="none" w:sz="0" w:space="0" w:color="auto"/>
            <w:right w:val="none" w:sz="0" w:space="0" w:color="auto"/>
          </w:divBdr>
        </w:div>
        <w:div w:id="947927460">
          <w:marLeft w:val="547"/>
          <w:marRight w:val="0"/>
          <w:marTop w:val="120"/>
          <w:marBottom w:val="0"/>
          <w:divBdr>
            <w:top w:val="none" w:sz="0" w:space="0" w:color="auto"/>
            <w:left w:val="none" w:sz="0" w:space="0" w:color="auto"/>
            <w:bottom w:val="none" w:sz="0" w:space="0" w:color="auto"/>
            <w:right w:val="none" w:sz="0" w:space="0" w:color="auto"/>
          </w:divBdr>
        </w:div>
      </w:divsChild>
    </w:div>
    <w:div w:id="1497262627">
      <w:bodyDiv w:val="1"/>
      <w:marLeft w:val="0"/>
      <w:marRight w:val="0"/>
      <w:marTop w:val="0"/>
      <w:marBottom w:val="0"/>
      <w:divBdr>
        <w:top w:val="none" w:sz="0" w:space="0" w:color="auto"/>
        <w:left w:val="none" w:sz="0" w:space="0" w:color="auto"/>
        <w:bottom w:val="none" w:sz="0" w:space="0" w:color="auto"/>
        <w:right w:val="none" w:sz="0" w:space="0" w:color="auto"/>
      </w:divBdr>
    </w:div>
    <w:div w:id="1510557389">
      <w:bodyDiv w:val="1"/>
      <w:marLeft w:val="0"/>
      <w:marRight w:val="0"/>
      <w:marTop w:val="0"/>
      <w:marBottom w:val="0"/>
      <w:divBdr>
        <w:top w:val="none" w:sz="0" w:space="0" w:color="auto"/>
        <w:left w:val="none" w:sz="0" w:space="0" w:color="auto"/>
        <w:bottom w:val="none" w:sz="0" w:space="0" w:color="auto"/>
        <w:right w:val="none" w:sz="0" w:space="0" w:color="auto"/>
      </w:divBdr>
    </w:div>
    <w:div w:id="1517186857">
      <w:bodyDiv w:val="1"/>
      <w:marLeft w:val="0"/>
      <w:marRight w:val="0"/>
      <w:marTop w:val="0"/>
      <w:marBottom w:val="0"/>
      <w:divBdr>
        <w:top w:val="none" w:sz="0" w:space="0" w:color="auto"/>
        <w:left w:val="none" w:sz="0" w:space="0" w:color="auto"/>
        <w:bottom w:val="none" w:sz="0" w:space="0" w:color="auto"/>
        <w:right w:val="none" w:sz="0" w:space="0" w:color="auto"/>
      </w:divBdr>
    </w:div>
    <w:div w:id="1526216540">
      <w:bodyDiv w:val="1"/>
      <w:marLeft w:val="0"/>
      <w:marRight w:val="0"/>
      <w:marTop w:val="0"/>
      <w:marBottom w:val="0"/>
      <w:divBdr>
        <w:top w:val="none" w:sz="0" w:space="0" w:color="auto"/>
        <w:left w:val="none" w:sz="0" w:space="0" w:color="auto"/>
        <w:bottom w:val="none" w:sz="0" w:space="0" w:color="auto"/>
        <w:right w:val="none" w:sz="0" w:space="0" w:color="auto"/>
      </w:divBdr>
    </w:div>
    <w:div w:id="15318395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293">
          <w:marLeft w:val="547"/>
          <w:marRight w:val="0"/>
          <w:marTop w:val="134"/>
          <w:marBottom w:val="0"/>
          <w:divBdr>
            <w:top w:val="none" w:sz="0" w:space="0" w:color="auto"/>
            <w:left w:val="none" w:sz="0" w:space="0" w:color="auto"/>
            <w:bottom w:val="none" w:sz="0" w:space="0" w:color="auto"/>
            <w:right w:val="none" w:sz="0" w:space="0" w:color="auto"/>
          </w:divBdr>
        </w:div>
      </w:divsChild>
    </w:div>
    <w:div w:id="1540775153">
      <w:bodyDiv w:val="1"/>
      <w:marLeft w:val="0"/>
      <w:marRight w:val="0"/>
      <w:marTop w:val="0"/>
      <w:marBottom w:val="0"/>
      <w:divBdr>
        <w:top w:val="none" w:sz="0" w:space="0" w:color="auto"/>
        <w:left w:val="none" w:sz="0" w:space="0" w:color="auto"/>
        <w:bottom w:val="none" w:sz="0" w:space="0" w:color="auto"/>
        <w:right w:val="none" w:sz="0" w:space="0" w:color="auto"/>
      </w:divBdr>
    </w:div>
    <w:div w:id="1548493810">
      <w:bodyDiv w:val="1"/>
      <w:marLeft w:val="0"/>
      <w:marRight w:val="0"/>
      <w:marTop w:val="0"/>
      <w:marBottom w:val="0"/>
      <w:divBdr>
        <w:top w:val="none" w:sz="0" w:space="0" w:color="auto"/>
        <w:left w:val="none" w:sz="0" w:space="0" w:color="auto"/>
        <w:bottom w:val="none" w:sz="0" w:space="0" w:color="auto"/>
        <w:right w:val="none" w:sz="0" w:space="0" w:color="auto"/>
      </w:divBdr>
    </w:div>
    <w:div w:id="1561136079">
      <w:bodyDiv w:val="1"/>
      <w:marLeft w:val="0"/>
      <w:marRight w:val="0"/>
      <w:marTop w:val="0"/>
      <w:marBottom w:val="0"/>
      <w:divBdr>
        <w:top w:val="none" w:sz="0" w:space="0" w:color="auto"/>
        <w:left w:val="none" w:sz="0" w:space="0" w:color="auto"/>
        <w:bottom w:val="none" w:sz="0" w:space="0" w:color="auto"/>
        <w:right w:val="none" w:sz="0" w:space="0" w:color="auto"/>
      </w:divBdr>
      <w:divsChild>
        <w:div w:id="138347584">
          <w:marLeft w:val="547"/>
          <w:marRight w:val="0"/>
          <w:marTop w:val="0"/>
          <w:marBottom w:val="0"/>
          <w:divBdr>
            <w:top w:val="none" w:sz="0" w:space="0" w:color="auto"/>
            <w:left w:val="none" w:sz="0" w:space="0" w:color="auto"/>
            <w:bottom w:val="none" w:sz="0" w:space="0" w:color="auto"/>
            <w:right w:val="none" w:sz="0" w:space="0" w:color="auto"/>
          </w:divBdr>
        </w:div>
        <w:div w:id="78866769">
          <w:marLeft w:val="547"/>
          <w:marRight w:val="0"/>
          <w:marTop w:val="0"/>
          <w:marBottom w:val="0"/>
          <w:divBdr>
            <w:top w:val="none" w:sz="0" w:space="0" w:color="auto"/>
            <w:left w:val="none" w:sz="0" w:space="0" w:color="auto"/>
            <w:bottom w:val="none" w:sz="0" w:space="0" w:color="auto"/>
            <w:right w:val="none" w:sz="0" w:space="0" w:color="auto"/>
          </w:divBdr>
        </w:div>
      </w:divsChild>
    </w:div>
    <w:div w:id="1566991796">
      <w:bodyDiv w:val="1"/>
      <w:marLeft w:val="0"/>
      <w:marRight w:val="0"/>
      <w:marTop w:val="0"/>
      <w:marBottom w:val="0"/>
      <w:divBdr>
        <w:top w:val="none" w:sz="0" w:space="0" w:color="auto"/>
        <w:left w:val="none" w:sz="0" w:space="0" w:color="auto"/>
        <w:bottom w:val="none" w:sz="0" w:space="0" w:color="auto"/>
        <w:right w:val="none" w:sz="0" w:space="0" w:color="auto"/>
      </w:divBdr>
      <w:divsChild>
        <w:div w:id="1314749865">
          <w:marLeft w:val="547"/>
          <w:marRight w:val="0"/>
          <w:marTop w:val="0"/>
          <w:marBottom w:val="0"/>
          <w:divBdr>
            <w:top w:val="none" w:sz="0" w:space="0" w:color="auto"/>
            <w:left w:val="none" w:sz="0" w:space="0" w:color="auto"/>
            <w:bottom w:val="none" w:sz="0" w:space="0" w:color="auto"/>
            <w:right w:val="none" w:sz="0" w:space="0" w:color="auto"/>
          </w:divBdr>
        </w:div>
      </w:divsChild>
    </w:div>
    <w:div w:id="1569487980">
      <w:bodyDiv w:val="1"/>
      <w:marLeft w:val="0"/>
      <w:marRight w:val="0"/>
      <w:marTop w:val="0"/>
      <w:marBottom w:val="0"/>
      <w:divBdr>
        <w:top w:val="none" w:sz="0" w:space="0" w:color="auto"/>
        <w:left w:val="none" w:sz="0" w:space="0" w:color="auto"/>
        <w:bottom w:val="none" w:sz="0" w:space="0" w:color="auto"/>
        <w:right w:val="none" w:sz="0" w:space="0" w:color="auto"/>
      </w:divBdr>
    </w:div>
    <w:div w:id="1584215001">
      <w:bodyDiv w:val="1"/>
      <w:marLeft w:val="0"/>
      <w:marRight w:val="0"/>
      <w:marTop w:val="0"/>
      <w:marBottom w:val="0"/>
      <w:divBdr>
        <w:top w:val="none" w:sz="0" w:space="0" w:color="auto"/>
        <w:left w:val="none" w:sz="0" w:space="0" w:color="auto"/>
        <w:bottom w:val="none" w:sz="0" w:space="0" w:color="auto"/>
        <w:right w:val="none" w:sz="0" w:space="0" w:color="auto"/>
      </w:divBdr>
    </w:div>
    <w:div w:id="1587154691">
      <w:bodyDiv w:val="1"/>
      <w:marLeft w:val="0"/>
      <w:marRight w:val="0"/>
      <w:marTop w:val="0"/>
      <w:marBottom w:val="0"/>
      <w:divBdr>
        <w:top w:val="none" w:sz="0" w:space="0" w:color="auto"/>
        <w:left w:val="none" w:sz="0" w:space="0" w:color="auto"/>
        <w:bottom w:val="none" w:sz="0" w:space="0" w:color="auto"/>
        <w:right w:val="none" w:sz="0" w:space="0" w:color="auto"/>
      </w:divBdr>
    </w:div>
    <w:div w:id="1588032230">
      <w:bodyDiv w:val="1"/>
      <w:marLeft w:val="0"/>
      <w:marRight w:val="0"/>
      <w:marTop w:val="0"/>
      <w:marBottom w:val="0"/>
      <w:divBdr>
        <w:top w:val="none" w:sz="0" w:space="0" w:color="auto"/>
        <w:left w:val="none" w:sz="0" w:space="0" w:color="auto"/>
        <w:bottom w:val="none" w:sz="0" w:space="0" w:color="auto"/>
        <w:right w:val="none" w:sz="0" w:space="0" w:color="auto"/>
      </w:divBdr>
    </w:div>
    <w:div w:id="1594434338">
      <w:bodyDiv w:val="1"/>
      <w:marLeft w:val="0"/>
      <w:marRight w:val="0"/>
      <w:marTop w:val="0"/>
      <w:marBottom w:val="0"/>
      <w:divBdr>
        <w:top w:val="none" w:sz="0" w:space="0" w:color="auto"/>
        <w:left w:val="none" w:sz="0" w:space="0" w:color="auto"/>
        <w:bottom w:val="none" w:sz="0" w:space="0" w:color="auto"/>
        <w:right w:val="none" w:sz="0" w:space="0" w:color="auto"/>
      </w:divBdr>
    </w:div>
    <w:div w:id="1610160257">
      <w:bodyDiv w:val="1"/>
      <w:marLeft w:val="0"/>
      <w:marRight w:val="0"/>
      <w:marTop w:val="0"/>
      <w:marBottom w:val="0"/>
      <w:divBdr>
        <w:top w:val="none" w:sz="0" w:space="0" w:color="auto"/>
        <w:left w:val="none" w:sz="0" w:space="0" w:color="auto"/>
        <w:bottom w:val="none" w:sz="0" w:space="0" w:color="auto"/>
        <w:right w:val="none" w:sz="0" w:space="0" w:color="auto"/>
      </w:divBdr>
    </w:div>
    <w:div w:id="1617367905">
      <w:bodyDiv w:val="1"/>
      <w:marLeft w:val="0"/>
      <w:marRight w:val="0"/>
      <w:marTop w:val="0"/>
      <w:marBottom w:val="0"/>
      <w:divBdr>
        <w:top w:val="none" w:sz="0" w:space="0" w:color="auto"/>
        <w:left w:val="none" w:sz="0" w:space="0" w:color="auto"/>
        <w:bottom w:val="none" w:sz="0" w:space="0" w:color="auto"/>
        <w:right w:val="none" w:sz="0" w:space="0" w:color="auto"/>
      </w:divBdr>
      <w:divsChild>
        <w:div w:id="2087872277">
          <w:marLeft w:val="547"/>
          <w:marRight w:val="0"/>
          <w:marTop w:val="115"/>
          <w:marBottom w:val="0"/>
          <w:divBdr>
            <w:top w:val="none" w:sz="0" w:space="0" w:color="auto"/>
            <w:left w:val="none" w:sz="0" w:space="0" w:color="auto"/>
            <w:bottom w:val="none" w:sz="0" w:space="0" w:color="auto"/>
            <w:right w:val="none" w:sz="0" w:space="0" w:color="auto"/>
          </w:divBdr>
        </w:div>
        <w:div w:id="1298726940">
          <w:marLeft w:val="547"/>
          <w:marRight w:val="0"/>
          <w:marTop w:val="115"/>
          <w:marBottom w:val="0"/>
          <w:divBdr>
            <w:top w:val="none" w:sz="0" w:space="0" w:color="auto"/>
            <w:left w:val="none" w:sz="0" w:space="0" w:color="auto"/>
            <w:bottom w:val="none" w:sz="0" w:space="0" w:color="auto"/>
            <w:right w:val="none" w:sz="0" w:space="0" w:color="auto"/>
          </w:divBdr>
        </w:div>
        <w:div w:id="2075546931">
          <w:marLeft w:val="547"/>
          <w:marRight w:val="0"/>
          <w:marTop w:val="115"/>
          <w:marBottom w:val="0"/>
          <w:divBdr>
            <w:top w:val="none" w:sz="0" w:space="0" w:color="auto"/>
            <w:left w:val="none" w:sz="0" w:space="0" w:color="auto"/>
            <w:bottom w:val="none" w:sz="0" w:space="0" w:color="auto"/>
            <w:right w:val="none" w:sz="0" w:space="0" w:color="auto"/>
          </w:divBdr>
        </w:div>
        <w:div w:id="623923176">
          <w:marLeft w:val="547"/>
          <w:marRight w:val="0"/>
          <w:marTop w:val="115"/>
          <w:marBottom w:val="0"/>
          <w:divBdr>
            <w:top w:val="none" w:sz="0" w:space="0" w:color="auto"/>
            <w:left w:val="none" w:sz="0" w:space="0" w:color="auto"/>
            <w:bottom w:val="none" w:sz="0" w:space="0" w:color="auto"/>
            <w:right w:val="none" w:sz="0" w:space="0" w:color="auto"/>
          </w:divBdr>
        </w:div>
        <w:div w:id="549928099">
          <w:marLeft w:val="547"/>
          <w:marRight w:val="0"/>
          <w:marTop w:val="115"/>
          <w:marBottom w:val="0"/>
          <w:divBdr>
            <w:top w:val="none" w:sz="0" w:space="0" w:color="auto"/>
            <w:left w:val="none" w:sz="0" w:space="0" w:color="auto"/>
            <w:bottom w:val="none" w:sz="0" w:space="0" w:color="auto"/>
            <w:right w:val="none" w:sz="0" w:space="0" w:color="auto"/>
          </w:divBdr>
        </w:div>
      </w:divsChild>
    </w:div>
    <w:div w:id="1658218502">
      <w:bodyDiv w:val="1"/>
      <w:marLeft w:val="0"/>
      <w:marRight w:val="0"/>
      <w:marTop w:val="0"/>
      <w:marBottom w:val="0"/>
      <w:divBdr>
        <w:top w:val="none" w:sz="0" w:space="0" w:color="auto"/>
        <w:left w:val="none" w:sz="0" w:space="0" w:color="auto"/>
        <w:bottom w:val="none" w:sz="0" w:space="0" w:color="auto"/>
        <w:right w:val="none" w:sz="0" w:space="0" w:color="auto"/>
      </w:divBdr>
    </w:div>
    <w:div w:id="1666744223">
      <w:bodyDiv w:val="1"/>
      <w:marLeft w:val="0"/>
      <w:marRight w:val="0"/>
      <w:marTop w:val="0"/>
      <w:marBottom w:val="0"/>
      <w:divBdr>
        <w:top w:val="none" w:sz="0" w:space="0" w:color="auto"/>
        <w:left w:val="none" w:sz="0" w:space="0" w:color="auto"/>
        <w:bottom w:val="none" w:sz="0" w:space="0" w:color="auto"/>
        <w:right w:val="none" w:sz="0" w:space="0" w:color="auto"/>
      </w:divBdr>
    </w:div>
    <w:div w:id="1674449702">
      <w:bodyDiv w:val="1"/>
      <w:marLeft w:val="0"/>
      <w:marRight w:val="0"/>
      <w:marTop w:val="0"/>
      <w:marBottom w:val="0"/>
      <w:divBdr>
        <w:top w:val="none" w:sz="0" w:space="0" w:color="auto"/>
        <w:left w:val="none" w:sz="0" w:space="0" w:color="auto"/>
        <w:bottom w:val="none" w:sz="0" w:space="0" w:color="auto"/>
        <w:right w:val="none" w:sz="0" w:space="0" w:color="auto"/>
      </w:divBdr>
    </w:div>
    <w:div w:id="1698895357">
      <w:bodyDiv w:val="1"/>
      <w:marLeft w:val="0"/>
      <w:marRight w:val="0"/>
      <w:marTop w:val="0"/>
      <w:marBottom w:val="0"/>
      <w:divBdr>
        <w:top w:val="none" w:sz="0" w:space="0" w:color="auto"/>
        <w:left w:val="none" w:sz="0" w:space="0" w:color="auto"/>
        <w:bottom w:val="none" w:sz="0" w:space="0" w:color="auto"/>
        <w:right w:val="none" w:sz="0" w:space="0" w:color="auto"/>
      </w:divBdr>
    </w:div>
    <w:div w:id="1727223838">
      <w:bodyDiv w:val="1"/>
      <w:marLeft w:val="0"/>
      <w:marRight w:val="0"/>
      <w:marTop w:val="0"/>
      <w:marBottom w:val="0"/>
      <w:divBdr>
        <w:top w:val="none" w:sz="0" w:space="0" w:color="auto"/>
        <w:left w:val="none" w:sz="0" w:space="0" w:color="auto"/>
        <w:bottom w:val="none" w:sz="0" w:space="0" w:color="auto"/>
        <w:right w:val="none" w:sz="0" w:space="0" w:color="auto"/>
      </w:divBdr>
      <w:divsChild>
        <w:div w:id="1254363040">
          <w:marLeft w:val="547"/>
          <w:marRight w:val="0"/>
          <w:marTop w:val="0"/>
          <w:marBottom w:val="0"/>
          <w:divBdr>
            <w:top w:val="none" w:sz="0" w:space="0" w:color="auto"/>
            <w:left w:val="none" w:sz="0" w:space="0" w:color="auto"/>
            <w:bottom w:val="none" w:sz="0" w:space="0" w:color="auto"/>
            <w:right w:val="none" w:sz="0" w:space="0" w:color="auto"/>
          </w:divBdr>
        </w:div>
      </w:divsChild>
    </w:div>
    <w:div w:id="1735273853">
      <w:bodyDiv w:val="1"/>
      <w:marLeft w:val="0"/>
      <w:marRight w:val="0"/>
      <w:marTop w:val="0"/>
      <w:marBottom w:val="0"/>
      <w:divBdr>
        <w:top w:val="none" w:sz="0" w:space="0" w:color="auto"/>
        <w:left w:val="none" w:sz="0" w:space="0" w:color="auto"/>
        <w:bottom w:val="none" w:sz="0" w:space="0" w:color="auto"/>
        <w:right w:val="none" w:sz="0" w:space="0" w:color="auto"/>
      </w:divBdr>
    </w:div>
    <w:div w:id="1750615149">
      <w:bodyDiv w:val="1"/>
      <w:marLeft w:val="0"/>
      <w:marRight w:val="0"/>
      <w:marTop w:val="0"/>
      <w:marBottom w:val="0"/>
      <w:divBdr>
        <w:top w:val="none" w:sz="0" w:space="0" w:color="auto"/>
        <w:left w:val="none" w:sz="0" w:space="0" w:color="auto"/>
        <w:bottom w:val="none" w:sz="0" w:space="0" w:color="auto"/>
        <w:right w:val="none" w:sz="0" w:space="0" w:color="auto"/>
      </w:divBdr>
      <w:divsChild>
        <w:div w:id="1093818562">
          <w:marLeft w:val="605"/>
          <w:marRight w:val="0"/>
          <w:marTop w:val="0"/>
          <w:marBottom w:val="0"/>
          <w:divBdr>
            <w:top w:val="none" w:sz="0" w:space="0" w:color="auto"/>
            <w:left w:val="none" w:sz="0" w:space="0" w:color="auto"/>
            <w:bottom w:val="none" w:sz="0" w:space="0" w:color="auto"/>
            <w:right w:val="none" w:sz="0" w:space="0" w:color="auto"/>
          </w:divBdr>
        </w:div>
        <w:div w:id="403332882">
          <w:marLeft w:val="605"/>
          <w:marRight w:val="0"/>
          <w:marTop w:val="0"/>
          <w:marBottom w:val="0"/>
          <w:divBdr>
            <w:top w:val="none" w:sz="0" w:space="0" w:color="auto"/>
            <w:left w:val="none" w:sz="0" w:space="0" w:color="auto"/>
            <w:bottom w:val="none" w:sz="0" w:space="0" w:color="auto"/>
            <w:right w:val="none" w:sz="0" w:space="0" w:color="auto"/>
          </w:divBdr>
        </w:div>
      </w:divsChild>
    </w:div>
    <w:div w:id="1751123444">
      <w:bodyDiv w:val="1"/>
      <w:marLeft w:val="0"/>
      <w:marRight w:val="0"/>
      <w:marTop w:val="0"/>
      <w:marBottom w:val="0"/>
      <w:divBdr>
        <w:top w:val="none" w:sz="0" w:space="0" w:color="auto"/>
        <w:left w:val="none" w:sz="0" w:space="0" w:color="auto"/>
        <w:bottom w:val="none" w:sz="0" w:space="0" w:color="auto"/>
        <w:right w:val="none" w:sz="0" w:space="0" w:color="auto"/>
      </w:divBdr>
    </w:div>
    <w:div w:id="1752776954">
      <w:bodyDiv w:val="1"/>
      <w:marLeft w:val="0"/>
      <w:marRight w:val="0"/>
      <w:marTop w:val="0"/>
      <w:marBottom w:val="0"/>
      <w:divBdr>
        <w:top w:val="none" w:sz="0" w:space="0" w:color="auto"/>
        <w:left w:val="none" w:sz="0" w:space="0" w:color="auto"/>
        <w:bottom w:val="none" w:sz="0" w:space="0" w:color="auto"/>
        <w:right w:val="none" w:sz="0" w:space="0" w:color="auto"/>
      </w:divBdr>
    </w:div>
    <w:div w:id="1766609408">
      <w:bodyDiv w:val="1"/>
      <w:marLeft w:val="0"/>
      <w:marRight w:val="0"/>
      <w:marTop w:val="0"/>
      <w:marBottom w:val="0"/>
      <w:divBdr>
        <w:top w:val="none" w:sz="0" w:space="0" w:color="auto"/>
        <w:left w:val="none" w:sz="0" w:space="0" w:color="auto"/>
        <w:bottom w:val="none" w:sz="0" w:space="0" w:color="auto"/>
        <w:right w:val="none" w:sz="0" w:space="0" w:color="auto"/>
      </w:divBdr>
    </w:div>
    <w:div w:id="1776754787">
      <w:bodyDiv w:val="1"/>
      <w:marLeft w:val="0"/>
      <w:marRight w:val="0"/>
      <w:marTop w:val="0"/>
      <w:marBottom w:val="0"/>
      <w:divBdr>
        <w:top w:val="none" w:sz="0" w:space="0" w:color="auto"/>
        <w:left w:val="none" w:sz="0" w:space="0" w:color="auto"/>
        <w:bottom w:val="none" w:sz="0" w:space="0" w:color="auto"/>
        <w:right w:val="none" w:sz="0" w:space="0" w:color="auto"/>
      </w:divBdr>
    </w:div>
    <w:div w:id="1789661364">
      <w:bodyDiv w:val="1"/>
      <w:marLeft w:val="0"/>
      <w:marRight w:val="0"/>
      <w:marTop w:val="0"/>
      <w:marBottom w:val="0"/>
      <w:divBdr>
        <w:top w:val="none" w:sz="0" w:space="0" w:color="auto"/>
        <w:left w:val="none" w:sz="0" w:space="0" w:color="auto"/>
        <w:bottom w:val="none" w:sz="0" w:space="0" w:color="auto"/>
        <w:right w:val="none" w:sz="0" w:space="0" w:color="auto"/>
      </w:divBdr>
      <w:divsChild>
        <w:div w:id="1915191238">
          <w:marLeft w:val="547"/>
          <w:marRight w:val="0"/>
          <w:marTop w:val="0"/>
          <w:marBottom w:val="0"/>
          <w:divBdr>
            <w:top w:val="none" w:sz="0" w:space="0" w:color="auto"/>
            <w:left w:val="none" w:sz="0" w:space="0" w:color="auto"/>
            <w:bottom w:val="none" w:sz="0" w:space="0" w:color="auto"/>
            <w:right w:val="none" w:sz="0" w:space="0" w:color="auto"/>
          </w:divBdr>
        </w:div>
      </w:divsChild>
    </w:div>
    <w:div w:id="1800102834">
      <w:bodyDiv w:val="1"/>
      <w:marLeft w:val="0"/>
      <w:marRight w:val="0"/>
      <w:marTop w:val="0"/>
      <w:marBottom w:val="0"/>
      <w:divBdr>
        <w:top w:val="none" w:sz="0" w:space="0" w:color="auto"/>
        <w:left w:val="none" w:sz="0" w:space="0" w:color="auto"/>
        <w:bottom w:val="none" w:sz="0" w:space="0" w:color="auto"/>
        <w:right w:val="none" w:sz="0" w:space="0" w:color="auto"/>
      </w:divBdr>
    </w:div>
    <w:div w:id="1800950621">
      <w:bodyDiv w:val="1"/>
      <w:marLeft w:val="0"/>
      <w:marRight w:val="0"/>
      <w:marTop w:val="0"/>
      <w:marBottom w:val="0"/>
      <w:divBdr>
        <w:top w:val="none" w:sz="0" w:space="0" w:color="auto"/>
        <w:left w:val="none" w:sz="0" w:space="0" w:color="auto"/>
        <w:bottom w:val="none" w:sz="0" w:space="0" w:color="auto"/>
        <w:right w:val="none" w:sz="0" w:space="0" w:color="auto"/>
      </w:divBdr>
    </w:div>
    <w:div w:id="1823041578">
      <w:bodyDiv w:val="1"/>
      <w:marLeft w:val="0"/>
      <w:marRight w:val="0"/>
      <w:marTop w:val="0"/>
      <w:marBottom w:val="0"/>
      <w:divBdr>
        <w:top w:val="none" w:sz="0" w:space="0" w:color="auto"/>
        <w:left w:val="none" w:sz="0" w:space="0" w:color="auto"/>
        <w:bottom w:val="none" w:sz="0" w:space="0" w:color="auto"/>
        <w:right w:val="none" w:sz="0" w:space="0" w:color="auto"/>
      </w:divBdr>
    </w:div>
    <w:div w:id="1828201480">
      <w:bodyDiv w:val="1"/>
      <w:marLeft w:val="0"/>
      <w:marRight w:val="0"/>
      <w:marTop w:val="0"/>
      <w:marBottom w:val="0"/>
      <w:divBdr>
        <w:top w:val="none" w:sz="0" w:space="0" w:color="auto"/>
        <w:left w:val="none" w:sz="0" w:space="0" w:color="auto"/>
        <w:bottom w:val="none" w:sz="0" w:space="0" w:color="auto"/>
        <w:right w:val="none" w:sz="0" w:space="0" w:color="auto"/>
      </w:divBdr>
      <w:divsChild>
        <w:div w:id="530918601">
          <w:marLeft w:val="547"/>
          <w:marRight w:val="0"/>
          <w:marTop w:val="134"/>
          <w:marBottom w:val="0"/>
          <w:divBdr>
            <w:top w:val="none" w:sz="0" w:space="0" w:color="auto"/>
            <w:left w:val="none" w:sz="0" w:space="0" w:color="auto"/>
            <w:bottom w:val="none" w:sz="0" w:space="0" w:color="auto"/>
            <w:right w:val="none" w:sz="0" w:space="0" w:color="auto"/>
          </w:divBdr>
        </w:div>
        <w:div w:id="1715346949">
          <w:marLeft w:val="547"/>
          <w:marRight w:val="0"/>
          <w:marTop w:val="134"/>
          <w:marBottom w:val="0"/>
          <w:divBdr>
            <w:top w:val="none" w:sz="0" w:space="0" w:color="auto"/>
            <w:left w:val="none" w:sz="0" w:space="0" w:color="auto"/>
            <w:bottom w:val="none" w:sz="0" w:space="0" w:color="auto"/>
            <w:right w:val="none" w:sz="0" w:space="0" w:color="auto"/>
          </w:divBdr>
        </w:div>
        <w:div w:id="1702706573">
          <w:marLeft w:val="547"/>
          <w:marRight w:val="0"/>
          <w:marTop w:val="134"/>
          <w:marBottom w:val="0"/>
          <w:divBdr>
            <w:top w:val="none" w:sz="0" w:space="0" w:color="auto"/>
            <w:left w:val="none" w:sz="0" w:space="0" w:color="auto"/>
            <w:bottom w:val="none" w:sz="0" w:space="0" w:color="auto"/>
            <w:right w:val="none" w:sz="0" w:space="0" w:color="auto"/>
          </w:divBdr>
        </w:div>
      </w:divsChild>
    </w:div>
    <w:div w:id="1832403047">
      <w:bodyDiv w:val="1"/>
      <w:marLeft w:val="0"/>
      <w:marRight w:val="0"/>
      <w:marTop w:val="0"/>
      <w:marBottom w:val="0"/>
      <w:divBdr>
        <w:top w:val="none" w:sz="0" w:space="0" w:color="auto"/>
        <w:left w:val="none" w:sz="0" w:space="0" w:color="auto"/>
        <w:bottom w:val="none" w:sz="0" w:space="0" w:color="auto"/>
        <w:right w:val="none" w:sz="0" w:space="0" w:color="auto"/>
      </w:divBdr>
      <w:divsChild>
        <w:div w:id="1922830393">
          <w:marLeft w:val="547"/>
          <w:marRight w:val="0"/>
          <w:marTop w:val="163"/>
          <w:marBottom w:val="0"/>
          <w:divBdr>
            <w:top w:val="none" w:sz="0" w:space="0" w:color="auto"/>
            <w:left w:val="none" w:sz="0" w:space="0" w:color="auto"/>
            <w:bottom w:val="none" w:sz="0" w:space="0" w:color="auto"/>
            <w:right w:val="none" w:sz="0" w:space="0" w:color="auto"/>
          </w:divBdr>
        </w:div>
      </w:divsChild>
    </w:div>
    <w:div w:id="1863083891">
      <w:bodyDiv w:val="1"/>
      <w:marLeft w:val="0"/>
      <w:marRight w:val="0"/>
      <w:marTop w:val="0"/>
      <w:marBottom w:val="0"/>
      <w:divBdr>
        <w:top w:val="none" w:sz="0" w:space="0" w:color="auto"/>
        <w:left w:val="none" w:sz="0" w:space="0" w:color="auto"/>
        <w:bottom w:val="none" w:sz="0" w:space="0" w:color="auto"/>
        <w:right w:val="none" w:sz="0" w:space="0" w:color="auto"/>
      </w:divBdr>
    </w:div>
    <w:div w:id="1864854658">
      <w:bodyDiv w:val="1"/>
      <w:marLeft w:val="0"/>
      <w:marRight w:val="0"/>
      <w:marTop w:val="0"/>
      <w:marBottom w:val="0"/>
      <w:divBdr>
        <w:top w:val="none" w:sz="0" w:space="0" w:color="auto"/>
        <w:left w:val="none" w:sz="0" w:space="0" w:color="auto"/>
        <w:bottom w:val="none" w:sz="0" w:space="0" w:color="auto"/>
        <w:right w:val="none" w:sz="0" w:space="0" w:color="auto"/>
      </w:divBdr>
    </w:div>
    <w:div w:id="1878002988">
      <w:bodyDiv w:val="1"/>
      <w:marLeft w:val="0"/>
      <w:marRight w:val="0"/>
      <w:marTop w:val="0"/>
      <w:marBottom w:val="0"/>
      <w:divBdr>
        <w:top w:val="none" w:sz="0" w:space="0" w:color="auto"/>
        <w:left w:val="none" w:sz="0" w:space="0" w:color="auto"/>
        <w:bottom w:val="none" w:sz="0" w:space="0" w:color="auto"/>
        <w:right w:val="none" w:sz="0" w:space="0" w:color="auto"/>
      </w:divBdr>
      <w:divsChild>
        <w:div w:id="1155953365">
          <w:marLeft w:val="547"/>
          <w:marRight w:val="0"/>
          <w:marTop w:val="154"/>
          <w:marBottom w:val="0"/>
          <w:divBdr>
            <w:top w:val="none" w:sz="0" w:space="0" w:color="auto"/>
            <w:left w:val="none" w:sz="0" w:space="0" w:color="auto"/>
            <w:bottom w:val="none" w:sz="0" w:space="0" w:color="auto"/>
            <w:right w:val="none" w:sz="0" w:space="0" w:color="auto"/>
          </w:divBdr>
        </w:div>
      </w:divsChild>
    </w:div>
    <w:div w:id="1883443529">
      <w:bodyDiv w:val="1"/>
      <w:marLeft w:val="0"/>
      <w:marRight w:val="0"/>
      <w:marTop w:val="0"/>
      <w:marBottom w:val="0"/>
      <w:divBdr>
        <w:top w:val="none" w:sz="0" w:space="0" w:color="auto"/>
        <w:left w:val="none" w:sz="0" w:space="0" w:color="auto"/>
        <w:bottom w:val="none" w:sz="0" w:space="0" w:color="auto"/>
        <w:right w:val="none" w:sz="0" w:space="0" w:color="auto"/>
      </w:divBdr>
    </w:div>
    <w:div w:id="1883708854">
      <w:bodyDiv w:val="1"/>
      <w:marLeft w:val="0"/>
      <w:marRight w:val="0"/>
      <w:marTop w:val="0"/>
      <w:marBottom w:val="0"/>
      <w:divBdr>
        <w:top w:val="none" w:sz="0" w:space="0" w:color="auto"/>
        <w:left w:val="none" w:sz="0" w:space="0" w:color="auto"/>
        <w:bottom w:val="none" w:sz="0" w:space="0" w:color="auto"/>
        <w:right w:val="none" w:sz="0" w:space="0" w:color="auto"/>
      </w:divBdr>
      <w:divsChild>
        <w:div w:id="1658143310">
          <w:marLeft w:val="547"/>
          <w:marRight w:val="0"/>
          <w:marTop w:val="120"/>
          <w:marBottom w:val="0"/>
          <w:divBdr>
            <w:top w:val="none" w:sz="0" w:space="0" w:color="auto"/>
            <w:left w:val="none" w:sz="0" w:space="0" w:color="auto"/>
            <w:bottom w:val="none" w:sz="0" w:space="0" w:color="auto"/>
            <w:right w:val="none" w:sz="0" w:space="0" w:color="auto"/>
          </w:divBdr>
        </w:div>
        <w:div w:id="1492722269">
          <w:marLeft w:val="547"/>
          <w:marRight w:val="0"/>
          <w:marTop w:val="120"/>
          <w:marBottom w:val="0"/>
          <w:divBdr>
            <w:top w:val="none" w:sz="0" w:space="0" w:color="auto"/>
            <w:left w:val="none" w:sz="0" w:space="0" w:color="auto"/>
            <w:bottom w:val="none" w:sz="0" w:space="0" w:color="auto"/>
            <w:right w:val="none" w:sz="0" w:space="0" w:color="auto"/>
          </w:divBdr>
        </w:div>
        <w:div w:id="1523201798">
          <w:marLeft w:val="547"/>
          <w:marRight w:val="0"/>
          <w:marTop w:val="120"/>
          <w:marBottom w:val="0"/>
          <w:divBdr>
            <w:top w:val="none" w:sz="0" w:space="0" w:color="auto"/>
            <w:left w:val="none" w:sz="0" w:space="0" w:color="auto"/>
            <w:bottom w:val="none" w:sz="0" w:space="0" w:color="auto"/>
            <w:right w:val="none" w:sz="0" w:space="0" w:color="auto"/>
          </w:divBdr>
        </w:div>
        <w:div w:id="2026976507">
          <w:marLeft w:val="547"/>
          <w:marRight w:val="0"/>
          <w:marTop w:val="120"/>
          <w:marBottom w:val="0"/>
          <w:divBdr>
            <w:top w:val="none" w:sz="0" w:space="0" w:color="auto"/>
            <w:left w:val="none" w:sz="0" w:space="0" w:color="auto"/>
            <w:bottom w:val="none" w:sz="0" w:space="0" w:color="auto"/>
            <w:right w:val="none" w:sz="0" w:space="0" w:color="auto"/>
          </w:divBdr>
        </w:div>
        <w:div w:id="1735540872">
          <w:marLeft w:val="547"/>
          <w:marRight w:val="0"/>
          <w:marTop w:val="120"/>
          <w:marBottom w:val="0"/>
          <w:divBdr>
            <w:top w:val="none" w:sz="0" w:space="0" w:color="auto"/>
            <w:left w:val="none" w:sz="0" w:space="0" w:color="auto"/>
            <w:bottom w:val="none" w:sz="0" w:space="0" w:color="auto"/>
            <w:right w:val="none" w:sz="0" w:space="0" w:color="auto"/>
          </w:divBdr>
        </w:div>
        <w:div w:id="2048988997">
          <w:marLeft w:val="547"/>
          <w:marRight w:val="0"/>
          <w:marTop w:val="120"/>
          <w:marBottom w:val="0"/>
          <w:divBdr>
            <w:top w:val="none" w:sz="0" w:space="0" w:color="auto"/>
            <w:left w:val="none" w:sz="0" w:space="0" w:color="auto"/>
            <w:bottom w:val="none" w:sz="0" w:space="0" w:color="auto"/>
            <w:right w:val="none" w:sz="0" w:space="0" w:color="auto"/>
          </w:divBdr>
        </w:div>
        <w:div w:id="2013531280">
          <w:marLeft w:val="547"/>
          <w:marRight w:val="0"/>
          <w:marTop w:val="120"/>
          <w:marBottom w:val="0"/>
          <w:divBdr>
            <w:top w:val="none" w:sz="0" w:space="0" w:color="auto"/>
            <w:left w:val="none" w:sz="0" w:space="0" w:color="auto"/>
            <w:bottom w:val="none" w:sz="0" w:space="0" w:color="auto"/>
            <w:right w:val="none" w:sz="0" w:space="0" w:color="auto"/>
          </w:divBdr>
        </w:div>
        <w:div w:id="1283925419">
          <w:marLeft w:val="547"/>
          <w:marRight w:val="0"/>
          <w:marTop w:val="120"/>
          <w:marBottom w:val="0"/>
          <w:divBdr>
            <w:top w:val="none" w:sz="0" w:space="0" w:color="auto"/>
            <w:left w:val="none" w:sz="0" w:space="0" w:color="auto"/>
            <w:bottom w:val="none" w:sz="0" w:space="0" w:color="auto"/>
            <w:right w:val="none" w:sz="0" w:space="0" w:color="auto"/>
          </w:divBdr>
        </w:div>
        <w:div w:id="1537235611">
          <w:marLeft w:val="547"/>
          <w:marRight w:val="0"/>
          <w:marTop w:val="120"/>
          <w:marBottom w:val="0"/>
          <w:divBdr>
            <w:top w:val="none" w:sz="0" w:space="0" w:color="auto"/>
            <w:left w:val="none" w:sz="0" w:space="0" w:color="auto"/>
            <w:bottom w:val="none" w:sz="0" w:space="0" w:color="auto"/>
            <w:right w:val="none" w:sz="0" w:space="0" w:color="auto"/>
          </w:divBdr>
        </w:div>
        <w:div w:id="1549679239">
          <w:marLeft w:val="547"/>
          <w:marRight w:val="0"/>
          <w:marTop w:val="120"/>
          <w:marBottom w:val="0"/>
          <w:divBdr>
            <w:top w:val="none" w:sz="0" w:space="0" w:color="auto"/>
            <w:left w:val="none" w:sz="0" w:space="0" w:color="auto"/>
            <w:bottom w:val="none" w:sz="0" w:space="0" w:color="auto"/>
            <w:right w:val="none" w:sz="0" w:space="0" w:color="auto"/>
          </w:divBdr>
        </w:div>
      </w:divsChild>
    </w:div>
    <w:div w:id="1917863694">
      <w:bodyDiv w:val="1"/>
      <w:marLeft w:val="0"/>
      <w:marRight w:val="0"/>
      <w:marTop w:val="0"/>
      <w:marBottom w:val="0"/>
      <w:divBdr>
        <w:top w:val="none" w:sz="0" w:space="0" w:color="auto"/>
        <w:left w:val="none" w:sz="0" w:space="0" w:color="auto"/>
        <w:bottom w:val="none" w:sz="0" w:space="0" w:color="auto"/>
        <w:right w:val="none" w:sz="0" w:space="0" w:color="auto"/>
      </w:divBdr>
    </w:div>
    <w:div w:id="1919746345">
      <w:bodyDiv w:val="1"/>
      <w:marLeft w:val="0"/>
      <w:marRight w:val="0"/>
      <w:marTop w:val="0"/>
      <w:marBottom w:val="0"/>
      <w:divBdr>
        <w:top w:val="none" w:sz="0" w:space="0" w:color="auto"/>
        <w:left w:val="none" w:sz="0" w:space="0" w:color="auto"/>
        <w:bottom w:val="none" w:sz="0" w:space="0" w:color="auto"/>
        <w:right w:val="none" w:sz="0" w:space="0" w:color="auto"/>
      </w:divBdr>
    </w:div>
    <w:div w:id="1942761676">
      <w:bodyDiv w:val="1"/>
      <w:marLeft w:val="0"/>
      <w:marRight w:val="0"/>
      <w:marTop w:val="0"/>
      <w:marBottom w:val="0"/>
      <w:divBdr>
        <w:top w:val="none" w:sz="0" w:space="0" w:color="auto"/>
        <w:left w:val="none" w:sz="0" w:space="0" w:color="auto"/>
        <w:bottom w:val="none" w:sz="0" w:space="0" w:color="auto"/>
        <w:right w:val="none" w:sz="0" w:space="0" w:color="auto"/>
      </w:divBdr>
    </w:div>
    <w:div w:id="1950820504">
      <w:bodyDiv w:val="1"/>
      <w:marLeft w:val="0"/>
      <w:marRight w:val="0"/>
      <w:marTop w:val="0"/>
      <w:marBottom w:val="0"/>
      <w:divBdr>
        <w:top w:val="none" w:sz="0" w:space="0" w:color="auto"/>
        <w:left w:val="none" w:sz="0" w:space="0" w:color="auto"/>
        <w:bottom w:val="none" w:sz="0" w:space="0" w:color="auto"/>
        <w:right w:val="none" w:sz="0" w:space="0" w:color="auto"/>
      </w:divBdr>
      <w:divsChild>
        <w:div w:id="1452674279">
          <w:marLeft w:val="547"/>
          <w:marRight w:val="0"/>
          <w:marTop w:val="134"/>
          <w:marBottom w:val="0"/>
          <w:divBdr>
            <w:top w:val="none" w:sz="0" w:space="0" w:color="auto"/>
            <w:left w:val="none" w:sz="0" w:space="0" w:color="auto"/>
            <w:bottom w:val="none" w:sz="0" w:space="0" w:color="auto"/>
            <w:right w:val="none" w:sz="0" w:space="0" w:color="auto"/>
          </w:divBdr>
        </w:div>
      </w:divsChild>
    </w:div>
    <w:div w:id="1963681694">
      <w:bodyDiv w:val="1"/>
      <w:marLeft w:val="0"/>
      <w:marRight w:val="0"/>
      <w:marTop w:val="0"/>
      <w:marBottom w:val="0"/>
      <w:divBdr>
        <w:top w:val="none" w:sz="0" w:space="0" w:color="auto"/>
        <w:left w:val="none" w:sz="0" w:space="0" w:color="auto"/>
        <w:bottom w:val="none" w:sz="0" w:space="0" w:color="auto"/>
        <w:right w:val="none" w:sz="0" w:space="0" w:color="auto"/>
      </w:divBdr>
      <w:divsChild>
        <w:div w:id="920260679">
          <w:marLeft w:val="547"/>
          <w:marRight w:val="0"/>
          <w:marTop w:val="115"/>
          <w:marBottom w:val="0"/>
          <w:divBdr>
            <w:top w:val="none" w:sz="0" w:space="0" w:color="auto"/>
            <w:left w:val="none" w:sz="0" w:space="0" w:color="auto"/>
            <w:bottom w:val="none" w:sz="0" w:space="0" w:color="auto"/>
            <w:right w:val="none" w:sz="0" w:space="0" w:color="auto"/>
          </w:divBdr>
        </w:div>
      </w:divsChild>
    </w:div>
    <w:div w:id="1965915556">
      <w:bodyDiv w:val="1"/>
      <w:marLeft w:val="0"/>
      <w:marRight w:val="0"/>
      <w:marTop w:val="0"/>
      <w:marBottom w:val="0"/>
      <w:divBdr>
        <w:top w:val="none" w:sz="0" w:space="0" w:color="auto"/>
        <w:left w:val="none" w:sz="0" w:space="0" w:color="auto"/>
        <w:bottom w:val="none" w:sz="0" w:space="0" w:color="auto"/>
        <w:right w:val="none" w:sz="0" w:space="0" w:color="auto"/>
      </w:divBdr>
    </w:div>
    <w:div w:id="1982416830">
      <w:bodyDiv w:val="1"/>
      <w:marLeft w:val="0"/>
      <w:marRight w:val="0"/>
      <w:marTop w:val="0"/>
      <w:marBottom w:val="0"/>
      <w:divBdr>
        <w:top w:val="none" w:sz="0" w:space="0" w:color="auto"/>
        <w:left w:val="none" w:sz="0" w:space="0" w:color="auto"/>
        <w:bottom w:val="none" w:sz="0" w:space="0" w:color="auto"/>
        <w:right w:val="none" w:sz="0" w:space="0" w:color="auto"/>
      </w:divBdr>
      <w:divsChild>
        <w:div w:id="657922379">
          <w:marLeft w:val="547"/>
          <w:marRight w:val="0"/>
          <w:marTop w:val="154"/>
          <w:marBottom w:val="0"/>
          <w:divBdr>
            <w:top w:val="none" w:sz="0" w:space="0" w:color="auto"/>
            <w:left w:val="none" w:sz="0" w:space="0" w:color="auto"/>
            <w:bottom w:val="none" w:sz="0" w:space="0" w:color="auto"/>
            <w:right w:val="none" w:sz="0" w:space="0" w:color="auto"/>
          </w:divBdr>
        </w:div>
        <w:div w:id="1598170291">
          <w:marLeft w:val="547"/>
          <w:marRight w:val="0"/>
          <w:marTop w:val="0"/>
          <w:marBottom w:val="0"/>
          <w:divBdr>
            <w:top w:val="none" w:sz="0" w:space="0" w:color="auto"/>
            <w:left w:val="none" w:sz="0" w:space="0" w:color="auto"/>
            <w:bottom w:val="none" w:sz="0" w:space="0" w:color="auto"/>
            <w:right w:val="none" w:sz="0" w:space="0" w:color="auto"/>
          </w:divBdr>
        </w:div>
      </w:divsChild>
    </w:div>
    <w:div w:id="1984919602">
      <w:bodyDiv w:val="1"/>
      <w:marLeft w:val="0"/>
      <w:marRight w:val="0"/>
      <w:marTop w:val="0"/>
      <w:marBottom w:val="0"/>
      <w:divBdr>
        <w:top w:val="none" w:sz="0" w:space="0" w:color="auto"/>
        <w:left w:val="none" w:sz="0" w:space="0" w:color="auto"/>
        <w:bottom w:val="none" w:sz="0" w:space="0" w:color="auto"/>
        <w:right w:val="none" w:sz="0" w:space="0" w:color="auto"/>
      </w:divBdr>
    </w:div>
    <w:div w:id="2000838555">
      <w:bodyDiv w:val="1"/>
      <w:marLeft w:val="0"/>
      <w:marRight w:val="0"/>
      <w:marTop w:val="0"/>
      <w:marBottom w:val="0"/>
      <w:divBdr>
        <w:top w:val="none" w:sz="0" w:space="0" w:color="auto"/>
        <w:left w:val="none" w:sz="0" w:space="0" w:color="auto"/>
        <w:bottom w:val="none" w:sz="0" w:space="0" w:color="auto"/>
        <w:right w:val="none" w:sz="0" w:space="0" w:color="auto"/>
      </w:divBdr>
      <w:divsChild>
        <w:div w:id="846677350">
          <w:marLeft w:val="547"/>
          <w:marRight w:val="0"/>
          <w:marTop w:val="0"/>
          <w:marBottom w:val="0"/>
          <w:divBdr>
            <w:top w:val="none" w:sz="0" w:space="0" w:color="auto"/>
            <w:left w:val="none" w:sz="0" w:space="0" w:color="auto"/>
            <w:bottom w:val="none" w:sz="0" w:space="0" w:color="auto"/>
            <w:right w:val="none" w:sz="0" w:space="0" w:color="auto"/>
          </w:divBdr>
        </w:div>
      </w:divsChild>
    </w:div>
    <w:div w:id="2004041252">
      <w:bodyDiv w:val="1"/>
      <w:marLeft w:val="0"/>
      <w:marRight w:val="0"/>
      <w:marTop w:val="0"/>
      <w:marBottom w:val="0"/>
      <w:divBdr>
        <w:top w:val="none" w:sz="0" w:space="0" w:color="auto"/>
        <w:left w:val="none" w:sz="0" w:space="0" w:color="auto"/>
        <w:bottom w:val="none" w:sz="0" w:space="0" w:color="auto"/>
        <w:right w:val="none" w:sz="0" w:space="0" w:color="auto"/>
      </w:divBdr>
      <w:divsChild>
        <w:div w:id="1054815222">
          <w:marLeft w:val="547"/>
          <w:marRight w:val="0"/>
          <w:marTop w:val="134"/>
          <w:marBottom w:val="0"/>
          <w:divBdr>
            <w:top w:val="none" w:sz="0" w:space="0" w:color="auto"/>
            <w:left w:val="none" w:sz="0" w:space="0" w:color="auto"/>
            <w:bottom w:val="none" w:sz="0" w:space="0" w:color="auto"/>
            <w:right w:val="none" w:sz="0" w:space="0" w:color="auto"/>
          </w:divBdr>
        </w:div>
      </w:divsChild>
    </w:div>
    <w:div w:id="2033604084">
      <w:bodyDiv w:val="1"/>
      <w:marLeft w:val="0"/>
      <w:marRight w:val="0"/>
      <w:marTop w:val="0"/>
      <w:marBottom w:val="0"/>
      <w:divBdr>
        <w:top w:val="none" w:sz="0" w:space="0" w:color="auto"/>
        <w:left w:val="none" w:sz="0" w:space="0" w:color="auto"/>
        <w:bottom w:val="none" w:sz="0" w:space="0" w:color="auto"/>
        <w:right w:val="none" w:sz="0" w:space="0" w:color="auto"/>
      </w:divBdr>
      <w:divsChild>
        <w:div w:id="1110853765">
          <w:marLeft w:val="547"/>
          <w:marRight w:val="0"/>
          <w:marTop w:val="120"/>
          <w:marBottom w:val="0"/>
          <w:divBdr>
            <w:top w:val="none" w:sz="0" w:space="0" w:color="auto"/>
            <w:left w:val="none" w:sz="0" w:space="0" w:color="auto"/>
            <w:bottom w:val="none" w:sz="0" w:space="0" w:color="auto"/>
            <w:right w:val="none" w:sz="0" w:space="0" w:color="auto"/>
          </w:divBdr>
        </w:div>
        <w:div w:id="568342098">
          <w:marLeft w:val="547"/>
          <w:marRight w:val="0"/>
          <w:marTop w:val="120"/>
          <w:marBottom w:val="0"/>
          <w:divBdr>
            <w:top w:val="none" w:sz="0" w:space="0" w:color="auto"/>
            <w:left w:val="none" w:sz="0" w:space="0" w:color="auto"/>
            <w:bottom w:val="none" w:sz="0" w:space="0" w:color="auto"/>
            <w:right w:val="none" w:sz="0" w:space="0" w:color="auto"/>
          </w:divBdr>
        </w:div>
        <w:div w:id="1493175844">
          <w:marLeft w:val="547"/>
          <w:marRight w:val="0"/>
          <w:marTop w:val="120"/>
          <w:marBottom w:val="0"/>
          <w:divBdr>
            <w:top w:val="none" w:sz="0" w:space="0" w:color="auto"/>
            <w:left w:val="none" w:sz="0" w:space="0" w:color="auto"/>
            <w:bottom w:val="none" w:sz="0" w:space="0" w:color="auto"/>
            <w:right w:val="none" w:sz="0" w:space="0" w:color="auto"/>
          </w:divBdr>
        </w:div>
        <w:div w:id="292366091">
          <w:marLeft w:val="547"/>
          <w:marRight w:val="0"/>
          <w:marTop w:val="120"/>
          <w:marBottom w:val="0"/>
          <w:divBdr>
            <w:top w:val="none" w:sz="0" w:space="0" w:color="auto"/>
            <w:left w:val="none" w:sz="0" w:space="0" w:color="auto"/>
            <w:bottom w:val="none" w:sz="0" w:space="0" w:color="auto"/>
            <w:right w:val="none" w:sz="0" w:space="0" w:color="auto"/>
          </w:divBdr>
        </w:div>
        <w:div w:id="1351567678">
          <w:marLeft w:val="547"/>
          <w:marRight w:val="0"/>
          <w:marTop w:val="120"/>
          <w:marBottom w:val="0"/>
          <w:divBdr>
            <w:top w:val="none" w:sz="0" w:space="0" w:color="auto"/>
            <w:left w:val="none" w:sz="0" w:space="0" w:color="auto"/>
            <w:bottom w:val="none" w:sz="0" w:space="0" w:color="auto"/>
            <w:right w:val="none" w:sz="0" w:space="0" w:color="auto"/>
          </w:divBdr>
        </w:div>
        <w:div w:id="1922107078">
          <w:marLeft w:val="547"/>
          <w:marRight w:val="0"/>
          <w:marTop w:val="120"/>
          <w:marBottom w:val="0"/>
          <w:divBdr>
            <w:top w:val="none" w:sz="0" w:space="0" w:color="auto"/>
            <w:left w:val="none" w:sz="0" w:space="0" w:color="auto"/>
            <w:bottom w:val="none" w:sz="0" w:space="0" w:color="auto"/>
            <w:right w:val="none" w:sz="0" w:space="0" w:color="auto"/>
          </w:divBdr>
        </w:div>
        <w:div w:id="558173160">
          <w:marLeft w:val="547"/>
          <w:marRight w:val="0"/>
          <w:marTop w:val="120"/>
          <w:marBottom w:val="0"/>
          <w:divBdr>
            <w:top w:val="none" w:sz="0" w:space="0" w:color="auto"/>
            <w:left w:val="none" w:sz="0" w:space="0" w:color="auto"/>
            <w:bottom w:val="none" w:sz="0" w:space="0" w:color="auto"/>
            <w:right w:val="none" w:sz="0" w:space="0" w:color="auto"/>
          </w:divBdr>
        </w:div>
        <w:div w:id="11349152">
          <w:marLeft w:val="547"/>
          <w:marRight w:val="0"/>
          <w:marTop w:val="120"/>
          <w:marBottom w:val="0"/>
          <w:divBdr>
            <w:top w:val="none" w:sz="0" w:space="0" w:color="auto"/>
            <w:left w:val="none" w:sz="0" w:space="0" w:color="auto"/>
            <w:bottom w:val="none" w:sz="0" w:space="0" w:color="auto"/>
            <w:right w:val="none" w:sz="0" w:space="0" w:color="auto"/>
          </w:divBdr>
        </w:div>
        <w:div w:id="2084135403">
          <w:marLeft w:val="547"/>
          <w:marRight w:val="0"/>
          <w:marTop w:val="120"/>
          <w:marBottom w:val="0"/>
          <w:divBdr>
            <w:top w:val="none" w:sz="0" w:space="0" w:color="auto"/>
            <w:left w:val="none" w:sz="0" w:space="0" w:color="auto"/>
            <w:bottom w:val="none" w:sz="0" w:space="0" w:color="auto"/>
            <w:right w:val="none" w:sz="0" w:space="0" w:color="auto"/>
          </w:divBdr>
        </w:div>
        <w:div w:id="1908146669">
          <w:marLeft w:val="547"/>
          <w:marRight w:val="0"/>
          <w:marTop w:val="120"/>
          <w:marBottom w:val="0"/>
          <w:divBdr>
            <w:top w:val="none" w:sz="0" w:space="0" w:color="auto"/>
            <w:left w:val="none" w:sz="0" w:space="0" w:color="auto"/>
            <w:bottom w:val="none" w:sz="0" w:space="0" w:color="auto"/>
            <w:right w:val="none" w:sz="0" w:space="0" w:color="auto"/>
          </w:divBdr>
        </w:div>
      </w:divsChild>
    </w:div>
    <w:div w:id="2035421512">
      <w:bodyDiv w:val="1"/>
      <w:marLeft w:val="0"/>
      <w:marRight w:val="0"/>
      <w:marTop w:val="0"/>
      <w:marBottom w:val="0"/>
      <w:divBdr>
        <w:top w:val="none" w:sz="0" w:space="0" w:color="auto"/>
        <w:left w:val="none" w:sz="0" w:space="0" w:color="auto"/>
        <w:bottom w:val="none" w:sz="0" w:space="0" w:color="auto"/>
        <w:right w:val="none" w:sz="0" w:space="0" w:color="auto"/>
      </w:divBdr>
    </w:div>
    <w:div w:id="2039618938">
      <w:bodyDiv w:val="1"/>
      <w:marLeft w:val="0"/>
      <w:marRight w:val="0"/>
      <w:marTop w:val="0"/>
      <w:marBottom w:val="0"/>
      <w:divBdr>
        <w:top w:val="none" w:sz="0" w:space="0" w:color="auto"/>
        <w:left w:val="none" w:sz="0" w:space="0" w:color="auto"/>
        <w:bottom w:val="none" w:sz="0" w:space="0" w:color="auto"/>
        <w:right w:val="none" w:sz="0" w:space="0" w:color="auto"/>
      </w:divBdr>
      <w:divsChild>
        <w:div w:id="2004426623">
          <w:marLeft w:val="547"/>
          <w:marRight w:val="0"/>
          <w:marTop w:val="149"/>
          <w:marBottom w:val="0"/>
          <w:divBdr>
            <w:top w:val="none" w:sz="0" w:space="0" w:color="auto"/>
            <w:left w:val="none" w:sz="0" w:space="0" w:color="auto"/>
            <w:bottom w:val="none" w:sz="0" w:space="0" w:color="auto"/>
            <w:right w:val="none" w:sz="0" w:space="0" w:color="auto"/>
          </w:divBdr>
        </w:div>
        <w:div w:id="2145925477">
          <w:marLeft w:val="547"/>
          <w:marRight w:val="0"/>
          <w:marTop w:val="149"/>
          <w:marBottom w:val="0"/>
          <w:divBdr>
            <w:top w:val="none" w:sz="0" w:space="0" w:color="auto"/>
            <w:left w:val="none" w:sz="0" w:space="0" w:color="auto"/>
            <w:bottom w:val="none" w:sz="0" w:space="0" w:color="auto"/>
            <w:right w:val="none" w:sz="0" w:space="0" w:color="auto"/>
          </w:divBdr>
        </w:div>
        <w:div w:id="902058520">
          <w:marLeft w:val="547"/>
          <w:marRight w:val="0"/>
          <w:marTop w:val="149"/>
          <w:marBottom w:val="0"/>
          <w:divBdr>
            <w:top w:val="none" w:sz="0" w:space="0" w:color="auto"/>
            <w:left w:val="none" w:sz="0" w:space="0" w:color="auto"/>
            <w:bottom w:val="none" w:sz="0" w:space="0" w:color="auto"/>
            <w:right w:val="none" w:sz="0" w:space="0" w:color="auto"/>
          </w:divBdr>
        </w:div>
      </w:divsChild>
    </w:div>
    <w:div w:id="2048333659">
      <w:bodyDiv w:val="1"/>
      <w:marLeft w:val="0"/>
      <w:marRight w:val="0"/>
      <w:marTop w:val="0"/>
      <w:marBottom w:val="0"/>
      <w:divBdr>
        <w:top w:val="none" w:sz="0" w:space="0" w:color="auto"/>
        <w:left w:val="none" w:sz="0" w:space="0" w:color="auto"/>
        <w:bottom w:val="none" w:sz="0" w:space="0" w:color="auto"/>
        <w:right w:val="none" w:sz="0" w:space="0" w:color="auto"/>
      </w:divBdr>
    </w:div>
    <w:div w:id="2062820700">
      <w:bodyDiv w:val="1"/>
      <w:marLeft w:val="0"/>
      <w:marRight w:val="0"/>
      <w:marTop w:val="0"/>
      <w:marBottom w:val="0"/>
      <w:divBdr>
        <w:top w:val="none" w:sz="0" w:space="0" w:color="auto"/>
        <w:left w:val="none" w:sz="0" w:space="0" w:color="auto"/>
        <w:bottom w:val="none" w:sz="0" w:space="0" w:color="auto"/>
        <w:right w:val="none" w:sz="0" w:space="0" w:color="auto"/>
      </w:divBdr>
    </w:div>
    <w:div w:id="2063747035">
      <w:bodyDiv w:val="1"/>
      <w:marLeft w:val="0"/>
      <w:marRight w:val="0"/>
      <w:marTop w:val="0"/>
      <w:marBottom w:val="0"/>
      <w:divBdr>
        <w:top w:val="none" w:sz="0" w:space="0" w:color="auto"/>
        <w:left w:val="none" w:sz="0" w:space="0" w:color="auto"/>
        <w:bottom w:val="none" w:sz="0" w:space="0" w:color="auto"/>
        <w:right w:val="none" w:sz="0" w:space="0" w:color="auto"/>
      </w:divBdr>
      <w:divsChild>
        <w:div w:id="530529858">
          <w:marLeft w:val="547"/>
          <w:marRight w:val="0"/>
          <w:marTop w:val="0"/>
          <w:marBottom w:val="0"/>
          <w:divBdr>
            <w:top w:val="none" w:sz="0" w:space="0" w:color="auto"/>
            <w:left w:val="none" w:sz="0" w:space="0" w:color="auto"/>
            <w:bottom w:val="none" w:sz="0" w:space="0" w:color="auto"/>
            <w:right w:val="none" w:sz="0" w:space="0" w:color="auto"/>
          </w:divBdr>
        </w:div>
        <w:div w:id="1725791894">
          <w:marLeft w:val="547"/>
          <w:marRight w:val="0"/>
          <w:marTop w:val="0"/>
          <w:marBottom w:val="0"/>
          <w:divBdr>
            <w:top w:val="none" w:sz="0" w:space="0" w:color="auto"/>
            <w:left w:val="none" w:sz="0" w:space="0" w:color="auto"/>
            <w:bottom w:val="none" w:sz="0" w:space="0" w:color="auto"/>
            <w:right w:val="none" w:sz="0" w:space="0" w:color="auto"/>
          </w:divBdr>
        </w:div>
        <w:div w:id="1911310224">
          <w:marLeft w:val="547"/>
          <w:marRight w:val="0"/>
          <w:marTop w:val="0"/>
          <w:marBottom w:val="0"/>
          <w:divBdr>
            <w:top w:val="none" w:sz="0" w:space="0" w:color="auto"/>
            <w:left w:val="none" w:sz="0" w:space="0" w:color="auto"/>
            <w:bottom w:val="none" w:sz="0" w:space="0" w:color="auto"/>
            <w:right w:val="none" w:sz="0" w:space="0" w:color="auto"/>
          </w:divBdr>
        </w:div>
        <w:div w:id="720862520">
          <w:marLeft w:val="547"/>
          <w:marRight w:val="0"/>
          <w:marTop w:val="0"/>
          <w:marBottom w:val="0"/>
          <w:divBdr>
            <w:top w:val="none" w:sz="0" w:space="0" w:color="auto"/>
            <w:left w:val="none" w:sz="0" w:space="0" w:color="auto"/>
            <w:bottom w:val="none" w:sz="0" w:space="0" w:color="auto"/>
            <w:right w:val="none" w:sz="0" w:space="0" w:color="auto"/>
          </w:divBdr>
        </w:div>
      </w:divsChild>
    </w:div>
    <w:div w:id="2074695246">
      <w:bodyDiv w:val="1"/>
      <w:marLeft w:val="0"/>
      <w:marRight w:val="0"/>
      <w:marTop w:val="0"/>
      <w:marBottom w:val="0"/>
      <w:divBdr>
        <w:top w:val="none" w:sz="0" w:space="0" w:color="auto"/>
        <w:left w:val="none" w:sz="0" w:space="0" w:color="auto"/>
        <w:bottom w:val="none" w:sz="0" w:space="0" w:color="auto"/>
        <w:right w:val="none" w:sz="0" w:space="0" w:color="auto"/>
      </w:divBdr>
    </w:div>
    <w:div w:id="2077504633">
      <w:bodyDiv w:val="1"/>
      <w:marLeft w:val="0"/>
      <w:marRight w:val="0"/>
      <w:marTop w:val="0"/>
      <w:marBottom w:val="0"/>
      <w:divBdr>
        <w:top w:val="none" w:sz="0" w:space="0" w:color="auto"/>
        <w:left w:val="none" w:sz="0" w:space="0" w:color="auto"/>
        <w:bottom w:val="none" w:sz="0" w:space="0" w:color="auto"/>
        <w:right w:val="none" w:sz="0" w:space="0" w:color="auto"/>
      </w:divBdr>
      <w:divsChild>
        <w:div w:id="1767653253">
          <w:marLeft w:val="547"/>
          <w:marRight w:val="0"/>
          <w:marTop w:val="134"/>
          <w:marBottom w:val="0"/>
          <w:divBdr>
            <w:top w:val="none" w:sz="0" w:space="0" w:color="auto"/>
            <w:left w:val="none" w:sz="0" w:space="0" w:color="auto"/>
            <w:bottom w:val="none" w:sz="0" w:space="0" w:color="auto"/>
            <w:right w:val="none" w:sz="0" w:space="0" w:color="auto"/>
          </w:divBdr>
        </w:div>
      </w:divsChild>
    </w:div>
    <w:div w:id="2077966871">
      <w:bodyDiv w:val="1"/>
      <w:marLeft w:val="0"/>
      <w:marRight w:val="0"/>
      <w:marTop w:val="0"/>
      <w:marBottom w:val="0"/>
      <w:divBdr>
        <w:top w:val="none" w:sz="0" w:space="0" w:color="auto"/>
        <w:left w:val="none" w:sz="0" w:space="0" w:color="auto"/>
        <w:bottom w:val="none" w:sz="0" w:space="0" w:color="auto"/>
        <w:right w:val="none" w:sz="0" w:space="0" w:color="auto"/>
      </w:divBdr>
    </w:div>
    <w:div w:id="2094037681">
      <w:bodyDiv w:val="1"/>
      <w:marLeft w:val="0"/>
      <w:marRight w:val="0"/>
      <w:marTop w:val="0"/>
      <w:marBottom w:val="0"/>
      <w:divBdr>
        <w:top w:val="none" w:sz="0" w:space="0" w:color="auto"/>
        <w:left w:val="none" w:sz="0" w:space="0" w:color="auto"/>
        <w:bottom w:val="none" w:sz="0" w:space="0" w:color="auto"/>
        <w:right w:val="none" w:sz="0" w:space="0" w:color="auto"/>
      </w:divBdr>
    </w:div>
    <w:div w:id="2105564367">
      <w:bodyDiv w:val="1"/>
      <w:marLeft w:val="0"/>
      <w:marRight w:val="0"/>
      <w:marTop w:val="0"/>
      <w:marBottom w:val="0"/>
      <w:divBdr>
        <w:top w:val="none" w:sz="0" w:space="0" w:color="auto"/>
        <w:left w:val="none" w:sz="0" w:space="0" w:color="auto"/>
        <w:bottom w:val="none" w:sz="0" w:space="0" w:color="auto"/>
        <w:right w:val="none" w:sz="0" w:space="0" w:color="auto"/>
      </w:divBdr>
    </w:div>
    <w:div w:id="21204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13</Pages>
  <Words>1882</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炜 周</cp:lastModifiedBy>
  <cp:revision>492</cp:revision>
  <dcterms:created xsi:type="dcterms:W3CDTF">2018-01-11T11:43:00Z</dcterms:created>
  <dcterms:modified xsi:type="dcterms:W3CDTF">2023-06-20T10:16:00Z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