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5F817" w14:textId="062726B0" w:rsidR="00522B65" w:rsidRDefault="00522B65" w:rsidP="00A27921">
      <w:pPr>
        <w:pStyle w:val="1"/>
        <w:ind w:firstLineChars="0" w:firstLine="0"/>
      </w:pPr>
      <w:r>
        <w:rPr>
          <w:rFonts w:hint="eastAsia"/>
        </w:rPr>
        <w:t>一、</w:t>
      </w:r>
      <w:r w:rsidR="0055229C">
        <w:rPr>
          <w:rFonts w:hint="eastAsia"/>
        </w:rPr>
        <w:t>绪论</w:t>
      </w:r>
    </w:p>
    <w:p w14:paraId="4B4D5197" w14:textId="70ABA437" w:rsidR="00064F85" w:rsidRPr="00064F85" w:rsidRDefault="0055229C" w:rsidP="00064F85">
      <w:pPr>
        <w:ind w:firstLine="560"/>
      </w:pPr>
      <w:r>
        <w:rPr>
          <w:rFonts w:hint="eastAsia"/>
        </w:rPr>
        <w:t>随着全球经济与海上贸易的迅速发展，船舶在远洋及内河运输中发挥着关键作用。</w:t>
      </w:r>
      <w:r w:rsidR="00064F85">
        <w:rPr>
          <w:rFonts w:hint="eastAsia"/>
        </w:rPr>
        <w:t>尽管与其它运输方式相比，海运具有运载量大、安全性高和运营成本低等优势，但其庞大的规模使其成为环境影响的重要来源（</w:t>
      </w:r>
      <w:r w:rsidR="00064F85">
        <w:rPr>
          <w:rFonts w:hint="eastAsia"/>
        </w:rPr>
        <w:t xml:space="preserve">Ni </w:t>
      </w:r>
      <w:r w:rsidR="00064F85">
        <w:rPr>
          <w:rFonts w:hint="eastAsia"/>
        </w:rPr>
        <w:t>等人，</w:t>
      </w:r>
      <w:r w:rsidR="00064F85">
        <w:rPr>
          <w:rFonts w:hint="eastAsia"/>
        </w:rPr>
        <w:t xml:space="preserve">2020 </w:t>
      </w:r>
      <w:r w:rsidR="00064F85">
        <w:rPr>
          <w:rFonts w:hint="eastAsia"/>
        </w:rPr>
        <w:t>年；</w:t>
      </w:r>
      <w:r w:rsidR="00064F85">
        <w:rPr>
          <w:rFonts w:hint="eastAsia"/>
        </w:rPr>
        <w:t xml:space="preserve">Bach </w:t>
      </w:r>
      <w:r w:rsidR="00064F85">
        <w:rPr>
          <w:rFonts w:hint="eastAsia"/>
        </w:rPr>
        <w:t>等人，</w:t>
      </w:r>
      <w:r w:rsidR="00064F85">
        <w:rPr>
          <w:rFonts w:hint="eastAsia"/>
        </w:rPr>
        <w:t xml:space="preserve">2021 </w:t>
      </w:r>
      <w:r w:rsidR="00064F85">
        <w:rPr>
          <w:rFonts w:hint="eastAsia"/>
        </w:rPr>
        <w:t>年）</w:t>
      </w:r>
      <w:r>
        <w:rPr>
          <w:rFonts w:hint="eastAsia"/>
        </w:rPr>
        <w:t>，对港口与</w:t>
      </w:r>
      <w:proofErr w:type="gramStart"/>
      <w:r>
        <w:rPr>
          <w:rFonts w:hint="eastAsia"/>
        </w:rPr>
        <w:t>沿海环境</w:t>
      </w:r>
      <w:proofErr w:type="gramEnd"/>
      <w:r>
        <w:rPr>
          <w:rFonts w:hint="eastAsia"/>
        </w:rPr>
        <w:t>造成严重影响。</w:t>
      </w:r>
      <w:r w:rsidR="00064F85">
        <w:rPr>
          <w:rFonts w:hint="eastAsia"/>
        </w:rPr>
        <w:t>目前，海运约占交通运输部门总能耗的</w:t>
      </w:r>
      <w:r w:rsidR="00064F85">
        <w:rPr>
          <w:rFonts w:hint="eastAsia"/>
        </w:rPr>
        <w:t>12%</w:t>
      </w:r>
      <w:r w:rsidR="00064F85">
        <w:rPr>
          <w:rFonts w:hint="eastAsia"/>
        </w:rPr>
        <w:t>（</w:t>
      </w:r>
      <w:r w:rsidR="00064F85">
        <w:rPr>
          <w:rFonts w:hint="eastAsia"/>
        </w:rPr>
        <w:t xml:space="preserve">Balcombe </w:t>
      </w:r>
      <w:r w:rsidR="00064F85">
        <w:rPr>
          <w:rFonts w:hint="eastAsia"/>
        </w:rPr>
        <w:t>等人，</w:t>
      </w:r>
      <w:r w:rsidR="00064F85">
        <w:rPr>
          <w:rFonts w:hint="eastAsia"/>
        </w:rPr>
        <w:t>2019</w:t>
      </w:r>
      <w:r w:rsidR="00064F85">
        <w:rPr>
          <w:rFonts w:hint="eastAsia"/>
        </w:rPr>
        <w:t>年）。每年，船舶排放约占全球</w:t>
      </w:r>
      <w:r w:rsidR="00064F85">
        <w:t xml:space="preserve">CO₂ </w:t>
      </w:r>
      <w:r w:rsidR="00064F85">
        <w:rPr>
          <w:rFonts w:hint="eastAsia"/>
        </w:rPr>
        <w:t>排放量的</w:t>
      </w:r>
      <w:r w:rsidR="00064F85">
        <w:t>6%</w:t>
      </w:r>
      <w:r w:rsidR="00064F85">
        <w:rPr>
          <w:rFonts w:hint="eastAsia"/>
        </w:rPr>
        <w:t>，以及全球总氮氧化物和</w:t>
      </w:r>
      <w:proofErr w:type="gramStart"/>
      <w:r w:rsidR="00064F85">
        <w:rPr>
          <w:rFonts w:hint="eastAsia"/>
        </w:rPr>
        <w:t>硫氧化物</w:t>
      </w:r>
      <w:proofErr w:type="gramEnd"/>
      <w:r w:rsidR="00064F85">
        <w:rPr>
          <w:rFonts w:hint="eastAsia"/>
        </w:rPr>
        <w:t>排放量的</w:t>
      </w:r>
      <w:r w:rsidR="00064F85">
        <w:rPr>
          <w:rFonts w:hint="eastAsia"/>
        </w:rPr>
        <w:t>20%</w:t>
      </w:r>
      <w:r w:rsidR="00064F85">
        <w:rPr>
          <w:rFonts w:hint="eastAsia"/>
        </w:rPr>
        <w:t>以上，对港口和沿海地区的环境造成严重污染（</w:t>
      </w:r>
      <w:r w:rsidR="00064F85">
        <w:rPr>
          <w:rFonts w:hint="eastAsia"/>
        </w:rPr>
        <w:t xml:space="preserve">Wang </w:t>
      </w:r>
      <w:r w:rsidR="00064F85">
        <w:rPr>
          <w:rFonts w:hint="eastAsia"/>
        </w:rPr>
        <w:t>等人，</w:t>
      </w:r>
      <w:r w:rsidR="00064F85">
        <w:rPr>
          <w:rFonts w:hint="eastAsia"/>
        </w:rPr>
        <w:t xml:space="preserve">2022 </w:t>
      </w:r>
      <w:r w:rsidR="00064F85">
        <w:rPr>
          <w:rFonts w:hint="eastAsia"/>
        </w:rPr>
        <w:t>年；</w:t>
      </w:r>
      <w:r w:rsidR="00064F85">
        <w:rPr>
          <w:rFonts w:hint="eastAsia"/>
        </w:rPr>
        <w:t xml:space="preserve">Hoang </w:t>
      </w:r>
      <w:r w:rsidR="00064F85">
        <w:rPr>
          <w:rFonts w:hint="eastAsia"/>
        </w:rPr>
        <w:t>等人，</w:t>
      </w:r>
      <w:r w:rsidR="00064F85">
        <w:rPr>
          <w:rFonts w:hint="eastAsia"/>
        </w:rPr>
        <w:t xml:space="preserve">2022 </w:t>
      </w:r>
      <w:r w:rsidR="00064F85">
        <w:rPr>
          <w:rFonts w:hint="eastAsia"/>
        </w:rPr>
        <w:t>年）。为减少船舶排放并控制其影响，国际海事组织（</w:t>
      </w:r>
      <w:r w:rsidR="00064F85">
        <w:rPr>
          <w:rFonts w:hint="eastAsia"/>
        </w:rPr>
        <w:t>IMO</w:t>
      </w:r>
      <w:r w:rsidR="00064F85">
        <w:rPr>
          <w:rFonts w:hint="eastAsia"/>
        </w:rPr>
        <w:t>）于</w:t>
      </w:r>
      <w:r w:rsidR="00064F85">
        <w:rPr>
          <w:rFonts w:hint="eastAsia"/>
        </w:rPr>
        <w:t xml:space="preserve">2018 </w:t>
      </w:r>
      <w:r w:rsidR="00064F85">
        <w:rPr>
          <w:rFonts w:hint="eastAsia"/>
        </w:rPr>
        <w:t>年通过了一项气候战略，设定了到</w:t>
      </w:r>
      <w:r w:rsidR="00064F85">
        <w:rPr>
          <w:rFonts w:hint="eastAsia"/>
        </w:rPr>
        <w:t xml:space="preserve">2050 </w:t>
      </w:r>
      <w:r w:rsidR="00064F85">
        <w:rPr>
          <w:rFonts w:hint="eastAsia"/>
        </w:rPr>
        <w:t>年将航运温室气体排放量在</w:t>
      </w:r>
      <w:r w:rsidR="00064F85">
        <w:rPr>
          <w:rFonts w:hint="eastAsia"/>
        </w:rPr>
        <w:t xml:space="preserve">2008 </w:t>
      </w:r>
      <w:r w:rsidR="00064F85">
        <w:rPr>
          <w:rFonts w:hint="eastAsia"/>
        </w:rPr>
        <w:t>年的水平上减少</w:t>
      </w:r>
      <w:r w:rsidR="00064F85">
        <w:rPr>
          <w:rFonts w:hint="eastAsia"/>
        </w:rPr>
        <w:t xml:space="preserve">50% </w:t>
      </w:r>
      <w:r w:rsidR="00064F85">
        <w:rPr>
          <w:rFonts w:hint="eastAsia"/>
        </w:rPr>
        <w:t>的目标（</w:t>
      </w:r>
      <w:r w:rsidR="00064F85">
        <w:rPr>
          <w:rFonts w:hint="eastAsia"/>
        </w:rPr>
        <w:t xml:space="preserve">Jimenez </w:t>
      </w:r>
      <w:r w:rsidR="00064F85">
        <w:rPr>
          <w:rFonts w:hint="eastAsia"/>
        </w:rPr>
        <w:t>等人，</w:t>
      </w:r>
      <w:r w:rsidR="00064F85">
        <w:rPr>
          <w:rFonts w:hint="eastAsia"/>
        </w:rPr>
        <w:t xml:space="preserve">2022 </w:t>
      </w:r>
      <w:r w:rsidR="00064F85">
        <w:rPr>
          <w:rFonts w:hint="eastAsia"/>
        </w:rPr>
        <w:t>年）。各国政府也提出了区域船舶排放标准，包括对</w:t>
      </w:r>
      <w:r w:rsidR="00064F85">
        <w:rPr>
          <w:rFonts w:hint="eastAsia"/>
        </w:rPr>
        <w:t>NOX</w:t>
      </w:r>
      <w:r w:rsidR="00064F85">
        <w:rPr>
          <w:rFonts w:hint="eastAsia"/>
        </w:rPr>
        <w:t>、</w:t>
      </w:r>
      <w:r w:rsidR="00064F85">
        <w:rPr>
          <w:rFonts w:hint="eastAsia"/>
        </w:rPr>
        <w:t>PM</w:t>
      </w:r>
      <w:r w:rsidR="00064F85">
        <w:rPr>
          <w:rFonts w:hint="eastAsia"/>
        </w:rPr>
        <w:t>、</w:t>
      </w:r>
      <w:r w:rsidR="00064F85">
        <w:rPr>
          <w:rFonts w:hint="eastAsia"/>
        </w:rPr>
        <w:t>HC</w:t>
      </w:r>
      <w:r w:rsidR="00064F85">
        <w:rPr>
          <w:rFonts w:hint="eastAsia"/>
        </w:rPr>
        <w:t>、</w:t>
      </w:r>
      <w:r w:rsidR="00064F85">
        <w:rPr>
          <w:rFonts w:hint="eastAsia"/>
        </w:rPr>
        <w:t>CO</w:t>
      </w:r>
      <w:r w:rsidR="00064F85">
        <w:rPr>
          <w:rFonts w:hint="eastAsia"/>
        </w:rPr>
        <w:t>、</w:t>
      </w:r>
      <w:r w:rsidR="00064F85">
        <w:rPr>
          <w:rFonts w:hint="eastAsia"/>
        </w:rPr>
        <w:t>SOX</w:t>
      </w:r>
      <w:r w:rsidR="00064F85">
        <w:rPr>
          <w:rFonts w:hint="eastAsia"/>
        </w:rPr>
        <w:t>、甲烷和颗粒数量等排放物的控制（</w:t>
      </w:r>
      <w:r w:rsidR="00064F85">
        <w:rPr>
          <w:rFonts w:hint="eastAsia"/>
        </w:rPr>
        <w:t xml:space="preserve">Horvath </w:t>
      </w:r>
      <w:r w:rsidR="00064F85">
        <w:rPr>
          <w:rFonts w:hint="eastAsia"/>
        </w:rPr>
        <w:t>等人，</w:t>
      </w:r>
      <w:r w:rsidR="00064F85">
        <w:rPr>
          <w:rFonts w:hint="eastAsia"/>
        </w:rPr>
        <w:t xml:space="preserve">2018 </w:t>
      </w:r>
      <w:r w:rsidR="00064F85">
        <w:rPr>
          <w:rFonts w:hint="eastAsia"/>
        </w:rPr>
        <w:t>年）。</w:t>
      </w:r>
    </w:p>
    <w:p w14:paraId="78EDE774" w14:textId="444D6F9F" w:rsidR="009A7184" w:rsidRDefault="0055229C" w:rsidP="009A7184">
      <w:pPr>
        <w:ind w:firstLine="560"/>
      </w:pPr>
      <w:r>
        <w:rPr>
          <w:rFonts w:hint="eastAsia"/>
        </w:rPr>
        <w:t>在这一背景下，</w:t>
      </w:r>
      <w:r w:rsidR="009A7184">
        <w:rPr>
          <w:rFonts w:hint="eastAsia"/>
        </w:rPr>
        <w:t>船舶发动机只能依靠先进的燃料和燃烧技术来控制排放</w:t>
      </w:r>
      <w:r w:rsidR="00A27921">
        <w:rPr>
          <w:rFonts w:hint="eastAsia"/>
        </w:rPr>
        <w:t>污染</w:t>
      </w:r>
      <w:r w:rsidR="009A7184">
        <w:rPr>
          <w:rFonts w:hint="eastAsia"/>
        </w:rPr>
        <w:t>，</w:t>
      </w:r>
      <w:r w:rsidR="009A7184" w:rsidRPr="009A7184">
        <w:rPr>
          <w:rFonts w:hint="eastAsia"/>
        </w:rPr>
        <w:t>燃料技术领域的主流研究趋势是</w:t>
      </w:r>
      <w:r w:rsidR="00A27921">
        <w:rPr>
          <w:rFonts w:hint="eastAsia"/>
        </w:rPr>
        <w:t>替换</w:t>
      </w:r>
      <w:r w:rsidR="009A7184" w:rsidRPr="009A7184">
        <w:rPr>
          <w:rFonts w:hint="eastAsia"/>
        </w:rPr>
        <w:t>船用燃料</w:t>
      </w:r>
      <w:r w:rsidR="00A27921">
        <w:rPr>
          <w:rFonts w:hint="eastAsia"/>
        </w:rPr>
        <w:t>。</w:t>
      </w:r>
      <w:r>
        <w:rPr>
          <w:rFonts w:hint="eastAsia"/>
        </w:rPr>
        <w:t>甲醇因其原料来源广、制备工艺相对成熟、燃烧过程清洁且与现有系统兼容，被认为是一种极具应用前景的替代燃料。</w:t>
      </w:r>
      <w:r w:rsidR="009A7184">
        <w:rPr>
          <w:rFonts w:hint="eastAsia"/>
        </w:rPr>
        <w:t>甲醇主要通过天然气重整或煤合成气催化转化合成，具有原料来源广泛、生产技术成熟、加注和运输方便等优点（</w:t>
      </w:r>
      <w:r w:rsidR="009A7184">
        <w:rPr>
          <w:rFonts w:hint="eastAsia"/>
        </w:rPr>
        <w:t xml:space="preserve">Svanberg </w:t>
      </w:r>
      <w:r w:rsidR="009A7184">
        <w:rPr>
          <w:rFonts w:hint="eastAsia"/>
        </w:rPr>
        <w:t>等人，</w:t>
      </w:r>
      <w:r w:rsidR="009A7184">
        <w:rPr>
          <w:rFonts w:hint="eastAsia"/>
        </w:rPr>
        <w:t xml:space="preserve">2018 </w:t>
      </w:r>
      <w:r w:rsidR="009A7184">
        <w:rPr>
          <w:rFonts w:hint="eastAsia"/>
        </w:rPr>
        <w:t>年）。</w:t>
      </w:r>
      <w:r w:rsidR="009A7184" w:rsidRPr="009A7184">
        <w:rPr>
          <w:rFonts w:hint="eastAsia"/>
        </w:rPr>
        <w:t>短期内，甲烷可以作为航运的过渡燃料</w:t>
      </w:r>
      <w:r w:rsidR="009A7184">
        <w:rPr>
          <w:rFonts w:hint="eastAsia"/>
        </w:rPr>
        <w:t>，而</w:t>
      </w:r>
      <w:r w:rsidR="009A7184" w:rsidRPr="009A7184">
        <w:rPr>
          <w:rFonts w:hint="eastAsia"/>
        </w:rPr>
        <w:t>以甲醇为主的可再生燃料将是未来的目标（</w:t>
      </w:r>
      <w:r w:rsidR="009A7184" w:rsidRPr="009A7184">
        <w:rPr>
          <w:rFonts w:hint="eastAsia"/>
        </w:rPr>
        <w:t xml:space="preserve">Xing </w:t>
      </w:r>
      <w:r w:rsidR="009A7184" w:rsidRPr="009A7184">
        <w:rPr>
          <w:rFonts w:hint="eastAsia"/>
        </w:rPr>
        <w:lastRenderedPageBreak/>
        <w:t>等人，</w:t>
      </w:r>
      <w:r w:rsidR="009A7184" w:rsidRPr="009A7184">
        <w:rPr>
          <w:rFonts w:hint="eastAsia"/>
        </w:rPr>
        <w:t xml:space="preserve">2021 </w:t>
      </w:r>
      <w:r w:rsidR="009A7184" w:rsidRPr="009A7184">
        <w:rPr>
          <w:rFonts w:hint="eastAsia"/>
        </w:rPr>
        <w:t>年）。</w:t>
      </w:r>
      <w:r w:rsidR="009A7184">
        <w:rPr>
          <w:rFonts w:hint="eastAsia"/>
        </w:rPr>
        <w:t>在燃烧技术领域，低温燃烧（</w:t>
      </w:r>
      <w:r w:rsidR="009A7184">
        <w:rPr>
          <w:rFonts w:hint="eastAsia"/>
        </w:rPr>
        <w:t>LTC</w:t>
      </w:r>
      <w:r w:rsidR="009A7184">
        <w:rPr>
          <w:rFonts w:hint="eastAsia"/>
        </w:rPr>
        <w:t>）因其比传统柴油燃烧效率更高且更清洁的特点而备受关注。低温燃烧可通过均质压燃（</w:t>
      </w:r>
      <w:r w:rsidR="009A7184">
        <w:rPr>
          <w:rFonts w:hint="eastAsia"/>
        </w:rPr>
        <w:t>HCCI</w:t>
      </w:r>
      <w:r w:rsidR="009A7184">
        <w:rPr>
          <w:rFonts w:hint="eastAsia"/>
        </w:rPr>
        <w:t>）、预混压燃（</w:t>
      </w:r>
      <w:r w:rsidR="009A7184">
        <w:rPr>
          <w:rFonts w:hint="eastAsia"/>
        </w:rPr>
        <w:t>PCCI</w:t>
      </w:r>
      <w:r w:rsidR="009A7184">
        <w:rPr>
          <w:rFonts w:hint="eastAsia"/>
        </w:rPr>
        <w:t>）和反应性控制压燃（</w:t>
      </w:r>
      <w:r w:rsidR="009A7184">
        <w:rPr>
          <w:rFonts w:hint="eastAsia"/>
        </w:rPr>
        <w:t>RCCI</w:t>
      </w:r>
      <w:r w:rsidR="009A7184">
        <w:rPr>
          <w:rFonts w:hint="eastAsia"/>
        </w:rPr>
        <w:t>）来实现（</w:t>
      </w:r>
      <w:r w:rsidR="009A7184">
        <w:rPr>
          <w:rFonts w:hint="eastAsia"/>
        </w:rPr>
        <w:t xml:space="preserve">Reitz </w:t>
      </w:r>
      <w:r w:rsidR="009A7184">
        <w:rPr>
          <w:rFonts w:hint="eastAsia"/>
        </w:rPr>
        <w:t>和</w:t>
      </w:r>
      <w:r w:rsidR="009A7184">
        <w:rPr>
          <w:rFonts w:hint="eastAsia"/>
        </w:rPr>
        <w:t>Duraisamy</w:t>
      </w:r>
      <w:r w:rsidR="009A7184">
        <w:rPr>
          <w:rFonts w:hint="eastAsia"/>
        </w:rPr>
        <w:t>，</w:t>
      </w:r>
      <w:r w:rsidR="009A7184">
        <w:rPr>
          <w:rFonts w:hint="eastAsia"/>
        </w:rPr>
        <w:t>2015</w:t>
      </w:r>
      <w:r w:rsidR="009A7184">
        <w:rPr>
          <w:rFonts w:hint="eastAsia"/>
        </w:rPr>
        <w:t>）。然而，由于</w:t>
      </w:r>
      <w:r w:rsidR="009A7184">
        <w:rPr>
          <w:rFonts w:hint="eastAsia"/>
        </w:rPr>
        <w:t xml:space="preserve">RRCI </w:t>
      </w:r>
      <w:r w:rsidR="009A7184">
        <w:rPr>
          <w:rFonts w:hint="eastAsia"/>
        </w:rPr>
        <w:t>与化学动力学密切相关，基于</w:t>
      </w:r>
      <w:r w:rsidR="009A7184">
        <w:rPr>
          <w:rFonts w:hint="eastAsia"/>
        </w:rPr>
        <w:t xml:space="preserve">RCCI </w:t>
      </w:r>
      <w:r w:rsidR="009A7184">
        <w:rPr>
          <w:rFonts w:hint="eastAsia"/>
        </w:rPr>
        <w:t>的低温燃烧面临着燃烧相位控制的挑战。高比例的预混燃烧限制了其在高负荷工况下的应用（</w:t>
      </w:r>
      <w:r w:rsidR="009A7184">
        <w:rPr>
          <w:rFonts w:hint="eastAsia"/>
        </w:rPr>
        <w:t xml:space="preserve">Yao </w:t>
      </w:r>
      <w:r w:rsidR="009A7184">
        <w:rPr>
          <w:rFonts w:hint="eastAsia"/>
        </w:rPr>
        <w:t>等人，</w:t>
      </w:r>
      <w:r w:rsidR="009A7184">
        <w:rPr>
          <w:rFonts w:hint="eastAsia"/>
        </w:rPr>
        <w:t>2009</w:t>
      </w:r>
      <w:r w:rsidR="009A7184">
        <w:rPr>
          <w:rFonts w:hint="eastAsia"/>
        </w:rPr>
        <w:t>；</w:t>
      </w:r>
      <w:r w:rsidR="009A7184">
        <w:rPr>
          <w:rFonts w:hint="eastAsia"/>
        </w:rPr>
        <w:t xml:space="preserve">Agarwal </w:t>
      </w:r>
      <w:r w:rsidR="009A7184">
        <w:rPr>
          <w:rFonts w:hint="eastAsia"/>
        </w:rPr>
        <w:t>等人，</w:t>
      </w:r>
      <w:r w:rsidR="009A7184">
        <w:rPr>
          <w:rFonts w:hint="eastAsia"/>
        </w:rPr>
        <w:t>2022</w:t>
      </w:r>
      <w:r w:rsidR="009A7184">
        <w:rPr>
          <w:rFonts w:hint="eastAsia"/>
        </w:rPr>
        <w:t>）。同时，低负荷时的低排气温度通常不足以达到柴油氧化催化剂的反应温度，因此低温燃烧模式也因</w:t>
      </w:r>
      <w:r w:rsidR="009A7184">
        <w:rPr>
          <w:rFonts w:hint="eastAsia"/>
        </w:rPr>
        <w:t xml:space="preserve">HC </w:t>
      </w:r>
      <w:r w:rsidR="009A7184">
        <w:rPr>
          <w:rFonts w:hint="eastAsia"/>
        </w:rPr>
        <w:t>和</w:t>
      </w:r>
      <w:r w:rsidR="009A7184">
        <w:rPr>
          <w:rFonts w:hint="eastAsia"/>
        </w:rPr>
        <w:t xml:space="preserve"> CO </w:t>
      </w:r>
      <w:r w:rsidR="009A7184">
        <w:rPr>
          <w:rFonts w:hint="eastAsia"/>
        </w:rPr>
        <w:t>排放而受到限制（</w:t>
      </w:r>
      <w:r w:rsidR="009A7184">
        <w:rPr>
          <w:rFonts w:hint="eastAsia"/>
        </w:rPr>
        <w:t xml:space="preserve">Dempsey </w:t>
      </w:r>
      <w:r w:rsidR="009A7184">
        <w:rPr>
          <w:rFonts w:hint="eastAsia"/>
        </w:rPr>
        <w:t>等人，</w:t>
      </w:r>
      <w:r w:rsidR="009A7184">
        <w:rPr>
          <w:rFonts w:hint="eastAsia"/>
        </w:rPr>
        <w:t>2016</w:t>
      </w:r>
      <w:r w:rsidR="009A7184">
        <w:rPr>
          <w:rFonts w:hint="eastAsia"/>
        </w:rPr>
        <w:t>）。为了扩大</w:t>
      </w:r>
      <w:r w:rsidR="009A7184">
        <w:rPr>
          <w:rFonts w:hint="eastAsia"/>
        </w:rPr>
        <w:t xml:space="preserve">RCCI </w:t>
      </w:r>
      <w:r w:rsidR="009A7184">
        <w:rPr>
          <w:rFonts w:hint="eastAsia"/>
        </w:rPr>
        <w:t>发动机的高性能运行范围，已提出了一些缸内控制策略，包括采用较低的压缩比、可变气门正时和低反应性燃料。然而，这些技术通常仅用于解决高负荷下的燃烧范围扩展问题，却牺牲了均质压燃（</w:t>
      </w:r>
      <w:r w:rsidR="009A7184">
        <w:rPr>
          <w:rFonts w:hint="eastAsia"/>
        </w:rPr>
        <w:t>RCCI</w:t>
      </w:r>
      <w:r w:rsidR="009A7184">
        <w:rPr>
          <w:rFonts w:hint="eastAsia"/>
        </w:rPr>
        <w:t>）发动机在低负荷下的性能（</w:t>
      </w:r>
      <w:r w:rsidR="009A7184">
        <w:rPr>
          <w:rFonts w:hint="eastAsia"/>
        </w:rPr>
        <w:t xml:space="preserve">Wang </w:t>
      </w:r>
      <w:r w:rsidR="009A7184">
        <w:rPr>
          <w:rFonts w:hint="eastAsia"/>
        </w:rPr>
        <w:t>等人，</w:t>
      </w:r>
      <w:r w:rsidR="009A7184">
        <w:rPr>
          <w:rFonts w:hint="eastAsia"/>
        </w:rPr>
        <w:t xml:space="preserve">2016 </w:t>
      </w:r>
      <w:r w:rsidR="009A7184">
        <w:rPr>
          <w:rFonts w:hint="eastAsia"/>
        </w:rPr>
        <w:t>年）。为了解决传统低速预混压燃（</w:t>
      </w:r>
      <w:r w:rsidR="009A7184">
        <w:rPr>
          <w:rFonts w:hint="eastAsia"/>
        </w:rPr>
        <w:t>LTC</w:t>
      </w:r>
      <w:r w:rsidR="009A7184">
        <w:rPr>
          <w:rFonts w:hint="eastAsia"/>
        </w:rPr>
        <w:t>）模式的高性能运行范围限制，提出了一种新的</w:t>
      </w:r>
      <w:r w:rsidR="009A7184">
        <w:rPr>
          <w:rFonts w:hint="eastAsia"/>
        </w:rPr>
        <w:t xml:space="preserve">LTC </w:t>
      </w:r>
      <w:r w:rsidR="009A7184">
        <w:rPr>
          <w:rFonts w:hint="eastAsia"/>
        </w:rPr>
        <w:t>技术，称为直接双燃料分层（</w:t>
      </w:r>
      <w:r w:rsidR="009A7184">
        <w:rPr>
          <w:rFonts w:hint="eastAsia"/>
        </w:rPr>
        <w:t>DDFS</w:t>
      </w:r>
      <w:r w:rsidR="009A7184">
        <w:rPr>
          <w:rFonts w:hint="eastAsia"/>
        </w:rPr>
        <w:t>）。</w:t>
      </w:r>
      <w:r w:rsidR="009A7184">
        <w:rPr>
          <w:rFonts w:hint="eastAsia"/>
        </w:rPr>
        <w:t xml:space="preserve">DDFS </w:t>
      </w:r>
      <w:r w:rsidR="009A7184">
        <w:rPr>
          <w:rFonts w:hint="eastAsia"/>
        </w:rPr>
        <w:t>模式涉及在燃烧室内布置两个直接喷射喷油器，通过灵活的喷射策略实现对燃烧过程和放热率（</w:t>
      </w:r>
      <w:r w:rsidR="009A7184">
        <w:rPr>
          <w:rFonts w:hint="eastAsia"/>
        </w:rPr>
        <w:t>HRR</w:t>
      </w:r>
      <w:r w:rsidR="009A7184">
        <w:rPr>
          <w:rFonts w:hint="eastAsia"/>
        </w:rPr>
        <w:t>）的精确控制（</w:t>
      </w:r>
      <w:r w:rsidR="009A7184">
        <w:rPr>
          <w:rFonts w:hint="eastAsia"/>
        </w:rPr>
        <w:t xml:space="preserve">Wissink </w:t>
      </w:r>
      <w:r w:rsidR="009A7184">
        <w:rPr>
          <w:rFonts w:hint="eastAsia"/>
        </w:rPr>
        <w:t>和</w:t>
      </w:r>
      <w:r w:rsidR="009A7184">
        <w:rPr>
          <w:rFonts w:hint="eastAsia"/>
        </w:rPr>
        <w:t xml:space="preserve"> Reitz</w:t>
      </w:r>
      <w:r w:rsidR="009A7184">
        <w:rPr>
          <w:rFonts w:hint="eastAsia"/>
        </w:rPr>
        <w:t>，</w:t>
      </w:r>
      <w:r w:rsidR="009A7184">
        <w:rPr>
          <w:rFonts w:hint="eastAsia"/>
        </w:rPr>
        <w:t xml:space="preserve">2016 </w:t>
      </w:r>
      <w:r w:rsidR="009A7184">
        <w:rPr>
          <w:rFonts w:hint="eastAsia"/>
        </w:rPr>
        <w:t>年）。两个独立的喷射控制系统使得</w:t>
      </w:r>
      <w:r w:rsidR="009A7184">
        <w:rPr>
          <w:rFonts w:hint="eastAsia"/>
        </w:rPr>
        <w:t xml:space="preserve">DDFS </w:t>
      </w:r>
      <w:r w:rsidR="009A7184">
        <w:rPr>
          <w:rFonts w:hint="eastAsia"/>
        </w:rPr>
        <w:t>策略能够灵活控制气缸内的反应性和浓度分层，并能够在各种运行条件下切换燃烧模式。这种方法有望在整个发动机运行范围内实现高性能（</w:t>
      </w:r>
      <w:proofErr w:type="spellStart"/>
      <w:r w:rsidR="009A7184">
        <w:rPr>
          <w:rFonts w:hint="eastAsia"/>
        </w:rPr>
        <w:t>Muniappan</w:t>
      </w:r>
      <w:proofErr w:type="spellEnd"/>
      <w:r w:rsidR="009A7184">
        <w:rPr>
          <w:rFonts w:hint="eastAsia"/>
        </w:rPr>
        <w:t xml:space="preserve"> </w:t>
      </w:r>
      <w:r w:rsidR="009A7184">
        <w:rPr>
          <w:rFonts w:hint="eastAsia"/>
        </w:rPr>
        <w:t>等人</w:t>
      </w:r>
      <w:r w:rsidR="009A7184">
        <w:rPr>
          <w:rFonts w:hint="eastAsia"/>
        </w:rPr>
        <w:t xml:space="preserve">2020 </w:t>
      </w:r>
      <w:r w:rsidR="009A7184">
        <w:rPr>
          <w:rFonts w:hint="eastAsia"/>
        </w:rPr>
        <w:t>年）。作为船舶能源系统转型的主要目标，甲醇具有较高的辛烷值，抗爆性能优异，其高</w:t>
      </w:r>
      <w:r w:rsidR="009A7184">
        <w:rPr>
          <w:rFonts w:hint="eastAsia"/>
        </w:rPr>
        <w:t xml:space="preserve">H/C </w:t>
      </w:r>
      <w:r w:rsidR="009A7184">
        <w:rPr>
          <w:rFonts w:hint="eastAsia"/>
        </w:rPr>
        <w:t>比使得燃烧过程中</w:t>
      </w:r>
      <w:r w:rsidR="009A7184">
        <w:rPr>
          <w:rFonts w:hint="eastAsia"/>
        </w:rPr>
        <w:t>CO</w:t>
      </w:r>
      <w:r w:rsidR="009A7184" w:rsidRPr="00A27921">
        <w:rPr>
          <w:rFonts w:hint="eastAsia"/>
          <w:vertAlign w:val="subscript"/>
        </w:rPr>
        <w:t xml:space="preserve">2 </w:t>
      </w:r>
      <w:r w:rsidR="009A7184">
        <w:rPr>
          <w:rFonts w:hint="eastAsia"/>
        </w:rPr>
        <w:t>排放量更低。此外，燃料中的氧为碳烟和未燃烃的进一</w:t>
      </w:r>
      <w:r w:rsidR="009A7184">
        <w:rPr>
          <w:rFonts w:hint="eastAsia"/>
        </w:rPr>
        <w:lastRenderedPageBreak/>
        <w:t>步氧化提供了条件。（</w:t>
      </w:r>
      <w:r w:rsidR="009A7184">
        <w:rPr>
          <w:rFonts w:hint="eastAsia"/>
        </w:rPr>
        <w:t xml:space="preserve">Jia </w:t>
      </w:r>
      <w:r w:rsidR="009A7184">
        <w:rPr>
          <w:rFonts w:hint="eastAsia"/>
        </w:rPr>
        <w:t>和</w:t>
      </w:r>
      <w:r w:rsidR="009A7184">
        <w:rPr>
          <w:rFonts w:hint="eastAsia"/>
        </w:rPr>
        <w:t xml:space="preserve"> </w:t>
      </w:r>
      <w:proofErr w:type="spellStart"/>
      <w:r w:rsidR="009A7184">
        <w:rPr>
          <w:rFonts w:hint="eastAsia"/>
        </w:rPr>
        <w:t>Denbratt</w:t>
      </w:r>
      <w:proofErr w:type="spellEnd"/>
      <w:r w:rsidR="009A7184">
        <w:rPr>
          <w:rFonts w:hint="eastAsia"/>
        </w:rPr>
        <w:t>，</w:t>
      </w:r>
      <w:r w:rsidR="009A7184">
        <w:rPr>
          <w:rFonts w:hint="eastAsia"/>
        </w:rPr>
        <w:t xml:space="preserve">2018 </w:t>
      </w:r>
      <w:r w:rsidR="009A7184">
        <w:rPr>
          <w:rFonts w:hint="eastAsia"/>
        </w:rPr>
        <w:t>年）</w:t>
      </w:r>
    </w:p>
    <w:p w14:paraId="69375212" w14:textId="3AC93DAB" w:rsidR="009A7184" w:rsidRDefault="009A7184" w:rsidP="009A7184">
      <w:pPr>
        <w:ind w:firstLine="560"/>
      </w:pPr>
      <w:r>
        <w:rPr>
          <w:rFonts w:hint="eastAsia"/>
        </w:rPr>
        <w:t>针对甲醇</w:t>
      </w:r>
      <w:r>
        <w:rPr>
          <w:rFonts w:hint="eastAsia"/>
        </w:rPr>
        <w:t>/</w:t>
      </w:r>
      <w:r>
        <w:rPr>
          <w:rFonts w:hint="eastAsia"/>
        </w:rPr>
        <w:t>柴油</w:t>
      </w:r>
      <w:r>
        <w:rPr>
          <w:rFonts w:hint="eastAsia"/>
        </w:rPr>
        <w:t xml:space="preserve">DDFS </w:t>
      </w:r>
      <w:r>
        <w:rPr>
          <w:rFonts w:hint="eastAsia"/>
        </w:rPr>
        <w:t>发动机的研究已有很多，总结见表</w:t>
      </w:r>
      <w:r>
        <w:rPr>
          <w:rFonts w:hint="eastAsia"/>
        </w:rPr>
        <w:t>1</w:t>
      </w:r>
      <w:r>
        <w:rPr>
          <w:rFonts w:hint="eastAsia"/>
        </w:rPr>
        <w:t>。根据研究结果，目前相关研究主要针对小排量发动机。与传统的</w:t>
      </w:r>
      <w:r>
        <w:rPr>
          <w:rFonts w:hint="eastAsia"/>
        </w:rPr>
        <w:t xml:space="preserve">RCCI </w:t>
      </w:r>
      <w:r>
        <w:rPr>
          <w:rFonts w:hint="eastAsia"/>
        </w:rPr>
        <w:t>模式相比，甲醇</w:t>
      </w:r>
      <w:r>
        <w:rPr>
          <w:rFonts w:hint="eastAsia"/>
        </w:rPr>
        <w:t>/</w:t>
      </w:r>
      <w:r>
        <w:rPr>
          <w:rFonts w:hint="eastAsia"/>
        </w:rPr>
        <w:t>柴油</w:t>
      </w:r>
      <w:r>
        <w:rPr>
          <w:rFonts w:hint="eastAsia"/>
        </w:rPr>
        <w:t xml:space="preserve">DDFS </w:t>
      </w:r>
      <w:r>
        <w:rPr>
          <w:rFonts w:hint="eastAsia"/>
        </w:rPr>
        <w:t>模式在小排量发动机中表现出更高的热效率、更低的排放以及更高的能量回收潜力（</w:t>
      </w:r>
      <w:r>
        <w:rPr>
          <w:rFonts w:hint="eastAsia"/>
        </w:rPr>
        <w:t xml:space="preserve">Jia </w:t>
      </w:r>
      <w:r>
        <w:rPr>
          <w:rFonts w:hint="eastAsia"/>
        </w:rPr>
        <w:t>和</w:t>
      </w:r>
      <w:proofErr w:type="spellStart"/>
      <w:r>
        <w:rPr>
          <w:rFonts w:hint="eastAsia"/>
        </w:rPr>
        <w:t>Denbratt</w:t>
      </w:r>
      <w:proofErr w:type="spellEnd"/>
      <w:r>
        <w:rPr>
          <w:rFonts w:hint="eastAsia"/>
        </w:rPr>
        <w:t>，</w:t>
      </w:r>
      <w:r>
        <w:rPr>
          <w:rFonts w:hint="eastAsia"/>
        </w:rPr>
        <w:t xml:space="preserve">2018 </w:t>
      </w:r>
      <w:r>
        <w:rPr>
          <w:rFonts w:hint="eastAsia"/>
        </w:rPr>
        <w:t>年；</w:t>
      </w:r>
      <w:r>
        <w:rPr>
          <w:rFonts w:hint="eastAsia"/>
        </w:rPr>
        <w:t xml:space="preserve">Jia </w:t>
      </w:r>
      <w:r>
        <w:rPr>
          <w:rFonts w:hint="eastAsia"/>
        </w:rPr>
        <w:t>等人，</w:t>
      </w:r>
      <w:r>
        <w:rPr>
          <w:rFonts w:hint="eastAsia"/>
        </w:rPr>
        <w:t xml:space="preserve">2020 </w:t>
      </w:r>
      <w:r>
        <w:rPr>
          <w:rFonts w:hint="eastAsia"/>
        </w:rPr>
        <w:t>年；</w:t>
      </w:r>
      <w:r>
        <w:rPr>
          <w:rFonts w:hint="eastAsia"/>
        </w:rPr>
        <w:t xml:space="preserve">Li </w:t>
      </w:r>
      <w:r>
        <w:rPr>
          <w:rFonts w:hint="eastAsia"/>
        </w:rPr>
        <w:t>等人，</w:t>
      </w:r>
      <w:r>
        <w:rPr>
          <w:rFonts w:hint="eastAsia"/>
        </w:rPr>
        <w:t xml:space="preserve">2019 </w:t>
      </w:r>
      <w:r>
        <w:rPr>
          <w:rFonts w:hint="eastAsia"/>
        </w:rPr>
        <w:t>年、</w:t>
      </w:r>
      <w:r>
        <w:rPr>
          <w:rFonts w:hint="eastAsia"/>
        </w:rPr>
        <w:t xml:space="preserve">2020 </w:t>
      </w:r>
      <w:r>
        <w:rPr>
          <w:rFonts w:hint="eastAsia"/>
        </w:rPr>
        <w:t>年、</w:t>
      </w:r>
      <w:r>
        <w:rPr>
          <w:rFonts w:hint="eastAsia"/>
        </w:rPr>
        <w:t xml:space="preserve">2021 </w:t>
      </w:r>
      <w:r>
        <w:rPr>
          <w:rFonts w:hint="eastAsia"/>
        </w:rPr>
        <w:t>年、</w:t>
      </w:r>
      <w:r>
        <w:rPr>
          <w:rFonts w:hint="eastAsia"/>
        </w:rPr>
        <w:t xml:space="preserve">2022a </w:t>
      </w:r>
      <w:r>
        <w:rPr>
          <w:rFonts w:hint="eastAsia"/>
        </w:rPr>
        <w:t>年、</w:t>
      </w:r>
      <w:r>
        <w:rPr>
          <w:rFonts w:hint="eastAsia"/>
        </w:rPr>
        <w:t xml:space="preserve">2022b </w:t>
      </w:r>
      <w:r>
        <w:rPr>
          <w:rFonts w:hint="eastAsia"/>
        </w:rPr>
        <w:t>年；</w:t>
      </w:r>
      <w:r>
        <w:rPr>
          <w:rFonts w:hint="eastAsia"/>
        </w:rPr>
        <w:t xml:space="preserve">Saccullo </w:t>
      </w:r>
      <w:r>
        <w:rPr>
          <w:rFonts w:hint="eastAsia"/>
        </w:rPr>
        <w:t>等人，</w:t>
      </w:r>
      <w:r>
        <w:rPr>
          <w:rFonts w:hint="eastAsia"/>
        </w:rPr>
        <w:t xml:space="preserve">2021 </w:t>
      </w:r>
      <w:r>
        <w:rPr>
          <w:rFonts w:hint="eastAsia"/>
        </w:rPr>
        <w:t>年；</w:t>
      </w:r>
      <w:r>
        <w:rPr>
          <w:rFonts w:hint="eastAsia"/>
        </w:rPr>
        <w:t xml:space="preserve">Zhao </w:t>
      </w:r>
      <w:r>
        <w:rPr>
          <w:rFonts w:hint="eastAsia"/>
        </w:rPr>
        <w:t>等人，</w:t>
      </w:r>
      <w:r>
        <w:rPr>
          <w:rFonts w:hint="eastAsia"/>
        </w:rPr>
        <w:t xml:space="preserve">2020 </w:t>
      </w:r>
      <w:r>
        <w:rPr>
          <w:rFonts w:hint="eastAsia"/>
        </w:rPr>
        <w:t>年；</w:t>
      </w:r>
      <w:r>
        <w:rPr>
          <w:rFonts w:hint="eastAsia"/>
        </w:rPr>
        <w:t xml:space="preserve">Huang </w:t>
      </w:r>
      <w:r>
        <w:rPr>
          <w:rFonts w:hint="eastAsia"/>
        </w:rPr>
        <w:t>等人，</w:t>
      </w:r>
      <w:r>
        <w:rPr>
          <w:rFonts w:hint="eastAsia"/>
        </w:rPr>
        <w:t xml:space="preserve">2020 </w:t>
      </w:r>
      <w:r>
        <w:rPr>
          <w:rFonts w:hint="eastAsia"/>
        </w:rPr>
        <w:t>年；（</w:t>
      </w:r>
      <w:r>
        <w:rPr>
          <w:rFonts w:hint="eastAsia"/>
        </w:rPr>
        <w:t xml:space="preserve">Long </w:t>
      </w:r>
      <w:r>
        <w:rPr>
          <w:rFonts w:hint="eastAsia"/>
        </w:rPr>
        <w:t>等人，</w:t>
      </w:r>
      <w:r>
        <w:rPr>
          <w:rFonts w:hint="eastAsia"/>
        </w:rPr>
        <w:t xml:space="preserve">2019 </w:t>
      </w:r>
      <w:r>
        <w:rPr>
          <w:rFonts w:hint="eastAsia"/>
        </w:rPr>
        <w:t>年；</w:t>
      </w:r>
      <w:r>
        <w:rPr>
          <w:rFonts w:hint="eastAsia"/>
        </w:rPr>
        <w:t xml:space="preserve">Ning </w:t>
      </w:r>
      <w:r>
        <w:rPr>
          <w:rFonts w:hint="eastAsia"/>
        </w:rPr>
        <w:t>等人，</w:t>
      </w:r>
      <w:r>
        <w:rPr>
          <w:rFonts w:hint="eastAsia"/>
        </w:rPr>
        <w:t xml:space="preserve">2020 </w:t>
      </w:r>
      <w:r>
        <w:rPr>
          <w:rFonts w:hint="eastAsia"/>
        </w:rPr>
        <w:t>年）。对于大排量发动机而言，较大的气缸孔径为气缸内双燃油喷射器的布置提供了便利，使其成为</w:t>
      </w:r>
      <w:r>
        <w:rPr>
          <w:rFonts w:hint="eastAsia"/>
        </w:rPr>
        <w:t xml:space="preserve">DDFS </w:t>
      </w:r>
      <w:r>
        <w:rPr>
          <w:rFonts w:hint="eastAsia"/>
        </w:rPr>
        <w:t>策略的理想载体。然而，尽管具有潜在优势，但目前在这一特定领域开展的研究还很有限。此外，值得注意的是，船用发动机通常以低速、高扭矩的特性运行，这与小排量发动机有显著差异。这种独特性使得直接应用基于小排量发动机的燃烧组织优化方法颇具挑战性。因此，针对船用发动机开展</w:t>
      </w:r>
      <w:r>
        <w:rPr>
          <w:rFonts w:hint="eastAsia"/>
        </w:rPr>
        <w:t xml:space="preserve">DDFS </w:t>
      </w:r>
      <w:r>
        <w:rPr>
          <w:rFonts w:hint="eastAsia"/>
        </w:rPr>
        <w:t>策略和燃烧组织优化的专门研究需求十分明确。为探究甲醇及</w:t>
      </w:r>
      <w:r>
        <w:rPr>
          <w:rFonts w:hint="eastAsia"/>
        </w:rPr>
        <w:t xml:space="preserve">DDFS </w:t>
      </w:r>
      <w:r>
        <w:rPr>
          <w:rFonts w:hint="eastAsia"/>
        </w:rPr>
        <w:t>技术在船用发动机中的应用潜力，通过将实验数据与甲醇</w:t>
      </w:r>
      <w:r>
        <w:rPr>
          <w:rFonts w:hint="eastAsia"/>
        </w:rPr>
        <w:t>/</w:t>
      </w:r>
      <w:r>
        <w:rPr>
          <w:rFonts w:hint="eastAsia"/>
        </w:rPr>
        <w:t>柴油复合燃烧反应机理相结合，开发了一种具有精确预测能力的数值计算平台。在船用发动机常见工况下，研究了</w:t>
      </w:r>
      <w:r>
        <w:rPr>
          <w:rFonts w:hint="eastAsia"/>
        </w:rPr>
        <w:t xml:space="preserve">DDFS </w:t>
      </w:r>
      <w:r>
        <w:rPr>
          <w:rFonts w:hint="eastAsia"/>
        </w:rPr>
        <w:t>模式下的喷射策略，并深入分析了甲醇</w:t>
      </w:r>
      <w:proofErr w:type="gramStart"/>
      <w:r>
        <w:rPr>
          <w:rFonts w:hint="eastAsia"/>
        </w:rPr>
        <w:t>单阶段</w:t>
      </w:r>
      <w:proofErr w:type="gramEnd"/>
      <w:r>
        <w:rPr>
          <w:rFonts w:hint="eastAsia"/>
        </w:rPr>
        <w:t>喷射和</w:t>
      </w:r>
      <w:proofErr w:type="gramStart"/>
      <w:r>
        <w:rPr>
          <w:rFonts w:hint="eastAsia"/>
        </w:rPr>
        <w:t>甲醇双阶段</w:t>
      </w:r>
      <w:proofErr w:type="gramEnd"/>
      <w:r>
        <w:rPr>
          <w:rFonts w:hint="eastAsia"/>
        </w:rPr>
        <w:t>喷射策略下船用发动机的性能、燃烧及排放特性。该研究为甲醇</w:t>
      </w:r>
      <w:r>
        <w:rPr>
          <w:rFonts w:hint="eastAsia"/>
        </w:rPr>
        <w:t>/</w:t>
      </w:r>
      <w:r>
        <w:rPr>
          <w:rFonts w:hint="eastAsia"/>
        </w:rPr>
        <w:t>柴油</w:t>
      </w:r>
      <w:r>
        <w:rPr>
          <w:rFonts w:hint="eastAsia"/>
        </w:rPr>
        <w:t xml:space="preserve">DDFS </w:t>
      </w:r>
      <w:r>
        <w:rPr>
          <w:rFonts w:hint="eastAsia"/>
        </w:rPr>
        <w:t>策略在船用发动机中的应用提供了理论基础，并为船用发动机高效清洁燃烧技术的发展提供了数据支持和经验指导。</w:t>
      </w:r>
    </w:p>
    <w:p w14:paraId="71326E8A" w14:textId="659B1712" w:rsidR="0055229C" w:rsidRPr="009A7184" w:rsidRDefault="0055229C" w:rsidP="009A7184">
      <w:pPr>
        <w:ind w:firstLine="560"/>
      </w:pPr>
      <w:r>
        <w:rPr>
          <w:rFonts w:hint="eastAsia"/>
        </w:rPr>
        <w:lastRenderedPageBreak/>
        <w:t>因而，采用甲醇与柴油联合供给的双燃料技术，通过柴油的良好自燃性引燃甲醇，实现混合分层及反应活性调控，为大功率低速船用发动机提供了一种新的优化思路。</w:t>
      </w:r>
      <w:r w:rsidR="009A7184">
        <w:rPr>
          <w:rFonts w:hint="eastAsia"/>
        </w:rPr>
        <w:t>目前关于</w:t>
      </w:r>
      <w:r w:rsidR="009A7184">
        <w:t>DDFS</w:t>
      </w:r>
      <w:r w:rsidR="009A7184">
        <w:rPr>
          <w:rFonts w:hint="eastAsia"/>
        </w:rPr>
        <w:t>的研究主要集中在小排量发动机以及较高转速工况下，而针对船用大缸径低速发动机（如</w:t>
      </w:r>
      <w:r w:rsidR="009A7184">
        <w:t>400 rpm</w:t>
      </w:r>
      <w:r w:rsidR="009A7184">
        <w:rPr>
          <w:rFonts w:hint="eastAsia"/>
        </w:rPr>
        <w:t>）下的喷射策略优化尚缺乏系统性探讨。本文将从“进气段喷射”与“压缩段喷射”两个角度出发，结合双级喷射优化参数（</w:t>
      </w:r>
      <w:proofErr w:type="gramStart"/>
      <w:r w:rsidR="009A7184">
        <w:rPr>
          <w:rFonts w:hint="eastAsia"/>
        </w:rPr>
        <w:t>如预喷比例</w:t>
      </w:r>
      <w:proofErr w:type="gramEnd"/>
      <w:r w:rsidR="009A7184">
        <w:t>MR1</w:t>
      </w:r>
      <w:r w:rsidR="009A7184">
        <w:rPr>
          <w:rFonts w:hint="eastAsia"/>
        </w:rPr>
        <w:t>、喷射间隔</w:t>
      </w:r>
      <w:r w:rsidR="009A7184">
        <w:t>MMI</w:t>
      </w:r>
      <w:r w:rsidR="009A7184">
        <w:rPr>
          <w:rFonts w:hint="eastAsia"/>
        </w:rPr>
        <w:t>），旨在深入分析不同喷射策略对燃烧、排放和敲缸的综合影响，进而为绿色船舶动力的应用提供理论与仿真支持。</w:t>
      </w:r>
    </w:p>
    <w:p w14:paraId="2919E26E" w14:textId="5F3C4FC0" w:rsidR="0055229C" w:rsidRDefault="0055229C" w:rsidP="0055229C">
      <w:pPr>
        <w:ind w:firstLine="560"/>
      </w:pPr>
      <w:r>
        <w:rPr>
          <w:rFonts w:hint="eastAsia"/>
        </w:rPr>
        <w:t>基于</w:t>
      </w:r>
      <w:r w:rsidR="009A7184">
        <w:rPr>
          <w:rFonts w:hint="eastAsia"/>
        </w:rPr>
        <w:t>以上</w:t>
      </w:r>
      <w:r>
        <w:rPr>
          <w:rFonts w:hint="eastAsia"/>
        </w:rPr>
        <w:t>，本文拟在</w:t>
      </w:r>
      <w:r>
        <w:t>400 rpm</w:t>
      </w:r>
      <w:r>
        <w:rPr>
          <w:rFonts w:hint="eastAsia"/>
        </w:rPr>
        <w:t>低速工况下，采用“进气段喷射”与“压缩段喷射”两种喷射方式，对</w:t>
      </w:r>
      <w:r>
        <w:t>DDFS</w:t>
      </w:r>
      <w:r>
        <w:rPr>
          <w:rFonts w:hint="eastAsia"/>
        </w:rPr>
        <w:t>策略进行系统数值仿真与对比研究，探讨其在改善燃烧效率、降低排放及控制敲缸倾向方面的作用与优化策略。</w:t>
      </w:r>
    </w:p>
    <w:p w14:paraId="23B1B80E" w14:textId="554FAAE7" w:rsidR="00093D3F" w:rsidRDefault="00093D3F" w:rsidP="00093D3F">
      <w:pPr>
        <w:ind w:firstLine="560"/>
        <w:jc w:val="center"/>
      </w:pPr>
      <w:r w:rsidRPr="00093D3F">
        <w:rPr>
          <w:rFonts w:hint="eastAsia"/>
        </w:rPr>
        <w:t>缩写词</w:t>
      </w:r>
      <w:r w:rsidR="00A27921">
        <w:rPr>
          <w:rFonts w:hint="eastAsia"/>
        </w:rPr>
        <w:t>表</w:t>
      </w:r>
    </w:p>
    <w:p w14:paraId="236DF8BC" w14:textId="56FFD63B" w:rsidR="00093D3F" w:rsidRDefault="00093D3F" w:rsidP="00093D3F">
      <w:pPr>
        <w:ind w:firstLine="560"/>
        <w:jc w:val="center"/>
      </w:pPr>
      <w:r>
        <w:rPr>
          <w:rFonts w:hint="eastAsia"/>
        </w:rPr>
        <w:t>表</w:t>
      </w:r>
      <w:r>
        <w:rPr>
          <w:rFonts w:hint="eastAsia"/>
        </w:rPr>
        <w:t>1</w:t>
      </w:r>
      <w:r>
        <w:rPr>
          <w:rFonts w:hint="eastAsia"/>
        </w:rPr>
        <w:t>甲醇</w:t>
      </w:r>
      <w:r>
        <w:rPr>
          <w:rFonts w:hint="eastAsia"/>
        </w:rPr>
        <w:t>/</w:t>
      </w:r>
      <w:proofErr w:type="gramStart"/>
      <w:r>
        <w:rPr>
          <w:rFonts w:hint="eastAsia"/>
        </w:rPr>
        <w:t>柴油双</w:t>
      </w:r>
      <w:proofErr w:type="gramEnd"/>
      <w:r>
        <w:rPr>
          <w:rFonts w:hint="eastAsia"/>
        </w:rPr>
        <w:t>燃料直接喷射式发动机的研究</w:t>
      </w:r>
    </w:p>
    <w:p w14:paraId="16C65953" w14:textId="77777777" w:rsidR="00093D3F" w:rsidRDefault="00093D3F" w:rsidP="00093D3F">
      <w:pPr>
        <w:ind w:firstLine="560"/>
        <w:jc w:val="center"/>
      </w:pPr>
      <w:r>
        <w:rPr>
          <w:rFonts w:hint="eastAsia"/>
        </w:rPr>
        <w:t>图</w:t>
      </w:r>
      <w:r>
        <w:rPr>
          <w:rFonts w:hint="eastAsia"/>
        </w:rPr>
        <w:t>1</w:t>
      </w:r>
      <w:r>
        <w:rPr>
          <w:rFonts w:hint="eastAsia"/>
        </w:rPr>
        <w:t>研究技术路线示意图</w:t>
      </w:r>
    </w:p>
    <w:p w14:paraId="2081E5A1" w14:textId="5CD3F6DB" w:rsidR="00093D3F" w:rsidRDefault="00DA1616" w:rsidP="00093D3F">
      <w:pPr>
        <w:ind w:firstLine="560"/>
      </w:pPr>
      <w:r>
        <w:rPr>
          <w:rFonts w:hint="eastAsia"/>
        </w:rPr>
        <w:t>（</w:t>
      </w:r>
      <w:r w:rsidR="00093D3F">
        <w:rPr>
          <w:rFonts w:hint="eastAsia"/>
        </w:rPr>
        <w:t>起点：“提出研究目标”，接着依次为：“几何建模与物理模型设置”</w:t>
      </w:r>
      <w:r w:rsidR="00093D3F">
        <w:rPr>
          <w:rFonts w:hint="eastAsia"/>
        </w:rPr>
        <w:t xml:space="preserve"> </w:t>
      </w:r>
      <w:r w:rsidR="00093D3F">
        <w:rPr>
          <w:rFonts w:hint="eastAsia"/>
        </w:rPr>
        <w:t>→</w:t>
      </w:r>
      <w:r w:rsidR="00093D3F">
        <w:rPr>
          <w:rFonts w:hint="eastAsia"/>
        </w:rPr>
        <w:t xml:space="preserve"> </w:t>
      </w:r>
      <w:r w:rsidR="00093D3F">
        <w:rPr>
          <w:rFonts w:hint="eastAsia"/>
        </w:rPr>
        <w:t>“数值模拟与工况设计”</w:t>
      </w:r>
      <w:r w:rsidR="00093D3F">
        <w:rPr>
          <w:rFonts w:hint="eastAsia"/>
        </w:rPr>
        <w:t xml:space="preserve"> </w:t>
      </w:r>
      <w:r w:rsidR="00093D3F">
        <w:rPr>
          <w:rFonts w:hint="eastAsia"/>
        </w:rPr>
        <w:t>→</w:t>
      </w:r>
      <w:r w:rsidR="00093D3F">
        <w:rPr>
          <w:rFonts w:hint="eastAsia"/>
        </w:rPr>
        <w:t xml:space="preserve"> </w:t>
      </w:r>
      <w:r w:rsidR="00093D3F">
        <w:rPr>
          <w:rFonts w:hint="eastAsia"/>
        </w:rPr>
        <w:t>“数据分析与结果对比”</w:t>
      </w:r>
      <w:r w:rsidR="00093D3F">
        <w:rPr>
          <w:rFonts w:hint="eastAsia"/>
        </w:rPr>
        <w:t xml:space="preserve"> </w:t>
      </w:r>
      <w:r w:rsidR="00093D3F">
        <w:rPr>
          <w:rFonts w:hint="eastAsia"/>
        </w:rPr>
        <w:t>→</w:t>
      </w:r>
      <w:r w:rsidR="00093D3F">
        <w:rPr>
          <w:rFonts w:hint="eastAsia"/>
        </w:rPr>
        <w:t xml:space="preserve"> </w:t>
      </w:r>
      <w:r w:rsidR="00093D3F">
        <w:rPr>
          <w:rFonts w:hint="eastAsia"/>
        </w:rPr>
        <w:t>“燃烧机理与排放分析”</w:t>
      </w:r>
      <w:r w:rsidR="00093D3F">
        <w:rPr>
          <w:rFonts w:hint="eastAsia"/>
        </w:rPr>
        <w:t xml:space="preserve"> </w:t>
      </w:r>
      <w:r w:rsidR="00093D3F">
        <w:rPr>
          <w:rFonts w:hint="eastAsia"/>
        </w:rPr>
        <w:t>→</w:t>
      </w:r>
      <w:r w:rsidR="00093D3F">
        <w:rPr>
          <w:rFonts w:hint="eastAsia"/>
        </w:rPr>
        <w:t xml:space="preserve"> </w:t>
      </w:r>
      <w:r w:rsidR="00093D3F">
        <w:rPr>
          <w:rFonts w:hint="eastAsia"/>
        </w:rPr>
        <w:t>“提出优化策略与总结展望”</w:t>
      </w:r>
      <w:r w:rsidR="00301D5F">
        <w:rPr>
          <w:rFonts w:hint="eastAsia"/>
        </w:rPr>
        <w:t>）</w:t>
      </w:r>
    </w:p>
    <w:p w14:paraId="4259AA61" w14:textId="3E13C360" w:rsidR="00093D3F" w:rsidRDefault="00093D3F" w:rsidP="00093D3F">
      <w:pPr>
        <w:pStyle w:val="1"/>
        <w:ind w:firstLineChars="62" w:firstLine="198"/>
      </w:pPr>
      <w:r>
        <w:rPr>
          <w:rFonts w:hint="eastAsia"/>
        </w:rPr>
        <w:lastRenderedPageBreak/>
        <w:t>二、</w:t>
      </w:r>
      <w:r w:rsidRPr="00093D3F">
        <w:rPr>
          <w:rFonts w:hint="eastAsia"/>
        </w:rPr>
        <w:t>数值模型与验证</w:t>
      </w:r>
    </w:p>
    <w:p w14:paraId="3281B65A" w14:textId="66D1B161" w:rsidR="00093D3F" w:rsidRDefault="00093D3F" w:rsidP="00093D3F">
      <w:pPr>
        <w:pStyle w:val="a0"/>
        <w:ind w:firstLine="600"/>
      </w:pPr>
      <w:r>
        <w:rPr>
          <w:rFonts w:hint="eastAsia"/>
        </w:rPr>
        <w:t>2.1</w:t>
      </w:r>
      <w:r w:rsidRPr="00093D3F">
        <w:rPr>
          <w:rFonts w:hint="eastAsia"/>
        </w:rPr>
        <w:t>几何建模</w:t>
      </w:r>
    </w:p>
    <w:p w14:paraId="09670D77" w14:textId="684BD8BF" w:rsidR="00CB56BC" w:rsidRDefault="00616FC2" w:rsidP="00616FC2">
      <w:pPr>
        <w:ind w:firstLine="560"/>
      </w:pPr>
      <w:r>
        <w:rPr>
          <w:rFonts w:hint="eastAsia"/>
        </w:rPr>
        <w:t>在本研究中，针对一款重型船用甲醇</w:t>
      </w:r>
      <w:r>
        <w:rPr>
          <w:rFonts w:hint="eastAsia"/>
        </w:rPr>
        <w:t>/</w:t>
      </w:r>
      <w:proofErr w:type="gramStart"/>
      <w:r>
        <w:rPr>
          <w:rFonts w:hint="eastAsia"/>
        </w:rPr>
        <w:t>柴油双</w:t>
      </w:r>
      <w:proofErr w:type="gramEnd"/>
      <w:r>
        <w:rPr>
          <w:rFonts w:hint="eastAsia"/>
        </w:rPr>
        <w:t>燃料直接喷射（</w:t>
      </w:r>
      <w:r>
        <w:rPr>
          <w:rFonts w:hint="eastAsia"/>
        </w:rPr>
        <w:t>DDFS</w:t>
      </w:r>
      <w:r>
        <w:rPr>
          <w:rFonts w:hint="eastAsia"/>
        </w:rPr>
        <w:t>）发动机开发了一个数值计算模型。所研究燃料的主要物理化学性质总结于表</w:t>
      </w:r>
      <w:r>
        <w:rPr>
          <w:rFonts w:hint="eastAsia"/>
        </w:rPr>
        <w:t xml:space="preserve">2 </w:t>
      </w:r>
      <w:r>
        <w:rPr>
          <w:rFonts w:hint="eastAsia"/>
        </w:rPr>
        <w:t>中。此外，图</w:t>
      </w:r>
      <w:r>
        <w:rPr>
          <w:rFonts w:hint="eastAsia"/>
        </w:rPr>
        <w:t xml:space="preserve">1 </w:t>
      </w:r>
      <w:r>
        <w:rPr>
          <w:rFonts w:hint="eastAsia"/>
        </w:rPr>
        <w:t>展示了发动机结构布置的示意图，具体为活塞处于上止点时燃烧室内有两个喷油器。该模型反映了大缸径、低速工况下发动机的主要结构特征，包括缸径、行程、燃烧室形状、进排气口及两套喷油器的位置与安装角度。表</w:t>
      </w:r>
      <w:r>
        <w:rPr>
          <w:rFonts w:hint="eastAsia"/>
        </w:rPr>
        <w:t xml:space="preserve">3 </w:t>
      </w:r>
      <w:r>
        <w:rPr>
          <w:rFonts w:hint="eastAsia"/>
        </w:rPr>
        <w:t>列出了发动机的关键结构参数以及喷油器参数。为了能够对湍流传输、燃料混合、燃料氧化、污染物生成及演变进行可靠的数值模拟，有必要选择合适的数值模型。本研究中所采用的数值模型如表</w:t>
      </w:r>
      <w:r>
        <w:t xml:space="preserve">4 </w:t>
      </w:r>
      <w:r>
        <w:rPr>
          <w:rFonts w:hint="eastAsia"/>
        </w:rPr>
        <w:t>所示。计算时间设定为从</w:t>
      </w:r>
      <w:r>
        <w:t>−360</w:t>
      </w:r>
      <w:r>
        <w:rPr>
          <w:rFonts w:hint="eastAsia"/>
        </w:rPr>
        <w:t>上止点前（</w:t>
      </w:r>
      <w:r>
        <w:t>ATDC</w:t>
      </w:r>
      <w:r>
        <w:rPr>
          <w:rFonts w:hint="eastAsia"/>
        </w:rPr>
        <w:t>）</w:t>
      </w:r>
      <w:r>
        <w:t>0</w:t>
      </w:r>
      <w:r>
        <w:rPr>
          <w:rFonts w:hint="eastAsia"/>
        </w:rPr>
        <w:t>度曲轴转角到</w:t>
      </w:r>
      <w:r>
        <w:t>−180</w:t>
      </w:r>
      <w:r>
        <w:rPr>
          <w:rFonts w:hint="eastAsia"/>
        </w:rPr>
        <w:t>上止点前（</w:t>
      </w:r>
      <w:r>
        <w:t>ATDC</w:t>
      </w:r>
      <w:r>
        <w:rPr>
          <w:rFonts w:hint="eastAsia"/>
        </w:rPr>
        <w:t>）</w:t>
      </w:r>
      <w:r>
        <w:t xml:space="preserve">0 </w:t>
      </w:r>
      <w:r>
        <w:rPr>
          <w:rFonts w:hint="eastAsia"/>
        </w:rPr>
        <w:t>度曲轴转角（其中</w:t>
      </w:r>
      <w:r>
        <w:t>0</w:t>
      </w:r>
      <w:r>
        <w:rPr>
          <w:rFonts w:hint="eastAsia"/>
        </w:rPr>
        <w:t>度</w:t>
      </w:r>
      <w:r>
        <w:rPr>
          <w:rFonts w:hint="eastAsia"/>
        </w:rPr>
        <w:t xml:space="preserve"> ATDC</w:t>
      </w:r>
      <w:r>
        <w:rPr>
          <w:rFonts w:hint="eastAsia"/>
        </w:rPr>
        <w:t>为压缩冲程的上止点），涵盖了燃料与空气混合及燃烧的整个过程。本研究选用了贾明（</w:t>
      </w:r>
      <w:r>
        <w:rPr>
          <w:rFonts w:hint="eastAsia"/>
        </w:rPr>
        <w:t xml:space="preserve">Chang </w:t>
      </w:r>
      <w:r>
        <w:rPr>
          <w:rFonts w:hint="eastAsia"/>
        </w:rPr>
        <w:t>等人，</w:t>
      </w:r>
      <w:r>
        <w:rPr>
          <w:rFonts w:hint="eastAsia"/>
        </w:rPr>
        <w:t xml:space="preserve">2015 </w:t>
      </w:r>
      <w:r>
        <w:rPr>
          <w:rFonts w:hint="eastAsia"/>
        </w:rPr>
        <w:t>年）提出的简化</w:t>
      </w:r>
      <w:r>
        <w:rPr>
          <w:rFonts w:hint="eastAsia"/>
        </w:rPr>
        <w:t xml:space="preserve">PFR </w:t>
      </w:r>
      <w:r>
        <w:rPr>
          <w:rFonts w:hint="eastAsia"/>
        </w:rPr>
        <w:t>机制，该机制包含</w:t>
      </w:r>
      <w:r>
        <w:rPr>
          <w:rFonts w:hint="eastAsia"/>
        </w:rPr>
        <w:t xml:space="preserve">49 </w:t>
      </w:r>
      <w:r>
        <w:rPr>
          <w:rFonts w:hint="eastAsia"/>
        </w:rPr>
        <w:t>种物质和</w:t>
      </w:r>
      <w:r>
        <w:rPr>
          <w:rFonts w:hint="eastAsia"/>
        </w:rPr>
        <w:t xml:space="preserve">163 </w:t>
      </w:r>
      <w:proofErr w:type="gramStart"/>
      <w:r>
        <w:rPr>
          <w:rFonts w:hint="eastAsia"/>
        </w:rPr>
        <w:t>个</w:t>
      </w:r>
      <w:proofErr w:type="gramEnd"/>
      <w:r>
        <w:rPr>
          <w:rFonts w:hint="eastAsia"/>
        </w:rPr>
        <w:t>反应。该机制已通过点火延迟（</w:t>
      </w:r>
      <w:r>
        <w:rPr>
          <w:rFonts w:hint="eastAsia"/>
        </w:rPr>
        <w:t>ID</w:t>
      </w:r>
      <w:r>
        <w:rPr>
          <w:rFonts w:hint="eastAsia"/>
        </w:rPr>
        <w:t>）、火焰传播速度、主要物质演变等进行了验证。</w:t>
      </w:r>
    </w:p>
    <w:p w14:paraId="4EF1D65A" w14:textId="66A22250" w:rsidR="00093D3F" w:rsidRDefault="00093D3F" w:rsidP="00093D3F">
      <w:pPr>
        <w:ind w:firstLine="560"/>
        <w:jc w:val="center"/>
      </w:pPr>
      <w:r w:rsidRPr="00093D3F">
        <w:rPr>
          <w:rFonts w:hint="eastAsia"/>
        </w:rPr>
        <w:t>图</w:t>
      </w:r>
      <w:r>
        <w:rPr>
          <w:rFonts w:hint="eastAsia"/>
        </w:rPr>
        <w:t>2</w:t>
      </w:r>
      <w:r w:rsidRPr="00093D3F">
        <w:rPr>
          <w:rFonts w:hint="eastAsia"/>
        </w:rPr>
        <w:t xml:space="preserve">. </w:t>
      </w:r>
      <w:r w:rsidRPr="00093D3F">
        <w:rPr>
          <w:rFonts w:hint="eastAsia"/>
        </w:rPr>
        <w:t>燃烧室中喷油器的结构布置</w:t>
      </w:r>
    </w:p>
    <w:p w14:paraId="538A34D1" w14:textId="3AFBCA45" w:rsidR="00093D3F" w:rsidRDefault="00093D3F" w:rsidP="00093D3F">
      <w:pPr>
        <w:ind w:firstLine="560"/>
        <w:jc w:val="center"/>
      </w:pPr>
      <w:r w:rsidRPr="00093D3F">
        <w:rPr>
          <w:rFonts w:hint="eastAsia"/>
        </w:rPr>
        <w:t>图</w:t>
      </w:r>
      <w:r w:rsidRPr="00093D3F">
        <w:rPr>
          <w:rFonts w:hint="eastAsia"/>
        </w:rPr>
        <w:t xml:space="preserve">3. </w:t>
      </w:r>
      <w:r w:rsidRPr="00093D3F">
        <w:rPr>
          <w:rFonts w:hint="eastAsia"/>
        </w:rPr>
        <w:t>不同基础网格尺寸下的计算结果</w:t>
      </w:r>
    </w:p>
    <w:p w14:paraId="4C382F84" w14:textId="33E38897" w:rsidR="00616FC2" w:rsidRPr="00616FC2" w:rsidRDefault="00616FC2" w:rsidP="00616FC2">
      <w:pPr>
        <w:ind w:firstLine="560"/>
        <w:jc w:val="center"/>
      </w:pPr>
      <w:r>
        <w:rPr>
          <w:rFonts w:hint="eastAsia"/>
        </w:rPr>
        <w:t>表</w:t>
      </w:r>
      <w:r>
        <w:rPr>
          <w:rFonts w:hint="eastAsia"/>
        </w:rPr>
        <w:t xml:space="preserve"> 2</w:t>
      </w:r>
      <w:r>
        <w:rPr>
          <w:rFonts w:hint="eastAsia"/>
        </w:rPr>
        <w:t>甲醇和柴油的物理化学性质</w:t>
      </w:r>
    </w:p>
    <w:p w14:paraId="02A2B929" w14:textId="42CD3833" w:rsidR="00093D3F" w:rsidRDefault="00093D3F" w:rsidP="00093D3F">
      <w:pPr>
        <w:ind w:firstLine="560"/>
        <w:jc w:val="center"/>
      </w:pPr>
      <w:r>
        <w:rPr>
          <w:rFonts w:hint="eastAsia"/>
        </w:rPr>
        <w:t>表</w:t>
      </w:r>
      <w:r>
        <w:rPr>
          <w:rFonts w:hint="eastAsia"/>
        </w:rPr>
        <w:t>3</w:t>
      </w:r>
      <w:r>
        <w:rPr>
          <w:rFonts w:hint="eastAsia"/>
        </w:rPr>
        <w:t>发动机和喷油器的参数</w:t>
      </w:r>
    </w:p>
    <w:p w14:paraId="2721177A" w14:textId="06A6A9D0" w:rsidR="00093D3F" w:rsidRDefault="00093D3F" w:rsidP="00093D3F">
      <w:pPr>
        <w:ind w:firstLine="560"/>
        <w:jc w:val="center"/>
      </w:pPr>
      <w:r>
        <w:rPr>
          <w:rFonts w:hint="eastAsia"/>
        </w:rPr>
        <w:lastRenderedPageBreak/>
        <w:t>表</w:t>
      </w:r>
      <w:r>
        <w:rPr>
          <w:rFonts w:hint="eastAsia"/>
        </w:rPr>
        <w:t xml:space="preserve">4 </w:t>
      </w:r>
      <w:r>
        <w:rPr>
          <w:rFonts w:hint="eastAsia"/>
        </w:rPr>
        <w:t>正在使用的模型</w:t>
      </w:r>
    </w:p>
    <w:p w14:paraId="26028687" w14:textId="50B90B57" w:rsidR="00616FC2" w:rsidRDefault="00616FC2" w:rsidP="00616FC2">
      <w:pPr>
        <w:pStyle w:val="a0"/>
        <w:ind w:firstLine="600"/>
      </w:pPr>
      <w:r>
        <w:rPr>
          <w:rFonts w:hint="eastAsia"/>
        </w:rPr>
        <w:t>2.2</w:t>
      </w:r>
      <w:r>
        <w:rPr>
          <w:rFonts w:hint="eastAsia"/>
        </w:rPr>
        <w:t>模型验证</w:t>
      </w:r>
    </w:p>
    <w:p w14:paraId="000FF089" w14:textId="7E5AD835" w:rsidR="00616FC2" w:rsidRDefault="00616FC2" w:rsidP="00616FC2">
      <w:pPr>
        <w:ind w:firstLine="560"/>
      </w:pPr>
      <w:r>
        <w:rPr>
          <w:rFonts w:hint="eastAsia"/>
        </w:rPr>
        <w:t>本研究中所使用的数值模型是基于我们团队先前的实验数据（</w:t>
      </w:r>
      <w:r>
        <w:rPr>
          <w:rFonts w:hint="eastAsia"/>
        </w:rPr>
        <w:t xml:space="preserve">Saccullo </w:t>
      </w:r>
      <w:r>
        <w:rPr>
          <w:rFonts w:hint="eastAsia"/>
        </w:rPr>
        <w:t>等人，</w:t>
      </w:r>
      <w:r>
        <w:rPr>
          <w:rFonts w:hint="eastAsia"/>
        </w:rPr>
        <w:t xml:space="preserve">2021 </w:t>
      </w:r>
      <w:r>
        <w:rPr>
          <w:rFonts w:hint="eastAsia"/>
        </w:rPr>
        <w:t>年）进行验证的。从结果来看，计算得到的缸内压力和热释放率曲线与实验值吻合良好，表明用于甲醇</w:t>
      </w:r>
      <w:r>
        <w:rPr>
          <w:rFonts w:hint="eastAsia"/>
        </w:rPr>
        <w:t>/</w:t>
      </w:r>
      <w:r>
        <w:rPr>
          <w:rFonts w:hint="eastAsia"/>
        </w:rPr>
        <w:t>柴油</w:t>
      </w:r>
      <w:r>
        <w:rPr>
          <w:rFonts w:hint="eastAsia"/>
        </w:rPr>
        <w:t xml:space="preserve">DDFS </w:t>
      </w:r>
      <w:r>
        <w:rPr>
          <w:rFonts w:hint="eastAsia"/>
        </w:rPr>
        <w:t>模拟的数值模型具有较高的精度。尽管计算得到的污染物排放量与实验值存在一些差异，但这些差异均在可接受范围内。</w:t>
      </w:r>
      <w:proofErr w:type="gramStart"/>
      <w:r>
        <w:rPr>
          <w:rFonts w:hint="eastAsia"/>
        </w:rPr>
        <w:t>鉴于缺乏</w:t>
      </w:r>
      <w:proofErr w:type="gramEnd"/>
      <w:r>
        <w:rPr>
          <w:rFonts w:hint="eastAsia"/>
        </w:rPr>
        <w:t>相同发动机的迭代计算所需的排放数据，以及相关研究中用于校准排放模型的更多实验数据，因此选择经过验证的数值模型来进行甲醇</w:t>
      </w:r>
      <w:r>
        <w:rPr>
          <w:rFonts w:hint="eastAsia"/>
        </w:rPr>
        <w:t>/</w:t>
      </w:r>
      <w:r>
        <w:rPr>
          <w:rFonts w:hint="eastAsia"/>
        </w:rPr>
        <w:t>柴油</w:t>
      </w:r>
      <w:r>
        <w:rPr>
          <w:rFonts w:hint="eastAsia"/>
        </w:rPr>
        <w:t xml:space="preserve">DDFS </w:t>
      </w:r>
      <w:r>
        <w:rPr>
          <w:rFonts w:hint="eastAsia"/>
        </w:rPr>
        <w:t>策略的数值计算。</w:t>
      </w:r>
    </w:p>
    <w:p w14:paraId="79857F1E" w14:textId="373E29AD" w:rsidR="00616FC2" w:rsidRDefault="00616FC2" w:rsidP="00616FC2">
      <w:pPr>
        <w:pStyle w:val="a0"/>
        <w:ind w:firstLine="600"/>
      </w:pPr>
      <w:r>
        <w:rPr>
          <w:rFonts w:hint="eastAsia"/>
        </w:rPr>
        <w:t xml:space="preserve">2.3 </w:t>
      </w:r>
      <w:r>
        <w:rPr>
          <w:rFonts w:hint="eastAsia"/>
        </w:rPr>
        <w:t>网格敏感性分析</w:t>
      </w:r>
    </w:p>
    <w:p w14:paraId="090E44A9" w14:textId="0AFE34BE" w:rsidR="00616FC2" w:rsidRDefault="00616FC2" w:rsidP="00616FC2">
      <w:pPr>
        <w:ind w:firstLine="560"/>
      </w:pPr>
      <w:r>
        <w:rPr>
          <w:rFonts w:hint="eastAsia"/>
        </w:rPr>
        <w:t>网格划分方面，通过网格敏感性分析（图</w:t>
      </w:r>
      <w:r>
        <w:rPr>
          <w:rFonts w:hint="eastAsia"/>
        </w:rPr>
        <w:t>3</w:t>
      </w:r>
      <w:r>
        <w:rPr>
          <w:rFonts w:hint="eastAsia"/>
        </w:rPr>
        <w:t>），发现当基准网格尺寸小于</w:t>
      </w:r>
      <w:r>
        <w:rPr>
          <w:rFonts w:hint="eastAsia"/>
        </w:rPr>
        <w:t>6.5</w:t>
      </w:r>
      <w:r>
        <w:rPr>
          <w:rFonts w:hint="eastAsia"/>
        </w:rPr>
        <w:t>毫米时，关键计算结果（如缸内压力、放热率）趋于稳定，计算结果的差异可以忽略不计。因此本研究选用</w:t>
      </w:r>
      <w:r>
        <w:rPr>
          <w:rFonts w:hint="eastAsia"/>
        </w:rPr>
        <w:t>6.0</w:t>
      </w:r>
      <w:r>
        <w:rPr>
          <w:rFonts w:hint="eastAsia"/>
        </w:rPr>
        <w:t>毫米作为基准网格尺寸。同时，在喷雾区域、壁面附近及高梯度区域采用自适应网格加密（</w:t>
      </w:r>
      <w:r>
        <w:rPr>
          <w:rFonts w:hint="eastAsia"/>
        </w:rPr>
        <w:t>Adaptive Mesh Refinement, AMR</w:t>
      </w:r>
      <w:r>
        <w:rPr>
          <w:rFonts w:hint="eastAsia"/>
        </w:rPr>
        <w:t>）技术，具体而言，在进气过程中应用了速度梯度的</w:t>
      </w:r>
      <w:r>
        <w:rPr>
          <w:rFonts w:hint="eastAsia"/>
        </w:rPr>
        <w:t>AMR</w:t>
      </w:r>
      <w:r>
        <w:rPr>
          <w:rFonts w:hint="eastAsia"/>
        </w:rPr>
        <w:t>，最大嵌套级别为</w:t>
      </w:r>
      <w:r>
        <w:rPr>
          <w:rFonts w:hint="eastAsia"/>
        </w:rPr>
        <w:t>2</w:t>
      </w:r>
      <w:r>
        <w:rPr>
          <w:rFonts w:hint="eastAsia"/>
        </w:rPr>
        <w:t>；在燃烧过程中应用了温度梯度的</w:t>
      </w:r>
      <w:r>
        <w:rPr>
          <w:rFonts w:hint="eastAsia"/>
        </w:rPr>
        <w:t>AMR</w:t>
      </w:r>
      <w:r>
        <w:rPr>
          <w:rFonts w:hint="eastAsia"/>
        </w:rPr>
        <w:t>，最大嵌套级别也为</w:t>
      </w:r>
      <w:r>
        <w:rPr>
          <w:rFonts w:hint="eastAsia"/>
        </w:rPr>
        <w:t>2</w:t>
      </w:r>
      <w:r>
        <w:rPr>
          <w:rFonts w:hint="eastAsia"/>
        </w:rPr>
        <w:t>，以更准确捕捉喷雾破碎、气液相转换及局部湍流特性。</w:t>
      </w:r>
    </w:p>
    <w:p w14:paraId="19AFD1BF" w14:textId="538DB009" w:rsidR="00616FC2" w:rsidRDefault="00616FC2" w:rsidP="00616FC2">
      <w:pPr>
        <w:pStyle w:val="a0"/>
        <w:ind w:firstLine="600"/>
      </w:pPr>
      <w:r>
        <w:rPr>
          <w:rFonts w:hint="eastAsia"/>
        </w:rPr>
        <w:t>2.4</w:t>
      </w:r>
      <w:r>
        <w:rPr>
          <w:rFonts w:hint="eastAsia"/>
        </w:rPr>
        <w:t>计算方案</w:t>
      </w:r>
    </w:p>
    <w:p w14:paraId="41D23DDC" w14:textId="40FF1926" w:rsidR="00616FC2" w:rsidRDefault="00616FC2" w:rsidP="00616FC2">
      <w:pPr>
        <w:ind w:firstLine="560"/>
      </w:pPr>
      <w:r>
        <w:rPr>
          <w:rFonts w:hint="eastAsia"/>
        </w:rPr>
        <w:t>该研究是在低速运行条件下进行的，发动机转速保持在</w:t>
      </w:r>
      <w:r>
        <w:rPr>
          <w:rFonts w:hint="eastAsia"/>
        </w:rPr>
        <w:t xml:space="preserve">400 </w:t>
      </w:r>
      <w:r>
        <w:rPr>
          <w:rFonts w:hint="eastAsia"/>
        </w:rPr>
        <w:t>转</w:t>
      </w:r>
      <w:r>
        <w:rPr>
          <w:rFonts w:hint="eastAsia"/>
        </w:rPr>
        <w:t>/</w:t>
      </w:r>
      <w:r>
        <w:rPr>
          <w:rFonts w:hint="eastAsia"/>
        </w:rPr>
        <w:lastRenderedPageBreak/>
        <w:t>分钟，总燃料热值为</w:t>
      </w:r>
      <w:r>
        <w:rPr>
          <w:rFonts w:hint="eastAsia"/>
        </w:rPr>
        <w:t xml:space="preserve">40.9 </w:t>
      </w:r>
      <w:r>
        <w:rPr>
          <w:rFonts w:hint="eastAsia"/>
        </w:rPr>
        <w:t>千焦</w:t>
      </w:r>
      <w:r>
        <w:rPr>
          <w:rFonts w:hint="eastAsia"/>
        </w:rPr>
        <w:t>/</w:t>
      </w:r>
      <w:r>
        <w:rPr>
          <w:rFonts w:hint="eastAsia"/>
        </w:rPr>
        <w:t>循环（指示平均有效压力≈</w:t>
      </w:r>
      <w:r>
        <w:rPr>
          <w:rFonts w:hint="eastAsia"/>
        </w:rPr>
        <w:t xml:space="preserve"> 16.9 </w:t>
      </w:r>
      <w:r>
        <w:rPr>
          <w:rFonts w:hint="eastAsia"/>
        </w:rPr>
        <w:t>巴）。</w:t>
      </w:r>
    </w:p>
    <w:p w14:paraId="7986EDDC" w14:textId="77777777" w:rsidR="00616FC2" w:rsidRDefault="00616FC2" w:rsidP="00616FC2">
      <w:pPr>
        <w:ind w:firstLineChars="0" w:firstLine="0"/>
      </w:pPr>
      <w:r>
        <w:rPr>
          <w:rFonts w:hint="eastAsia"/>
        </w:rPr>
        <w:t>甲醇替代率（</w:t>
      </w:r>
      <w:r>
        <w:rPr>
          <w:rFonts w:hint="eastAsia"/>
        </w:rPr>
        <w:t>Em</w:t>
      </w:r>
      <w:r>
        <w:rPr>
          <w:rFonts w:hint="eastAsia"/>
        </w:rPr>
        <w:t>），如方程（</w:t>
      </w:r>
      <w:r>
        <w:rPr>
          <w:rFonts w:hint="eastAsia"/>
        </w:rPr>
        <w:t>1</w:t>
      </w:r>
      <w:r>
        <w:rPr>
          <w:rFonts w:hint="eastAsia"/>
        </w:rPr>
        <w:t>）所示，固定为</w:t>
      </w:r>
      <w:r>
        <w:rPr>
          <w:rFonts w:hint="eastAsia"/>
        </w:rPr>
        <w:t>95%</w:t>
      </w:r>
      <w:r>
        <w:rPr>
          <w:rFonts w:hint="eastAsia"/>
        </w:rPr>
        <w:t>。</w:t>
      </w:r>
    </w:p>
    <w:p w14:paraId="3F496BE0" w14:textId="293D8BB0" w:rsidR="00616FC2" w:rsidRDefault="00616FC2" w:rsidP="00616FC2">
      <w:pPr>
        <w:ind w:firstLineChars="0" w:firstLine="0"/>
        <w:jc w:val="center"/>
      </w:pPr>
      <w:r>
        <w:rPr>
          <w:rFonts w:hint="eastAsia"/>
        </w:rPr>
        <w:t>公式</w:t>
      </w:r>
      <w:r>
        <w:rPr>
          <w:rFonts w:hint="eastAsia"/>
        </w:rPr>
        <w:t>1234</w:t>
      </w:r>
    </w:p>
    <w:p w14:paraId="1011B9D0" w14:textId="2517E488" w:rsidR="00616FC2" w:rsidRDefault="00616FC2" w:rsidP="00616FC2">
      <w:pPr>
        <w:ind w:firstLineChars="0" w:firstLine="0"/>
      </w:pPr>
      <w:r>
        <w:rPr>
          <w:rFonts w:hint="eastAsia"/>
        </w:rPr>
        <w:t>在此，</w:t>
      </w:r>
      <w:r>
        <w:rPr>
          <w:rFonts w:hint="eastAsia"/>
        </w:rPr>
        <w:t xml:space="preserve"> mM </w:t>
      </w:r>
      <w:r>
        <w:rPr>
          <w:rFonts w:hint="eastAsia"/>
        </w:rPr>
        <w:t>和</w:t>
      </w:r>
      <w:r>
        <w:rPr>
          <w:rFonts w:hint="eastAsia"/>
        </w:rPr>
        <w:t xml:space="preserve"> </w:t>
      </w:r>
      <w:proofErr w:type="spellStart"/>
      <w:r>
        <w:rPr>
          <w:rFonts w:hint="eastAsia"/>
        </w:rPr>
        <w:t>mD</w:t>
      </w:r>
      <w:proofErr w:type="spellEnd"/>
      <w:r>
        <w:rPr>
          <w:rFonts w:hint="eastAsia"/>
        </w:rPr>
        <w:t xml:space="preserve"> </w:t>
      </w:r>
      <w:r>
        <w:rPr>
          <w:rFonts w:hint="eastAsia"/>
        </w:rPr>
        <w:t>分别表示甲醇和柴油的喷射质量，</w:t>
      </w:r>
      <w:r>
        <w:rPr>
          <w:rFonts w:hint="eastAsia"/>
        </w:rPr>
        <w:t xml:space="preserve"> HM </w:t>
      </w:r>
      <w:r>
        <w:rPr>
          <w:rFonts w:hint="eastAsia"/>
        </w:rPr>
        <w:t>和</w:t>
      </w:r>
      <w:r>
        <w:rPr>
          <w:rFonts w:hint="eastAsia"/>
        </w:rPr>
        <w:t xml:space="preserve"> HD </w:t>
      </w:r>
      <w:r>
        <w:rPr>
          <w:rFonts w:hint="eastAsia"/>
        </w:rPr>
        <w:t>分别表示甲醇和柴油的低热值。（</w:t>
      </w:r>
      <w:proofErr w:type="spellStart"/>
      <w:r>
        <w:rPr>
          <w:rFonts w:hint="eastAsia"/>
        </w:rPr>
        <w:t>dP</w:t>
      </w:r>
      <w:proofErr w:type="spellEnd"/>
      <w:r>
        <w:rPr>
          <w:rFonts w:hint="eastAsia"/>
        </w:rPr>
        <w:t>/dt</w:t>
      </w:r>
      <w:r>
        <w:rPr>
          <w:rFonts w:hint="eastAsia"/>
        </w:rPr>
        <w:t>）</w:t>
      </w:r>
      <w:r>
        <w:rPr>
          <w:rFonts w:hint="eastAsia"/>
        </w:rPr>
        <w:t xml:space="preserve">max </w:t>
      </w:r>
      <w:r>
        <w:rPr>
          <w:rFonts w:hint="eastAsia"/>
        </w:rPr>
        <w:t>描述的是峰值压力升高率（</w:t>
      </w:r>
      <w:r>
        <w:rPr>
          <w:rFonts w:hint="eastAsia"/>
        </w:rPr>
        <w:t>PPRR</w:t>
      </w:r>
      <w:r>
        <w:rPr>
          <w:rFonts w:hint="eastAsia"/>
        </w:rPr>
        <w:t>），</w:t>
      </w:r>
      <w:r>
        <w:rPr>
          <w:rFonts w:hint="eastAsia"/>
        </w:rPr>
        <w:t xml:space="preserve"> </w:t>
      </w:r>
      <w:r>
        <w:rPr>
          <w:rFonts w:hint="eastAsia"/>
        </w:rPr>
        <w:t>γ</w:t>
      </w:r>
      <w:r>
        <w:rPr>
          <w:rFonts w:hint="eastAsia"/>
        </w:rPr>
        <w:t xml:space="preserve">and R </w:t>
      </w:r>
      <w:proofErr w:type="gramStart"/>
      <w:r>
        <w:rPr>
          <w:rFonts w:hint="eastAsia"/>
        </w:rPr>
        <w:t>指定热比和</w:t>
      </w:r>
      <w:proofErr w:type="gramEnd"/>
      <w:r>
        <w:rPr>
          <w:rFonts w:hint="eastAsia"/>
        </w:rPr>
        <w:t>理想气体常数，</w:t>
      </w:r>
      <w:r>
        <w:rPr>
          <w:rFonts w:hint="eastAsia"/>
        </w:rPr>
        <w:t xml:space="preserve">Pmax </w:t>
      </w:r>
      <w:r>
        <w:rPr>
          <w:rFonts w:hint="eastAsia"/>
        </w:rPr>
        <w:t>和</w:t>
      </w:r>
      <w:r>
        <w:rPr>
          <w:rFonts w:hint="eastAsia"/>
        </w:rPr>
        <w:t xml:space="preserve"> </w:t>
      </w:r>
      <w:proofErr w:type="spellStart"/>
      <w:r>
        <w:rPr>
          <w:rFonts w:hint="eastAsia"/>
        </w:rPr>
        <w:t>Tmax</w:t>
      </w:r>
      <w:proofErr w:type="spellEnd"/>
      <w:r>
        <w:rPr>
          <w:rFonts w:hint="eastAsia"/>
        </w:rPr>
        <w:t xml:space="preserve"> </w:t>
      </w:r>
      <w:r>
        <w:rPr>
          <w:rFonts w:hint="eastAsia"/>
        </w:rPr>
        <w:t>分别是循环中缸内压力和温度的峰值。本研究中，以</w:t>
      </w:r>
      <w:r>
        <w:rPr>
          <w:rFonts w:hint="eastAsia"/>
        </w:rPr>
        <w:t xml:space="preserve">176 </w:t>
      </w:r>
      <w:r>
        <w:rPr>
          <w:rFonts w:hint="eastAsia"/>
        </w:rPr>
        <w:t>克</w:t>
      </w:r>
      <w:r>
        <w:rPr>
          <w:rFonts w:hint="eastAsia"/>
        </w:rPr>
        <w:t>/</w:t>
      </w:r>
      <w:r>
        <w:rPr>
          <w:rFonts w:hint="eastAsia"/>
        </w:rPr>
        <w:t>千瓦·时的</w:t>
      </w:r>
      <w:r>
        <w:rPr>
          <w:rFonts w:hint="eastAsia"/>
        </w:rPr>
        <w:t xml:space="preserve">EISFC </w:t>
      </w:r>
      <w:r>
        <w:rPr>
          <w:rFonts w:hint="eastAsia"/>
        </w:rPr>
        <w:t>和</w:t>
      </w:r>
      <w:r>
        <w:rPr>
          <w:rFonts w:hint="eastAsia"/>
        </w:rPr>
        <w:t xml:space="preserve">15 </w:t>
      </w:r>
      <w:proofErr w:type="gramStart"/>
      <w:r>
        <w:rPr>
          <w:rFonts w:hint="eastAsia"/>
        </w:rPr>
        <w:t>兆瓦</w:t>
      </w:r>
      <w:r>
        <w:rPr>
          <w:rFonts w:hint="eastAsia"/>
        </w:rPr>
        <w:t>/</w:t>
      </w:r>
      <w:proofErr w:type="gramEnd"/>
      <w:r>
        <w:rPr>
          <w:rFonts w:hint="eastAsia"/>
        </w:rPr>
        <w:t>平方米的</w:t>
      </w:r>
      <w:r>
        <w:rPr>
          <w:rFonts w:hint="eastAsia"/>
        </w:rPr>
        <w:t xml:space="preserve">RI </w:t>
      </w:r>
      <w:r>
        <w:rPr>
          <w:rFonts w:hint="eastAsia"/>
        </w:rPr>
        <w:t>分别作为评估燃油经济性和燃烧爆震严重程度的基准。</w:t>
      </w:r>
    </w:p>
    <w:p w14:paraId="4DF47CF1" w14:textId="4AD97919" w:rsidR="00616FC2" w:rsidRDefault="0007133B" w:rsidP="0007133B">
      <w:pPr>
        <w:pStyle w:val="1"/>
        <w:ind w:firstLine="640"/>
      </w:pPr>
      <w:r>
        <w:rPr>
          <w:rFonts w:hint="eastAsia"/>
        </w:rPr>
        <w:t>三、</w:t>
      </w:r>
      <w:r w:rsidRPr="0007133B">
        <w:rPr>
          <w:rFonts w:hint="eastAsia"/>
        </w:rPr>
        <w:t>单极喷射下进气段喷射与压缩段喷射对比研究</w:t>
      </w:r>
    </w:p>
    <w:p w14:paraId="4C139230" w14:textId="726D47DE" w:rsidR="0007133B" w:rsidRDefault="0007133B" w:rsidP="0007133B">
      <w:pPr>
        <w:ind w:firstLine="560"/>
      </w:pPr>
      <w:r w:rsidRPr="0007133B">
        <w:rPr>
          <w:rFonts w:hint="eastAsia"/>
        </w:rPr>
        <w:t>本章针对高甲醇替代率（</w:t>
      </w:r>
      <w:r w:rsidRPr="0007133B">
        <w:rPr>
          <w:rFonts w:hint="eastAsia"/>
        </w:rPr>
        <w:t>95%</w:t>
      </w:r>
      <w:r w:rsidRPr="0007133B">
        <w:rPr>
          <w:rFonts w:hint="eastAsia"/>
        </w:rPr>
        <w:t>）下的船用甲醇</w:t>
      </w:r>
      <w:r w:rsidRPr="0007133B">
        <w:rPr>
          <w:rFonts w:hint="eastAsia"/>
        </w:rPr>
        <w:t>/</w:t>
      </w:r>
      <w:proofErr w:type="gramStart"/>
      <w:r w:rsidRPr="0007133B">
        <w:rPr>
          <w:rFonts w:hint="eastAsia"/>
        </w:rPr>
        <w:t>柴油双</w:t>
      </w:r>
      <w:proofErr w:type="gramEnd"/>
      <w:r w:rsidRPr="0007133B">
        <w:rPr>
          <w:rFonts w:hint="eastAsia"/>
        </w:rPr>
        <w:t>燃料直接喷射（</w:t>
      </w:r>
      <w:r w:rsidRPr="0007133B">
        <w:rPr>
          <w:rFonts w:hint="eastAsia"/>
        </w:rPr>
        <w:t>DDFS</w:t>
      </w:r>
      <w:r w:rsidRPr="0007133B">
        <w:rPr>
          <w:rFonts w:hint="eastAsia"/>
        </w:rPr>
        <w:t>）发动机</w:t>
      </w:r>
      <w:r w:rsidR="00036CFD" w:rsidRPr="00036CFD">
        <w:rPr>
          <w:rFonts w:hint="eastAsia"/>
        </w:rPr>
        <w:t>系统</w:t>
      </w:r>
      <w:r w:rsidR="00036CFD">
        <w:rPr>
          <w:rFonts w:hint="eastAsia"/>
        </w:rPr>
        <w:t>，</w:t>
      </w:r>
      <w:r w:rsidR="00036CFD" w:rsidRPr="00036CFD">
        <w:rPr>
          <w:rFonts w:hint="eastAsia"/>
        </w:rPr>
        <w:t>对比研究单极喷射条件下进气段喷射与压缩段喷射对发动机燃烧特性的影响。在统一甲醇</w:t>
      </w:r>
      <w:r w:rsidR="00036CFD" w:rsidRPr="00036CFD">
        <w:rPr>
          <w:rFonts w:hint="eastAsia"/>
        </w:rPr>
        <w:t>-</w:t>
      </w:r>
      <w:r w:rsidR="00036CFD" w:rsidRPr="00036CFD">
        <w:rPr>
          <w:rFonts w:hint="eastAsia"/>
        </w:rPr>
        <w:t>柴油燃料配比和喷油压力等运行参数条件下，通过设置不同的喷射策略，分析喷射位置对燃烧过程和输出性能的作用机理。本章共设计了六个对比工况，其中进气段喷射工况记为</w:t>
      </w:r>
      <w:r w:rsidR="00036CFD" w:rsidRPr="00036CFD">
        <w:rPr>
          <w:rFonts w:hint="eastAsia"/>
        </w:rPr>
        <w:t>A1</w:t>
      </w:r>
      <w:r w:rsidR="00036CFD" w:rsidRPr="00036CFD">
        <w:rPr>
          <w:rFonts w:hint="eastAsia"/>
        </w:rPr>
        <w:t>、</w:t>
      </w:r>
      <w:r w:rsidR="00036CFD" w:rsidRPr="00036CFD">
        <w:rPr>
          <w:rFonts w:hint="eastAsia"/>
        </w:rPr>
        <w:t>A2</w:t>
      </w:r>
      <w:r w:rsidR="00036CFD" w:rsidRPr="00036CFD">
        <w:rPr>
          <w:rFonts w:hint="eastAsia"/>
        </w:rPr>
        <w:t>、</w:t>
      </w:r>
      <w:r w:rsidR="00036CFD" w:rsidRPr="00036CFD">
        <w:rPr>
          <w:rFonts w:hint="eastAsia"/>
        </w:rPr>
        <w:t>A3</w:t>
      </w:r>
      <w:r w:rsidR="00036CFD" w:rsidRPr="00036CFD">
        <w:rPr>
          <w:rFonts w:hint="eastAsia"/>
        </w:rPr>
        <w:t>，压缩段喷射工况记为</w:t>
      </w:r>
      <w:r w:rsidR="00036CFD" w:rsidRPr="00036CFD">
        <w:rPr>
          <w:rFonts w:hint="eastAsia"/>
        </w:rPr>
        <w:t>B1</w:t>
      </w:r>
      <w:r w:rsidR="00036CFD" w:rsidRPr="00036CFD">
        <w:rPr>
          <w:rFonts w:hint="eastAsia"/>
        </w:rPr>
        <w:t>、</w:t>
      </w:r>
      <w:r w:rsidR="00036CFD" w:rsidRPr="00036CFD">
        <w:rPr>
          <w:rFonts w:hint="eastAsia"/>
        </w:rPr>
        <w:t>B2</w:t>
      </w:r>
      <w:r w:rsidR="00036CFD" w:rsidRPr="00036CFD">
        <w:rPr>
          <w:rFonts w:hint="eastAsia"/>
        </w:rPr>
        <w:t>、</w:t>
      </w:r>
      <w:r w:rsidR="00036CFD" w:rsidRPr="00036CFD">
        <w:rPr>
          <w:rFonts w:hint="eastAsia"/>
        </w:rPr>
        <w:t>B3</w:t>
      </w:r>
      <w:r w:rsidR="00036CFD" w:rsidRPr="00036CFD">
        <w:rPr>
          <w:rFonts w:hint="eastAsia"/>
        </w:rPr>
        <w:t>，分别对应不同的喷射时刻和持续期组合</w:t>
      </w:r>
      <w:r w:rsidR="00036CFD">
        <w:rPr>
          <w:rFonts w:hint="eastAsia"/>
        </w:rPr>
        <w:t>，如表</w:t>
      </w:r>
      <w:r w:rsidR="00036CFD">
        <w:rPr>
          <w:rFonts w:hint="eastAsia"/>
        </w:rPr>
        <w:t>5</w:t>
      </w:r>
      <w:r w:rsidR="00036CFD">
        <w:rPr>
          <w:rFonts w:hint="eastAsia"/>
        </w:rPr>
        <w:t>所示。</w:t>
      </w:r>
      <w:r w:rsidR="00036CFD" w:rsidRPr="00036CFD">
        <w:rPr>
          <w:rFonts w:hint="eastAsia"/>
        </w:rPr>
        <w:t>在所有工况中，喷射策略仅通过调整喷射提前角和喷射持续期来改变燃料喷射过程，其余条件（如甲醇</w:t>
      </w:r>
      <w:r w:rsidR="00036CFD" w:rsidRPr="00036CFD">
        <w:rPr>
          <w:rFonts w:hint="eastAsia"/>
        </w:rPr>
        <w:t>-</w:t>
      </w:r>
      <w:r w:rsidR="00036CFD" w:rsidRPr="00036CFD">
        <w:rPr>
          <w:rFonts w:hint="eastAsia"/>
        </w:rPr>
        <w:t>柴油质量比、喷油压力等）保持一致，以确保各工况对比研究的有效性。同时，为使不同工况的燃烧相位一致，</w:t>
      </w:r>
      <w:r w:rsidR="00036CFD" w:rsidRPr="00036CFD">
        <w:rPr>
          <w:rFonts w:hint="eastAsia"/>
        </w:rPr>
        <w:lastRenderedPageBreak/>
        <w:t>在各组工况中通过调节甲醇喷射提前角（</w:t>
      </w:r>
      <w:r w:rsidR="00036CFD" w:rsidRPr="00036CFD">
        <w:rPr>
          <w:rFonts w:hint="eastAsia"/>
        </w:rPr>
        <w:t>SOIM</w:t>
      </w:r>
      <w:r w:rsidR="00036CFD" w:rsidRPr="00036CFD">
        <w:rPr>
          <w:rFonts w:hint="eastAsia"/>
        </w:rPr>
        <w:t>）和柴油喷射提前角（</w:t>
      </w:r>
      <w:r w:rsidR="00036CFD" w:rsidRPr="00036CFD">
        <w:rPr>
          <w:rFonts w:hint="eastAsia"/>
        </w:rPr>
        <w:t>SOID</w:t>
      </w:r>
      <w:r w:rsidR="00036CFD" w:rsidRPr="00036CFD">
        <w:rPr>
          <w:rFonts w:hint="eastAsia"/>
        </w:rPr>
        <w:t>）将燃烧中心（</w:t>
      </w:r>
      <w:r w:rsidR="00036CFD" w:rsidRPr="00036CFD">
        <w:rPr>
          <w:rFonts w:hint="eastAsia"/>
        </w:rPr>
        <w:t>CA50</w:t>
      </w:r>
      <w:r w:rsidR="00036CFD" w:rsidRPr="00036CFD">
        <w:rPr>
          <w:rFonts w:hint="eastAsia"/>
        </w:rPr>
        <w:t>，即燃烧过程中</w:t>
      </w:r>
      <w:r w:rsidR="00036CFD" w:rsidRPr="00036CFD">
        <w:rPr>
          <w:rFonts w:hint="eastAsia"/>
        </w:rPr>
        <w:t>50%</w:t>
      </w:r>
      <w:r w:rsidR="00036CFD" w:rsidRPr="00036CFD">
        <w:rPr>
          <w:rFonts w:hint="eastAsia"/>
        </w:rPr>
        <w:t>累积热释放对应的曲轴转角）保持在约</w:t>
      </w:r>
      <w:r w:rsidR="00036CFD" w:rsidRPr="00036CFD">
        <w:rPr>
          <w:rFonts w:hint="eastAsia"/>
        </w:rPr>
        <w:t>4</w:t>
      </w:r>
      <w:r w:rsidR="00036CFD" w:rsidRPr="00036CFD">
        <w:rPr>
          <w:rFonts w:hint="eastAsia"/>
        </w:rPr>
        <w:t>°</w:t>
      </w:r>
      <w:r w:rsidR="00036CFD" w:rsidRPr="00036CFD">
        <w:rPr>
          <w:rFonts w:hint="eastAsia"/>
        </w:rPr>
        <w:t>CA ATDC</w:t>
      </w:r>
      <w:r w:rsidR="00036CFD" w:rsidRPr="00036CFD">
        <w:rPr>
          <w:rFonts w:hint="eastAsia"/>
        </w:rPr>
        <w:t>附近（即上止点后约</w:t>
      </w:r>
      <w:r w:rsidR="00036CFD" w:rsidRPr="00036CFD">
        <w:rPr>
          <w:rFonts w:hint="eastAsia"/>
        </w:rPr>
        <w:t>4</w:t>
      </w:r>
      <w:r w:rsidR="00036CFD" w:rsidRPr="00036CFD">
        <w:rPr>
          <w:rFonts w:hint="eastAsia"/>
        </w:rPr>
        <w:t>°曲轴转角处）。这样可以保证各工况的热释放过程具有可比性。</w:t>
      </w:r>
    </w:p>
    <w:p w14:paraId="45131D11" w14:textId="67C34F90" w:rsidR="00036CFD" w:rsidRDefault="00036CFD" w:rsidP="00036CFD">
      <w:pPr>
        <w:ind w:firstLine="560"/>
        <w:jc w:val="center"/>
        <w:rPr>
          <w:rFonts w:hint="eastAsia"/>
        </w:rPr>
      </w:pPr>
      <w:r>
        <w:rPr>
          <w:rFonts w:hint="eastAsia"/>
        </w:rPr>
        <w:t>表</w:t>
      </w:r>
      <w:r>
        <w:rPr>
          <w:rFonts w:hint="eastAsia"/>
        </w:rPr>
        <w:t>5</w:t>
      </w:r>
      <w:r w:rsidRPr="00036CFD">
        <w:rPr>
          <w:rFonts w:hint="eastAsia"/>
        </w:rPr>
        <w:t>不同的喷射时刻和持续期组合</w:t>
      </w:r>
    </w:p>
    <w:p w14:paraId="0C605962" w14:textId="2EC10E02" w:rsidR="0007133B" w:rsidRDefault="0007133B" w:rsidP="0007133B">
      <w:pPr>
        <w:pStyle w:val="a0"/>
        <w:ind w:firstLine="600"/>
      </w:pPr>
      <w:r>
        <w:rPr>
          <w:rFonts w:hint="eastAsia"/>
        </w:rPr>
        <w:t>3.1</w:t>
      </w:r>
      <w:r w:rsidRPr="0007133B">
        <w:rPr>
          <w:rFonts w:hint="eastAsia"/>
        </w:rPr>
        <w:t>缸内压力与放热率特征对比</w:t>
      </w:r>
    </w:p>
    <w:p w14:paraId="2CE48B0A" w14:textId="0162EB6E" w:rsidR="0007133B" w:rsidRDefault="0007133B" w:rsidP="0007133B">
      <w:pPr>
        <w:ind w:firstLine="560"/>
      </w:pPr>
      <w:r w:rsidRPr="0007133B">
        <w:t>图</w:t>
      </w:r>
      <w:r>
        <w:rPr>
          <w:rFonts w:hint="eastAsia"/>
        </w:rPr>
        <w:t>4</w:t>
      </w:r>
      <w:r w:rsidRPr="0007133B">
        <w:t>展示了进气段喷射（</w:t>
      </w:r>
      <w:r w:rsidRPr="0007133B">
        <w:t>A</w:t>
      </w:r>
      <w:r w:rsidRPr="0007133B">
        <w:t>组）与压缩段喷射（</w:t>
      </w:r>
      <w:r w:rsidRPr="0007133B">
        <w:t>B</w:t>
      </w:r>
      <w:r w:rsidRPr="0007133B">
        <w:t>组线）条件下的缸内压力随曲轴角度的变化。按照缸内直喷发动机燃烧模式分类，</w:t>
      </w:r>
      <w:r w:rsidRPr="0007133B">
        <w:t>A</w:t>
      </w:r>
      <w:r w:rsidRPr="0007133B">
        <w:t>组对应</w:t>
      </w:r>
      <w:r w:rsidRPr="0007133B">
        <w:rPr>
          <w:b/>
          <w:bCs/>
        </w:rPr>
        <w:t>均质充量</w:t>
      </w:r>
      <w:r w:rsidRPr="0007133B">
        <w:t>模式，即在进气冲程开始时喷射燃料，使燃油与空气充分混合形成均匀混合气；</w:t>
      </w:r>
      <w:r w:rsidRPr="0007133B">
        <w:t>B</w:t>
      </w:r>
      <w:r w:rsidRPr="0007133B">
        <w:t>组对应</w:t>
      </w:r>
      <w:r w:rsidRPr="0007133B">
        <w:rPr>
          <w:b/>
          <w:bCs/>
        </w:rPr>
        <w:t>分层充量</w:t>
      </w:r>
      <w:r w:rsidRPr="0007133B">
        <w:t>模式，即在压缩冲程后期喷射燃料以在火花塞附近形成富混合气层。如图所示，</w:t>
      </w:r>
      <w:r w:rsidRPr="0007133B">
        <w:t>A</w:t>
      </w:r>
      <w:r w:rsidRPr="0007133B">
        <w:t>组曲线在近</w:t>
      </w:r>
      <w:r w:rsidRPr="0007133B">
        <w:t>-20°CA</w:t>
      </w:r>
      <w:r w:rsidRPr="0007133B">
        <w:t>时出现较早的压力激增，峰值压力普遍高于</w:t>
      </w:r>
      <w:r w:rsidRPr="0007133B">
        <w:t>B</w:t>
      </w:r>
      <w:r w:rsidRPr="0007133B">
        <w:t>组（除</w:t>
      </w:r>
      <w:r w:rsidRPr="0007133B">
        <w:t>B3</w:t>
      </w:r>
      <w:proofErr w:type="gramStart"/>
      <w:r w:rsidRPr="0007133B">
        <w:t>极晚喷射</w:t>
      </w:r>
      <w:proofErr w:type="gramEnd"/>
      <w:r w:rsidRPr="0007133B">
        <w:t>外）。这表明进气段喷射因</w:t>
      </w:r>
      <w:proofErr w:type="gramStart"/>
      <w:r w:rsidRPr="0007133B">
        <w:t>混合气更均匀</w:t>
      </w:r>
      <w:proofErr w:type="gramEnd"/>
      <w:r w:rsidRPr="0007133B">
        <w:t>、预混充分，提前了燃烧时刻并产生了更高的最大压力。相比之下，压缩段喷射的燃烧推迟，峰值压力下降（</w:t>
      </w:r>
      <w:r w:rsidRPr="0007133B">
        <w:t>B1</w:t>
      </w:r>
      <w:r w:rsidRPr="0007133B">
        <w:t>、</w:t>
      </w:r>
      <w:r w:rsidRPr="0007133B">
        <w:t>B2</w:t>
      </w:r>
      <w:r w:rsidRPr="0007133B">
        <w:t>略低于</w:t>
      </w:r>
      <w:r w:rsidRPr="0007133B">
        <w:t>A</w:t>
      </w:r>
      <w:r w:rsidRPr="0007133B">
        <w:t>组，</w:t>
      </w:r>
      <w:r w:rsidRPr="0007133B">
        <w:t>B3</w:t>
      </w:r>
      <w:r w:rsidRPr="0007133B">
        <w:t>最低），对应燃烧过程减弱或不完全的情况。</w:t>
      </w:r>
    </w:p>
    <w:p w14:paraId="74179D66" w14:textId="4499DF1C" w:rsidR="0007133B" w:rsidRPr="0007133B" w:rsidRDefault="0007133B" w:rsidP="0007133B">
      <w:pPr>
        <w:ind w:firstLine="560"/>
        <w:jc w:val="center"/>
        <w:rPr>
          <w:rFonts w:hint="eastAsia"/>
        </w:rPr>
      </w:pPr>
      <w:r w:rsidRPr="0007133B">
        <w:t>图</w:t>
      </w:r>
      <w:r>
        <w:rPr>
          <w:rFonts w:hint="eastAsia"/>
        </w:rPr>
        <w:t>4</w:t>
      </w:r>
      <w:r w:rsidRPr="0007133B">
        <w:rPr>
          <w:rFonts w:hint="eastAsia"/>
        </w:rPr>
        <w:t>缸内压力曲线对比</w:t>
      </w:r>
    </w:p>
    <w:p w14:paraId="56B6CF1B" w14:textId="3EE378F4" w:rsidR="0007133B" w:rsidRDefault="0007133B" w:rsidP="0007133B">
      <w:pPr>
        <w:ind w:firstLine="560"/>
      </w:pPr>
      <w:r w:rsidRPr="0007133B">
        <w:t>图</w:t>
      </w:r>
      <w:r>
        <w:rPr>
          <w:rFonts w:hint="eastAsia"/>
        </w:rPr>
        <w:t>5</w:t>
      </w:r>
      <w:r w:rsidRPr="0007133B">
        <w:t>给出了各工况的瞬时放热率随曲轴角度变化的对比。从曲线可以看出，</w:t>
      </w:r>
      <w:r w:rsidRPr="0007133B">
        <w:t>A</w:t>
      </w:r>
      <w:r w:rsidRPr="0007133B">
        <w:t>组（进气喷射）的放热峰值出现在约</w:t>
      </w:r>
      <w:r w:rsidRPr="0007133B">
        <w:t>-17°CA</w:t>
      </w:r>
      <w:r w:rsidRPr="0007133B">
        <w:t>，且峰值幅度明显高于</w:t>
      </w:r>
      <w:r w:rsidRPr="0007133B">
        <w:t>B</w:t>
      </w:r>
      <w:r w:rsidRPr="0007133B">
        <w:t>组；而</w:t>
      </w:r>
      <w:r w:rsidRPr="0007133B">
        <w:t>B</w:t>
      </w:r>
      <w:r w:rsidRPr="0007133B">
        <w:t>组的放热峰推迟至接近</w:t>
      </w:r>
      <w:r w:rsidRPr="0007133B">
        <w:t>TDC</w:t>
      </w:r>
      <w:r w:rsidRPr="0007133B">
        <w:t>时（</w:t>
      </w:r>
      <w:r w:rsidRPr="0007133B">
        <w:t>0°CA</w:t>
      </w:r>
      <w:r w:rsidRPr="0007133B">
        <w:t>前后），强度较弱。其中，</w:t>
      </w:r>
      <w:r w:rsidRPr="0007133B">
        <w:t>A1/A2/A3</w:t>
      </w:r>
      <w:r w:rsidRPr="0007133B">
        <w:t>之间峰值高度相近，表明在进气喷射范</w:t>
      </w:r>
      <w:r w:rsidRPr="0007133B">
        <w:lastRenderedPageBreak/>
        <w:t>围内适当提前喷射有助于增加燃烧剧烈程度。</w:t>
      </w:r>
      <w:r w:rsidRPr="0007133B">
        <w:t>A</w:t>
      </w:r>
      <w:r w:rsidRPr="0007133B">
        <w:t>组提早的放热</w:t>
      </w:r>
      <w:proofErr w:type="gramStart"/>
      <w:r w:rsidRPr="0007133B">
        <w:t>峰反映</w:t>
      </w:r>
      <w:proofErr w:type="gramEnd"/>
      <w:r w:rsidRPr="0007133B">
        <w:t>了燃烧提前，符合均质模式下燃料有更多时间蒸发和混合的特点</w:t>
      </w:r>
      <w:r w:rsidRPr="0007133B">
        <w:t>​</w:t>
      </w:r>
      <w:r w:rsidRPr="0007133B">
        <w:t>。</w:t>
      </w:r>
      <w:r w:rsidRPr="0007133B">
        <w:t>B</w:t>
      </w:r>
      <w:r w:rsidRPr="0007133B">
        <w:t>组的放热延后说明分层喷射下混合气较为分散，火焰传播较慢，同时可能伴随</w:t>
      </w:r>
      <w:proofErr w:type="gramStart"/>
      <w:r w:rsidRPr="0007133B">
        <w:t>更多未</w:t>
      </w:r>
      <w:proofErr w:type="gramEnd"/>
      <w:r w:rsidRPr="0007133B">
        <w:t>燃烧残余。总体看，</w:t>
      </w:r>
      <w:r w:rsidRPr="0007133B">
        <w:t>A</w:t>
      </w:r>
      <w:r w:rsidRPr="0007133B">
        <w:t>组的燃烧过程更集中、更剧烈，而</w:t>
      </w:r>
      <w:r w:rsidRPr="0007133B">
        <w:t>B</w:t>
      </w:r>
      <w:r w:rsidRPr="0007133B">
        <w:t>组燃烧更迟缓。</w:t>
      </w:r>
    </w:p>
    <w:p w14:paraId="55D94FC8" w14:textId="0BA48742" w:rsidR="0007133B" w:rsidRPr="0007133B" w:rsidRDefault="0007133B" w:rsidP="0007133B">
      <w:pPr>
        <w:ind w:firstLine="560"/>
        <w:jc w:val="center"/>
        <w:rPr>
          <w:rFonts w:hint="eastAsia"/>
        </w:rPr>
      </w:pPr>
      <w:r w:rsidRPr="0007133B">
        <w:t>图</w:t>
      </w:r>
      <w:r>
        <w:rPr>
          <w:rFonts w:hint="eastAsia"/>
        </w:rPr>
        <w:t>5</w:t>
      </w:r>
      <w:r w:rsidRPr="0007133B">
        <w:rPr>
          <w:rFonts w:hint="eastAsia"/>
        </w:rPr>
        <w:t>瞬时放热率曲线对比</w:t>
      </w:r>
    </w:p>
    <w:p w14:paraId="5B038EFF" w14:textId="020236C3" w:rsidR="0007133B" w:rsidRDefault="0007133B" w:rsidP="0007133B">
      <w:pPr>
        <w:pStyle w:val="a0"/>
        <w:ind w:firstLine="600"/>
        <w:rPr>
          <w:rFonts w:hint="eastAsia"/>
        </w:rPr>
      </w:pPr>
      <w:r w:rsidRPr="0007133B">
        <w:rPr>
          <w:rFonts w:hint="eastAsia"/>
        </w:rPr>
        <w:t xml:space="preserve">3.2 </w:t>
      </w:r>
      <w:r w:rsidRPr="0007133B">
        <w:rPr>
          <w:rFonts w:hint="eastAsia"/>
        </w:rPr>
        <w:t>燃烧相位指标分析</w:t>
      </w:r>
    </w:p>
    <w:p w14:paraId="61151B5B" w14:textId="6EDBD74C" w:rsidR="0007133B" w:rsidRDefault="0007133B" w:rsidP="0007133B">
      <w:pPr>
        <w:ind w:firstLine="560"/>
      </w:pPr>
      <w:r>
        <w:rPr>
          <w:rFonts w:hint="eastAsia"/>
        </w:rPr>
        <w:t>图</w:t>
      </w:r>
      <w:r>
        <w:rPr>
          <w:rFonts w:hint="eastAsia"/>
        </w:rPr>
        <w:t>6</w:t>
      </w:r>
      <w:r>
        <w:rPr>
          <w:rFonts w:hint="eastAsia"/>
        </w:rPr>
        <w:t>为各工况的累计放热曲线（</w:t>
      </w:r>
      <w:r>
        <w:t>-80°CA</w:t>
      </w:r>
      <w:r>
        <w:rPr>
          <w:rFonts w:hint="eastAsia"/>
        </w:rPr>
        <w:t>至</w:t>
      </w:r>
      <w:r>
        <w:t>+60°CA</w:t>
      </w:r>
      <w:r>
        <w:rPr>
          <w:rFonts w:hint="eastAsia"/>
        </w:rPr>
        <w:t>）。</w:t>
      </w:r>
      <w:r>
        <w:t>A</w:t>
      </w:r>
      <w:r>
        <w:rPr>
          <w:rFonts w:hint="eastAsia"/>
        </w:rPr>
        <w:t>组曲线在</w:t>
      </w:r>
      <w:r>
        <w:t>-15°~0°CA</w:t>
      </w:r>
      <w:r>
        <w:rPr>
          <w:rFonts w:hint="eastAsia"/>
        </w:rPr>
        <w:t>之间陡然上升，很早就接近最终放热值（曲线趋于平缓），说明</w:t>
      </w:r>
      <w:r>
        <w:t>50%</w:t>
      </w:r>
      <w:r>
        <w:rPr>
          <w:rFonts w:hint="eastAsia"/>
        </w:rPr>
        <w:t>累积放热（</w:t>
      </w:r>
      <w:r>
        <w:t>CA50</w:t>
      </w:r>
      <w:r>
        <w:rPr>
          <w:rFonts w:hint="eastAsia"/>
        </w:rPr>
        <w:t>）发生在较前的时刻；而</w:t>
      </w:r>
      <w:r>
        <w:t>B</w:t>
      </w:r>
      <w:r>
        <w:rPr>
          <w:rFonts w:hint="eastAsia"/>
        </w:rPr>
        <w:t>组曲线上升延后，</w:t>
      </w:r>
      <w:r>
        <w:t>CA50</w:t>
      </w:r>
      <w:r>
        <w:rPr>
          <w:rFonts w:hint="eastAsia"/>
        </w:rPr>
        <w:t>位置偏后。具体而言，</w:t>
      </w:r>
      <w:r>
        <w:t>A</w:t>
      </w:r>
      <w:r>
        <w:rPr>
          <w:rFonts w:hint="eastAsia"/>
        </w:rPr>
        <w:t>组在</w:t>
      </w:r>
      <w:r>
        <w:t>-10°CA</w:t>
      </w:r>
      <w:r>
        <w:rPr>
          <w:rFonts w:hint="eastAsia"/>
        </w:rPr>
        <w:t>附近已接近峰值放热，燃烧相位提前，表明喷射在吸气时段充分混合的燃油很快完成燃烧。</w:t>
      </w:r>
      <w:r>
        <w:t>B</w:t>
      </w:r>
      <w:r>
        <w:rPr>
          <w:rFonts w:hint="eastAsia"/>
        </w:rPr>
        <w:t>组的</w:t>
      </w:r>
      <w:r>
        <w:t>CA50</w:t>
      </w:r>
      <w:r>
        <w:rPr>
          <w:rFonts w:hint="eastAsia"/>
        </w:rPr>
        <w:t>则在压缩后期甚至混合气局部燃烧区才逐渐达到，反映分层喷射模式下燃烧推迟</w:t>
      </w:r>
      <w:r>
        <w:rPr>
          <w:rFonts w:cs="Times New Roman"/>
        </w:rPr>
        <w:t>​</w:t>
      </w:r>
      <w:r>
        <w:rPr>
          <w:rFonts w:hint="eastAsia"/>
        </w:rPr>
        <w:t>。该结果表明，进气段喷射有效提前了燃烧相位，提高了早期燃烧率；压缩段喷射则导致燃烧延后、传播时间延长。</w:t>
      </w:r>
    </w:p>
    <w:p w14:paraId="75458FE3" w14:textId="571768C4" w:rsidR="0007133B" w:rsidRDefault="0007133B" w:rsidP="0007133B">
      <w:pPr>
        <w:ind w:firstLine="560"/>
        <w:jc w:val="center"/>
      </w:pPr>
      <w:r>
        <w:rPr>
          <w:rFonts w:hint="eastAsia"/>
        </w:rPr>
        <w:t>图</w:t>
      </w:r>
      <w:r>
        <w:rPr>
          <w:rFonts w:hint="eastAsia"/>
        </w:rPr>
        <w:t>6</w:t>
      </w:r>
      <w:r w:rsidRPr="0007133B">
        <w:rPr>
          <w:rFonts w:hint="eastAsia"/>
        </w:rPr>
        <w:t>累计放热曲线</w:t>
      </w:r>
    </w:p>
    <w:p w14:paraId="1F33897A" w14:textId="2CE4901A" w:rsidR="0007133B" w:rsidRDefault="0007133B" w:rsidP="0007133B">
      <w:pPr>
        <w:pStyle w:val="a0"/>
        <w:ind w:firstLine="600"/>
        <w:rPr>
          <w:rFonts w:hint="eastAsia"/>
        </w:rPr>
      </w:pPr>
      <w:r w:rsidRPr="0007133B">
        <w:rPr>
          <w:rFonts w:hint="eastAsia"/>
        </w:rPr>
        <w:t>3.</w:t>
      </w:r>
      <w:r w:rsidR="00C637D3">
        <w:rPr>
          <w:rFonts w:hint="eastAsia"/>
        </w:rPr>
        <w:t>3</w:t>
      </w:r>
      <w:r w:rsidRPr="0007133B">
        <w:rPr>
          <w:rFonts w:hint="eastAsia"/>
        </w:rPr>
        <w:t>敲缸特征分析</w:t>
      </w:r>
    </w:p>
    <w:p w14:paraId="7876BB95" w14:textId="5666C211" w:rsidR="0007133B" w:rsidRDefault="0007133B" w:rsidP="00C637D3">
      <w:pPr>
        <w:ind w:firstLine="560"/>
      </w:pPr>
      <w:r>
        <w:rPr>
          <w:rFonts w:hint="eastAsia"/>
        </w:rPr>
        <w:t>图</w:t>
      </w:r>
      <w:r w:rsidR="00C637D3">
        <w:rPr>
          <w:rFonts w:hint="eastAsia"/>
        </w:rPr>
        <w:t>7</w:t>
      </w:r>
      <w:r>
        <w:rPr>
          <w:rFonts w:hint="eastAsia"/>
        </w:rPr>
        <w:t xml:space="preserve"> </w:t>
      </w:r>
      <w:r>
        <w:rPr>
          <w:rFonts w:hint="eastAsia"/>
        </w:rPr>
        <w:t>综合比较了各工况的最大压力上升率、最大压力与敲击强度</w:t>
      </w:r>
      <w:r>
        <w:rPr>
          <w:rFonts w:hint="eastAsia"/>
        </w:rPr>
        <w:t>RI</w:t>
      </w:r>
      <w:r>
        <w:rPr>
          <w:rFonts w:hint="eastAsia"/>
        </w:rPr>
        <w:t>。从</w:t>
      </w:r>
      <w:r>
        <w:rPr>
          <w:rFonts w:hint="eastAsia"/>
        </w:rPr>
        <w:t>RI</w:t>
      </w:r>
      <w:r>
        <w:rPr>
          <w:rFonts w:hint="eastAsia"/>
        </w:rPr>
        <w:t>值来看，</w:t>
      </w:r>
      <w:r>
        <w:rPr>
          <w:rFonts w:hint="eastAsia"/>
        </w:rPr>
        <w:t>A</w:t>
      </w:r>
      <w:r>
        <w:rPr>
          <w:rFonts w:hint="eastAsia"/>
        </w:rPr>
        <w:t>组（</w:t>
      </w:r>
      <w:r>
        <w:rPr>
          <w:rFonts w:hint="eastAsia"/>
        </w:rPr>
        <w:t>A1A3</w:t>
      </w:r>
      <w:r>
        <w:rPr>
          <w:rFonts w:hint="eastAsia"/>
        </w:rPr>
        <w:t>）的</w:t>
      </w:r>
      <w:r>
        <w:rPr>
          <w:rFonts w:hint="eastAsia"/>
        </w:rPr>
        <w:t>RI</w:t>
      </w:r>
      <w:r>
        <w:rPr>
          <w:rFonts w:hint="eastAsia"/>
        </w:rPr>
        <w:t>均较低（约</w:t>
      </w:r>
      <w:r>
        <w:rPr>
          <w:rFonts w:hint="eastAsia"/>
        </w:rPr>
        <w:t>150</w:t>
      </w:r>
      <w:r w:rsidR="00C637D3">
        <w:rPr>
          <w:rFonts w:hint="eastAsia"/>
        </w:rPr>
        <w:t>、</w:t>
      </w:r>
      <w:r>
        <w:rPr>
          <w:rFonts w:hint="eastAsia"/>
        </w:rPr>
        <w:t>170</w:t>
      </w:r>
      <w:r>
        <w:rPr>
          <w:rFonts w:hint="eastAsia"/>
        </w:rPr>
        <w:t>），说明均质混合燃烧下敲缸倾向较弱。</w:t>
      </w:r>
      <w:r>
        <w:rPr>
          <w:rFonts w:hint="eastAsia"/>
        </w:rPr>
        <w:t>B</w:t>
      </w:r>
      <w:r>
        <w:rPr>
          <w:rFonts w:hint="eastAsia"/>
        </w:rPr>
        <w:t>组中，</w:t>
      </w:r>
      <w:r>
        <w:rPr>
          <w:rFonts w:hint="eastAsia"/>
        </w:rPr>
        <w:t>B1</w:t>
      </w:r>
      <w:r>
        <w:rPr>
          <w:rFonts w:hint="eastAsia"/>
        </w:rPr>
        <w:t>的</w:t>
      </w:r>
      <w:r>
        <w:rPr>
          <w:rFonts w:hint="eastAsia"/>
        </w:rPr>
        <w:t>RI</w:t>
      </w:r>
      <w:r>
        <w:rPr>
          <w:rFonts w:hint="eastAsia"/>
        </w:rPr>
        <w:t>显著最高（约</w:t>
      </w:r>
      <w:r>
        <w:rPr>
          <w:rFonts w:hint="eastAsia"/>
        </w:rPr>
        <w:lastRenderedPageBreak/>
        <w:t>650</w:t>
      </w:r>
      <w:r>
        <w:rPr>
          <w:rFonts w:hint="eastAsia"/>
        </w:rPr>
        <w:t>），</w:t>
      </w:r>
      <w:proofErr w:type="gramStart"/>
      <w:r>
        <w:rPr>
          <w:rFonts w:hint="eastAsia"/>
        </w:rPr>
        <w:t>对应极</w:t>
      </w:r>
      <w:proofErr w:type="gramEnd"/>
      <w:r>
        <w:rPr>
          <w:rFonts w:hint="eastAsia"/>
        </w:rPr>
        <w:t>陡峭的压力上升率，表明压缩段喷射若过早进行会产生剧烈敲缸；</w:t>
      </w:r>
      <w:r>
        <w:rPr>
          <w:rFonts w:hint="eastAsia"/>
        </w:rPr>
        <w:t>B2</w:t>
      </w:r>
      <w:r>
        <w:rPr>
          <w:rFonts w:hint="eastAsia"/>
        </w:rPr>
        <w:t>的</w:t>
      </w:r>
      <w:r>
        <w:rPr>
          <w:rFonts w:hint="eastAsia"/>
        </w:rPr>
        <w:t>RI</w:t>
      </w:r>
      <w:r>
        <w:rPr>
          <w:rFonts w:hint="eastAsia"/>
        </w:rPr>
        <w:t>较高（约</w:t>
      </w:r>
      <w:r>
        <w:rPr>
          <w:rFonts w:hint="eastAsia"/>
        </w:rPr>
        <w:t>420</w:t>
      </w:r>
      <w:r>
        <w:rPr>
          <w:rFonts w:hint="eastAsia"/>
        </w:rPr>
        <w:t>），说明该时刻下也存在明显敲缸；而</w:t>
      </w:r>
      <w:r>
        <w:rPr>
          <w:rFonts w:hint="eastAsia"/>
        </w:rPr>
        <w:t>B3</w:t>
      </w:r>
      <w:r>
        <w:rPr>
          <w:rFonts w:hint="eastAsia"/>
        </w:rPr>
        <w:t>的</w:t>
      </w:r>
      <w:r>
        <w:rPr>
          <w:rFonts w:hint="eastAsia"/>
        </w:rPr>
        <w:t>RI</w:t>
      </w:r>
      <w:r>
        <w:rPr>
          <w:rFonts w:hint="eastAsia"/>
        </w:rPr>
        <w:t>接近</w:t>
      </w:r>
      <w:r>
        <w:rPr>
          <w:rFonts w:hint="eastAsia"/>
        </w:rPr>
        <w:t>0</w:t>
      </w:r>
      <w:r>
        <w:rPr>
          <w:rFonts w:hint="eastAsia"/>
        </w:rPr>
        <w:t>，表明燃烧极度迟滞或燃料过</w:t>
      </w:r>
      <w:proofErr w:type="gramStart"/>
      <w:r>
        <w:rPr>
          <w:rFonts w:hint="eastAsia"/>
        </w:rPr>
        <w:t>稀几乎</w:t>
      </w:r>
      <w:proofErr w:type="gramEnd"/>
      <w:r>
        <w:rPr>
          <w:rFonts w:hint="eastAsia"/>
        </w:rPr>
        <w:t>不发生敲击。综合看，压缩段喷射在不同时刻对混合气分布影响剧烈，过早喷射产生高热值和高</w:t>
      </w:r>
      <w:r>
        <w:rPr>
          <w:rFonts w:hint="eastAsia"/>
        </w:rPr>
        <w:t>RI</w:t>
      </w:r>
      <w:r>
        <w:rPr>
          <w:rFonts w:hint="eastAsia"/>
        </w:rPr>
        <w:t>，过晚喷射燃烧减弱。与此相对，</w:t>
      </w:r>
      <w:r>
        <w:rPr>
          <w:rFonts w:hint="eastAsia"/>
        </w:rPr>
        <w:t>A</w:t>
      </w:r>
      <w:r>
        <w:rPr>
          <w:rFonts w:hint="eastAsia"/>
        </w:rPr>
        <w:t>组的峰值压力虽高但上升平缓度适中，</w:t>
      </w:r>
      <w:r>
        <w:rPr>
          <w:rFonts w:hint="eastAsia"/>
        </w:rPr>
        <w:t>RI</w:t>
      </w:r>
      <w:r>
        <w:rPr>
          <w:rFonts w:hint="eastAsia"/>
        </w:rPr>
        <w:t>较小，说明进气喷射形成均匀混合物可降低敲缸风险。</w:t>
      </w:r>
      <w:r>
        <w:rPr>
          <w:rFonts w:hint="eastAsia"/>
        </w:rPr>
        <w:t xml:space="preserve"> </w:t>
      </w:r>
    </w:p>
    <w:p w14:paraId="09AA070E" w14:textId="0A58E657" w:rsidR="00C637D3" w:rsidRDefault="00C637D3" w:rsidP="00C637D3">
      <w:pPr>
        <w:ind w:firstLine="560"/>
        <w:jc w:val="center"/>
        <w:rPr>
          <w:rFonts w:hint="eastAsia"/>
        </w:rPr>
      </w:pPr>
      <w:r>
        <w:rPr>
          <w:rFonts w:hint="eastAsia"/>
        </w:rPr>
        <w:t>图</w:t>
      </w:r>
      <w:r>
        <w:rPr>
          <w:rFonts w:hint="eastAsia"/>
        </w:rPr>
        <w:t>7</w:t>
      </w:r>
      <w:r w:rsidRPr="00C637D3">
        <w:rPr>
          <w:rFonts w:hint="eastAsia"/>
        </w:rPr>
        <w:t>敲击评估指标对比</w:t>
      </w:r>
    </w:p>
    <w:p w14:paraId="730E8051" w14:textId="2C35D9AB" w:rsidR="0007133B" w:rsidRDefault="0007133B" w:rsidP="00C637D3">
      <w:pPr>
        <w:ind w:firstLine="560"/>
      </w:pPr>
      <w:r>
        <w:rPr>
          <w:rFonts w:hint="eastAsia"/>
        </w:rPr>
        <w:t>图</w:t>
      </w:r>
      <w:r w:rsidR="00C637D3">
        <w:rPr>
          <w:rFonts w:hint="eastAsia"/>
        </w:rPr>
        <w:t>8</w:t>
      </w:r>
      <w:r>
        <w:rPr>
          <w:rFonts w:hint="eastAsia"/>
        </w:rPr>
        <w:t>显示了喷射提前角、敲击强度</w:t>
      </w:r>
      <w:r>
        <w:rPr>
          <w:rFonts w:hint="eastAsia"/>
        </w:rPr>
        <w:t>RI</w:t>
      </w:r>
      <w:r>
        <w:rPr>
          <w:rFonts w:hint="eastAsia"/>
        </w:rPr>
        <w:t>与指示燃料消耗（</w:t>
      </w:r>
      <w:r>
        <w:rPr>
          <w:rFonts w:hint="eastAsia"/>
        </w:rPr>
        <w:t>EISFC</w:t>
      </w:r>
      <w:r>
        <w:rPr>
          <w:rFonts w:hint="eastAsia"/>
        </w:rPr>
        <w:t>）之间的关系。左图（</w:t>
      </w:r>
      <w:r>
        <w:rPr>
          <w:rFonts w:hint="eastAsia"/>
        </w:rPr>
        <w:t>A</w:t>
      </w:r>
      <w:r>
        <w:rPr>
          <w:rFonts w:hint="eastAsia"/>
        </w:rPr>
        <w:t>组）中，随着喷射时刻从</w:t>
      </w:r>
      <w:r>
        <w:rPr>
          <w:rFonts w:hint="eastAsia"/>
        </w:rPr>
        <w:t>-250</w:t>
      </w:r>
      <w:r>
        <w:rPr>
          <w:rFonts w:hint="eastAsia"/>
        </w:rPr>
        <w:t>°推迟到</w:t>
      </w:r>
      <w:r>
        <w:rPr>
          <w:rFonts w:hint="eastAsia"/>
        </w:rPr>
        <w:t>-220</w:t>
      </w:r>
      <w:r>
        <w:rPr>
          <w:rFonts w:hint="eastAsia"/>
        </w:rPr>
        <w:t>°（绝对值减小，即喷射更靠近点火），</w:t>
      </w:r>
      <w:r>
        <w:rPr>
          <w:rFonts w:hint="eastAsia"/>
        </w:rPr>
        <w:t>EISFC</w:t>
      </w:r>
      <w:r>
        <w:rPr>
          <w:rFonts w:hint="eastAsia"/>
        </w:rPr>
        <w:t>由</w:t>
      </w:r>
      <w:r>
        <w:rPr>
          <w:rFonts w:hint="eastAsia"/>
        </w:rPr>
        <w:t>140</w:t>
      </w:r>
      <w:r>
        <w:rPr>
          <w:rFonts w:hint="eastAsia"/>
        </w:rPr>
        <w:t>降至</w:t>
      </w:r>
      <w:r>
        <w:rPr>
          <w:rFonts w:hint="eastAsia"/>
        </w:rPr>
        <w:t>132 g/(kW</w:t>
      </w:r>
      <w:r>
        <w:rPr>
          <w:rFonts w:hint="eastAsia"/>
        </w:rPr>
        <w:t>·</w:t>
      </w:r>
      <w:r>
        <w:rPr>
          <w:rFonts w:hint="eastAsia"/>
        </w:rPr>
        <w:t>h)</w:t>
      </w:r>
      <w:r>
        <w:rPr>
          <w:rFonts w:hint="eastAsia"/>
        </w:rPr>
        <w:t>，而</w:t>
      </w:r>
      <w:r>
        <w:rPr>
          <w:rFonts w:hint="eastAsia"/>
        </w:rPr>
        <w:t>RI</w:t>
      </w:r>
      <w:r>
        <w:rPr>
          <w:rFonts w:hint="eastAsia"/>
        </w:rPr>
        <w:t>从</w:t>
      </w:r>
      <w:r>
        <w:rPr>
          <w:rFonts w:hint="eastAsia"/>
        </w:rPr>
        <w:t>340</w:t>
      </w:r>
      <w:r>
        <w:rPr>
          <w:rFonts w:hint="eastAsia"/>
        </w:rPr>
        <w:t>升至</w:t>
      </w:r>
      <w:r>
        <w:rPr>
          <w:rFonts w:hint="eastAsia"/>
        </w:rPr>
        <w:t>420</w:t>
      </w:r>
      <w:r>
        <w:rPr>
          <w:rFonts w:hint="eastAsia"/>
        </w:rPr>
        <w:t>；这意味着进气段喷射稍晚一些可以提高燃烧效率（</w:t>
      </w:r>
      <w:r>
        <w:rPr>
          <w:rFonts w:hint="eastAsia"/>
        </w:rPr>
        <w:t>EISFC</w:t>
      </w:r>
      <w:r>
        <w:rPr>
          <w:rFonts w:hint="eastAsia"/>
        </w:rPr>
        <w:t>下降），但会增加敲缸倾向。右图（</w:t>
      </w:r>
      <w:r>
        <w:rPr>
          <w:rFonts w:hint="eastAsia"/>
        </w:rPr>
        <w:t>B</w:t>
      </w:r>
      <w:r>
        <w:rPr>
          <w:rFonts w:hint="eastAsia"/>
        </w:rPr>
        <w:t>组）中，喷射从</w:t>
      </w:r>
      <w:r>
        <w:rPr>
          <w:rFonts w:hint="eastAsia"/>
        </w:rPr>
        <w:t>-28</w:t>
      </w:r>
      <w:r>
        <w:rPr>
          <w:rFonts w:hint="eastAsia"/>
        </w:rPr>
        <w:t>°推迟到</w:t>
      </w:r>
      <w:r>
        <w:rPr>
          <w:rFonts w:hint="eastAsia"/>
        </w:rPr>
        <w:t>-10</w:t>
      </w:r>
      <w:r>
        <w:rPr>
          <w:rFonts w:hint="eastAsia"/>
        </w:rPr>
        <w:t>°时，</w:t>
      </w:r>
      <w:r>
        <w:rPr>
          <w:rFonts w:hint="eastAsia"/>
        </w:rPr>
        <w:t>EISFC</w:t>
      </w:r>
      <w:r>
        <w:rPr>
          <w:rFonts w:hint="eastAsia"/>
        </w:rPr>
        <w:t>显著从</w:t>
      </w:r>
      <w:r>
        <w:rPr>
          <w:rFonts w:hint="eastAsia"/>
        </w:rPr>
        <w:t>114</w:t>
      </w:r>
      <w:r>
        <w:rPr>
          <w:rFonts w:hint="eastAsia"/>
        </w:rPr>
        <w:t>降到</w:t>
      </w:r>
      <w:r>
        <w:rPr>
          <w:rFonts w:hint="eastAsia"/>
        </w:rPr>
        <w:t>102 g/(kW</w:t>
      </w:r>
      <w:r>
        <w:rPr>
          <w:rFonts w:hint="eastAsia"/>
        </w:rPr>
        <w:t>·</w:t>
      </w:r>
      <w:r>
        <w:rPr>
          <w:rFonts w:hint="eastAsia"/>
        </w:rPr>
        <w:t>h)</w:t>
      </w:r>
      <w:r>
        <w:rPr>
          <w:rFonts w:hint="eastAsia"/>
        </w:rPr>
        <w:t>，而</w:t>
      </w:r>
      <w:r>
        <w:rPr>
          <w:rFonts w:hint="eastAsia"/>
        </w:rPr>
        <w:t>RI</w:t>
      </w:r>
      <w:r>
        <w:rPr>
          <w:rFonts w:hint="eastAsia"/>
        </w:rPr>
        <w:t>则从极高（</w:t>
      </w:r>
      <w:r>
        <w:rPr>
          <w:rFonts w:hint="eastAsia"/>
        </w:rPr>
        <w:t>~700</w:t>
      </w:r>
      <w:r>
        <w:rPr>
          <w:rFonts w:hint="eastAsia"/>
        </w:rPr>
        <w:t>）下降到接近</w:t>
      </w:r>
      <w:r>
        <w:rPr>
          <w:rFonts w:hint="eastAsia"/>
        </w:rPr>
        <w:t>0</w:t>
      </w:r>
      <w:r>
        <w:rPr>
          <w:rFonts w:hint="eastAsia"/>
        </w:rPr>
        <w:t>；说明适当延迟压缩段</w:t>
      </w:r>
      <w:proofErr w:type="gramStart"/>
      <w:r>
        <w:rPr>
          <w:rFonts w:hint="eastAsia"/>
        </w:rPr>
        <w:t>喷射既</w:t>
      </w:r>
      <w:proofErr w:type="gramEnd"/>
      <w:r>
        <w:rPr>
          <w:rFonts w:hint="eastAsia"/>
        </w:rPr>
        <w:t>提高了燃烧效率，又有效抑制了敲缸。总体而言，图中结果反映了分层喷射的效率优势：</w:t>
      </w:r>
      <w:r>
        <w:t>B</w:t>
      </w:r>
      <w:r>
        <w:rPr>
          <w:rFonts w:hint="eastAsia"/>
        </w:rPr>
        <w:t>组在保证基本燃烧的条件下具有明显更低的</w:t>
      </w:r>
      <w:r>
        <w:t>EISFC</w:t>
      </w:r>
      <w:r>
        <w:rPr>
          <w:rFonts w:hint="eastAsia"/>
        </w:rPr>
        <w:t>（高效率），符合分层超</w:t>
      </w:r>
      <w:proofErr w:type="gramStart"/>
      <w:r>
        <w:rPr>
          <w:rFonts w:hint="eastAsia"/>
        </w:rPr>
        <w:t>稀燃降低</w:t>
      </w:r>
      <w:proofErr w:type="gramEnd"/>
      <w:r>
        <w:rPr>
          <w:rFonts w:hint="eastAsia"/>
        </w:rPr>
        <w:t>油耗的理论</w:t>
      </w:r>
      <w:r>
        <w:rPr>
          <w:rFonts w:cs="Times New Roman"/>
        </w:rPr>
        <w:t>​</w:t>
      </w:r>
      <w:r>
        <w:rPr>
          <w:rFonts w:hint="eastAsia"/>
        </w:rPr>
        <w:t>；同时，喷射时刻的优化能够在效率与敲缸风险之间找到平衡——过早喷射能量释放更充分但易爆震，过晚喷射虽效率更高但燃烧程度可能不足。</w:t>
      </w:r>
    </w:p>
    <w:p w14:paraId="5A7DA3F3" w14:textId="416BD072" w:rsidR="00C637D3" w:rsidRDefault="00C637D3" w:rsidP="00C637D3">
      <w:pPr>
        <w:ind w:firstLine="560"/>
        <w:jc w:val="center"/>
      </w:pPr>
      <w:r>
        <w:rPr>
          <w:rFonts w:hint="eastAsia"/>
        </w:rPr>
        <w:t>图</w:t>
      </w:r>
      <w:r>
        <w:rPr>
          <w:rFonts w:hint="eastAsia"/>
        </w:rPr>
        <w:t>8</w:t>
      </w:r>
      <w:r w:rsidRPr="00C637D3">
        <w:rPr>
          <w:rFonts w:hint="eastAsia"/>
        </w:rPr>
        <w:t>喷射时刻–敲击强度–热效率三维关系</w:t>
      </w:r>
    </w:p>
    <w:p w14:paraId="5A53AB0A" w14:textId="305D7330" w:rsidR="00C637D3" w:rsidRDefault="00C637D3" w:rsidP="00C637D3">
      <w:pPr>
        <w:pStyle w:val="a0"/>
        <w:ind w:firstLine="600"/>
      </w:pPr>
      <w:r>
        <w:rPr>
          <w:rFonts w:hint="eastAsia"/>
        </w:rPr>
        <w:lastRenderedPageBreak/>
        <w:t>3.4</w:t>
      </w:r>
      <w:r>
        <w:rPr>
          <w:rFonts w:hint="eastAsia"/>
        </w:rPr>
        <w:t>排放特性分析</w:t>
      </w:r>
    </w:p>
    <w:p w14:paraId="2E7BA8A6" w14:textId="77777777" w:rsidR="00C637D3" w:rsidRDefault="00C637D3" w:rsidP="00C637D3">
      <w:pPr>
        <w:ind w:firstLine="560"/>
      </w:pPr>
    </w:p>
    <w:p w14:paraId="314B9097" w14:textId="77777777" w:rsidR="00C637D3" w:rsidRPr="00C637D3" w:rsidRDefault="00C637D3" w:rsidP="00C637D3">
      <w:pPr>
        <w:ind w:firstLine="560"/>
        <w:rPr>
          <w:rFonts w:hint="eastAsia"/>
        </w:rPr>
      </w:pPr>
    </w:p>
    <w:p w14:paraId="0B59414A" w14:textId="282FCF21" w:rsidR="00C637D3" w:rsidRPr="0007133B" w:rsidRDefault="00C637D3" w:rsidP="00C637D3">
      <w:pPr>
        <w:ind w:firstLine="560"/>
        <w:rPr>
          <w:rFonts w:hint="eastAsia"/>
        </w:rPr>
      </w:pPr>
      <w:r>
        <w:rPr>
          <w:rFonts w:hint="eastAsia"/>
        </w:rPr>
        <w:t>综上所述，不同喷射时刻导致了缸内混合状态的显著差异：进气段喷射形成均质可燃混合气，导致燃烧提前、峰值压力上升且敲缸倾向较弱；而压缩段喷射形成分层混合，燃烧推迟且易产生</w:t>
      </w:r>
      <w:proofErr w:type="gramStart"/>
      <w:r>
        <w:rPr>
          <w:rFonts w:hint="eastAsia"/>
        </w:rPr>
        <w:t>局部富燃混合</w:t>
      </w:r>
      <w:proofErr w:type="gramEnd"/>
      <w:r>
        <w:rPr>
          <w:rFonts w:hint="eastAsia"/>
        </w:rPr>
        <w:t>气，从而在</w:t>
      </w:r>
      <w:proofErr w:type="gramStart"/>
      <w:r>
        <w:rPr>
          <w:rFonts w:hint="eastAsia"/>
        </w:rPr>
        <w:t>某些时</w:t>
      </w:r>
      <w:proofErr w:type="gramEnd"/>
      <w:r>
        <w:rPr>
          <w:rFonts w:hint="eastAsia"/>
        </w:rPr>
        <w:t>刻下诱发较剧烈的爆震。同时，压缩段喷射在适当时刻亦可提高热效率（图</w:t>
      </w:r>
      <w:r>
        <w:rPr>
          <w:rFonts w:hint="eastAsia"/>
        </w:rPr>
        <w:t>8</w:t>
      </w:r>
      <w:r>
        <w:rPr>
          <w:rFonts w:hint="eastAsia"/>
        </w:rPr>
        <w:t>显示更低的</w:t>
      </w:r>
      <w:r>
        <w:t>EISFC</w:t>
      </w:r>
      <w:r>
        <w:rPr>
          <w:rFonts w:hint="eastAsia"/>
        </w:rPr>
        <w:t>），符合分层超</w:t>
      </w:r>
      <w:proofErr w:type="gramStart"/>
      <w:r>
        <w:rPr>
          <w:rFonts w:hint="eastAsia"/>
        </w:rPr>
        <w:t>稀燃理论</w:t>
      </w:r>
      <w:proofErr w:type="gramEnd"/>
      <w:r>
        <w:rPr>
          <w:rFonts w:cs="Times New Roman"/>
        </w:rPr>
        <w:t>​</w:t>
      </w:r>
      <w:r>
        <w:rPr>
          <w:rFonts w:hint="eastAsia"/>
        </w:rPr>
        <w:t>。</w:t>
      </w:r>
    </w:p>
    <w:sectPr w:rsidR="00C637D3" w:rsidRPr="0007133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694"/>
    <w:rsid w:val="00036CFD"/>
    <w:rsid w:val="00064F85"/>
    <w:rsid w:val="0007133B"/>
    <w:rsid w:val="00093D3F"/>
    <w:rsid w:val="00301D5F"/>
    <w:rsid w:val="004F2020"/>
    <w:rsid w:val="00522B65"/>
    <w:rsid w:val="0055229C"/>
    <w:rsid w:val="005703F5"/>
    <w:rsid w:val="00616FC2"/>
    <w:rsid w:val="007B31E7"/>
    <w:rsid w:val="009A7184"/>
    <w:rsid w:val="00A27921"/>
    <w:rsid w:val="00BD6694"/>
    <w:rsid w:val="00C33670"/>
    <w:rsid w:val="00C637D3"/>
    <w:rsid w:val="00C8497F"/>
    <w:rsid w:val="00CB56BC"/>
    <w:rsid w:val="00DA1616"/>
    <w:rsid w:val="00E85E85"/>
    <w:rsid w:val="00F552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669C4"/>
  <w15:chartTrackingRefBased/>
  <w15:docId w15:val="{C4D6DC0E-19DC-416E-9062-FE21929B8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2B65"/>
    <w:pPr>
      <w:widowControl w:val="0"/>
      <w:spacing w:line="360" w:lineRule="auto"/>
      <w:ind w:firstLineChars="200" w:firstLine="200"/>
      <w:jc w:val="both"/>
    </w:pPr>
    <w:rPr>
      <w:rFonts w:ascii="Times New Roman" w:eastAsia="宋体" w:hAnsi="Times New Roman"/>
      <w:sz w:val="28"/>
    </w:rPr>
  </w:style>
  <w:style w:type="paragraph" w:styleId="1">
    <w:name w:val="heading 1"/>
    <w:basedOn w:val="a"/>
    <w:next w:val="a0"/>
    <w:link w:val="10"/>
    <w:uiPriority w:val="9"/>
    <w:qFormat/>
    <w:rsid w:val="00522B65"/>
    <w:pPr>
      <w:keepNext/>
      <w:keepLines/>
      <w:spacing w:before="480" w:after="80" w:line="240" w:lineRule="auto"/>
      <w:outlineLvl w:val="0"/>
    </w:pPr>
    <w:rPr>
      <w:rFonts w:cstheme="majorBidi"/>
      <w:color w:val="000000" w:themeColor="text1"/>
      <w:sz w:val="32"/>
      <w:szCs w:val="48"/>
    </w:rPr>
  </w:style>
  <w:style w:type="paragraph" w:styleId="2">
    <w:name w:val="heading 2"/>
    <w:basedOn w:val="a"/>
    <w:next w:val="a"/>
    <w:link w:val="20"/>
    <w:uiPriority w:val="9"/>
    <w:semiHidden/>
    <w:unhideWhenUsed/>
    <w:rsid w:val="00BD669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D669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D6694"/>
    <w:pPr>
      <w:keepNext/>
      <w:keepLines/>
      <w:spacing w:before="80" w:after="40"/>
      <w:outlineLvl w:val="3"/>
    </w:pPr>
    <w:rPr>
      <w:rFonts w:cstheme="majorBidi"/>
      <w:color w:val="2F5496" w:themeColor="accent1" w:themeShade="BF"/>
      <w:szCs w:val="28"/>
    </w:rPr>
  </w:style>
  <w:style w:type="paragraph" w:styleId="5">
    <w:name w:val="heading 5"/>
    <w:basedOn w:val="a"/>
    <w:next w:val="a"/>
    <w:link w:val="50"/>
    <w:uiPriority w:val="9"/>
    <w:semiHidden/>
    <w:unhideWhenUsed/>
    <w:qFormat/>
    <w:rsid w:val="00BD669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D669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D669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D669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D6694"/>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522B65"/>
    <w:rPr>
      <w:rFonts w:ascii="Times New Roman" w:eastAsia="宋体" w:hAnsi="Times New Roman" w:cstheme="majorBidi"/>
      <w:color w:val="000000" w:themeColor="text1"/>
      <w:sz w:val="32"/>
      <w:szCs w:val="48"/>
    </w:rPr>
  </w:style>
  <w:style w:type="character" w:customStyle="1" w:styleId="20">
    <w:name w:val="标题 2 字符"/>
    <w:basedOn w:val="a1"/>
    <w:link w:val="2"/>
    <w:uiPriority w:val="9"/>
    <w:semiHidden/>
    <w:rsid w:val="00BD6694"/>
    <w:rPr>
      <w:rFonts w:asciiTheme="majorHAnsi" w:eastAsiaTheme="majorEastAsia" w:hAnsiTheme="majorHAnsi" w:cstheme="majorBidi"/>
      <w:color w:val="2F5496" w:themeColor="accent1" w:themeShade="BF"/>
      <w:sz w:val="40"/>
      <w:szCs w:val="40"/>
    </w:rPr>
  </w:style>
  <w:style w:type="character" w:customStyle="1" w:styleId="30">
    <w:name w:val="标题 3 字符"/>
    <w:basedOn w:val="a1"/>
    <w:link w:val="3"/>
    <w:uiPriority w:val="9"/>
    <w:semiHidden/>
    <w:rsid w:val="00BD6694"/>
    <w:rPr>
      <w:rFonts w:asciiTheme="majorHAnsi" w:eastAsiaTheme="majorEastAsia" w:hAnsiTheme="majorHAnsi" w:cstheme="majorBidi"/>
      <w:color w:val="2F5496" w:themeColor="accent1" w:themeShade="BF"/>
      <w:sz w:val="32"/>
      <w:szCs w:val="32"/>
    </w:rPr>
  </w:style>
  <w:style w:type="character" w:customStyle="1" w:styleId="40">
    <w:name w:val="标题 4 字符"/>
    <w:basedOn w:val="a1"/>
    <w:link w:val="4"/>
    <w:uiPriority w:val="9"/>
    <w:semiHidden/>
    <w:rsid w:val="00BD6694"/>
    <w:rPr>
      <w:rFonts w:cstheme="majorBidi"/>
      <w:color w:val="2F5496" w:themeColor="accent1" w:themeShade="BF"/>
      <w:sz w:val="28"/>
      <w:szCs w:val="28"/>
    </w:rPr>
  </w:style>
  <w:style w:type="character" w:customStyle="1" w:styleId="50">
    <w:name w:val="标题 5 字符"/>
    <w:basedOn w:val="a1"/>
    <w:link w:val="5"/>
    <w:uiPriority w:val="9"/>
    <w:semiHidden/>
    <w:rsid w:val="00BD6694"/>
    <w:rPr>
      <w:rFonts w:cstheme="majorBidi"/>
      <w:color w:val="2F5496" w:themeColor="accent1" w:themeShade="BF"/>
      <w:sz w:val="24"/>
    </w:rPr>
  </w:style>
  <w:style w:type="character" w:customStyle="1" w:styleId="60">
    <w:name w:val="标题 6 字符"/>
    <w:basedOn w:val="a1"/>
    <w:link w:val="6"/>
    <w:uiPriority w:val="9"/>
    <w:semiHidden/>
    <w:rsid w:val="00BD6694"/>
    <w:rPr>
      <w:rFonts w:cstheme="majorBidi"/>
      <w:b/>
      <w:bCs/>
      <w:color w:val="2F5496" w:themeColor="accent1" w:themeShade="BF"/>
    </w:rPr>
  </w:style>
  <w:style w:type="character" w:customStyle="1" w:styleId="70">
    <w:name w:val="标题 7 字符"/>
    <w:basedOn w:val="a1"/>
    <w:link w:val="7"/>
    <w:uiPriority w:val="9"/>
    <w:semiHidden/>
    <w:rsid w:val="00BD6694"/>
    <w:rPr>
      <w:rFonts w:cstheme="majorBidi"/>
      <w:b/>
      <w:bCs/>
      <w:color w:val="595959" w:themeColor="text1" w:themeTint="A6"/>
    </w:rPr>
  </w:style>
  <w:style w:type="character" w:customStyle="1" w:styleId="80">
    <w:name w:val="标题 8 字符"/>
    <w:basedOn w:val="a1"/>
    <w:link w:val="8"/>
    <w:uiPriority w:val="9"/>
    <w:semiHidden/>
    <w:rsid w:val="00BD6694"/>
    <w:rPr>
      <w:rFonts w:cstheme="majorBidi"/>
      <w:color w:val="595959" w:themeColor="text1" w:themeTint="A6"/>
    </w:rPr>
  </w:style>
  <w:style w:type="character" w:customStyle="1" w:styleId="90">
    <w:name w:val="标题 9 字符"/>
    <w:basedOn w:val="a1"/>
    <w:link w:val="9"/>
    <w:uiPriority w:val="9"/>
    <w:semiHidden/>
    <w:rsid w:val="00BD6694"/>
    <w:rPr>
      <w:rFonts w:eastAsiaTheme="majorEastAsia" w:cstheme="majorBidi"/>
      <w:color w:val="595959" w:themeColor="text1" w:themeTint="A6"/>
    </w:rPr>
  </w:style>
  <w:style w:type="paragraph" w:styleId="a4">
    <w:name w:val="Title"/>
    <w:basedOn w:val="a"/>
    <w:next w:val="a"/>
    <w:link w:val="a5"/>
    <w:uiPriority w:val="10"/>
    <w:rsid w:val="00BD669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BD6694"/>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BD6694"/>
    <w:pPr>
      <w:numPr>
        <w:ilvl w:val="1"/>
      </w:numPr>
      <w:ind w:firstLineChars="200" w:firstLine="200"/>
      <w:jc w:val="center"/>
    </w:pPr>
    <w:rPr>
      <w:rFonts w:asciiTheme="majorHAnsi" w:eastAsiaTheme="majorEastAsia" w:hAnsiTheme="majorHAnsi" w:cstheme="majorBidi"/>
      <w:color w:val="595959" w:themeColor="text1" w:themeTint="A6"/>
      <w:spacing w:val="15"/>
      <w:szCs w:val="28"/>
    </w:rPr>
  </w:style>
  <w:style w:type="character" w:customStyle="1" w:styleId="a7">
    <w:name w:val="副标题 字符"/>
    <w:basedOn w:val="a1"/>
    <w:link w:val="a6"/>
    <w:uiPriority w:val="11"/>
    <w:rsid w:val="00BD6694"/>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BD6694"/>
    <w:pPr>
      <w:spacing w:before="160"/>
      <w:jc w:val="center"/>
    </w:pPr>
    <w:rPr>
      <w:i/>
      <w:iCs/>
      <w:color w:val="404040" w:themeColor="text1" w:themeTint="BF"/>
    </w:rPr>
  </w:style>
  <w:style w:type="character" w:customStyle="1" w:styleId="a9">
    <w:name w:val="引用 字符"/>
    <w:basedOn w:val="a1"/>
    <w:link w:val="a8"/>
    <w:uiPriority w:val="29"/>
    <w:rsid w:val="00BD6694"/>
    <w:rPr>
      <w:i/>
      <w:iCs/>
      <w:color w:val="404040" w:themeColor="text1" w:themeTint="BF"/>
    </w:rPr>
  </w:style>
  <w:style w:type="paragraph" w:styleId="aa">
    <w:name w:val="List Paragraph"/>
    <w:basedOn w:val="a"/>
    <w:uiPriority w:val="34"/>
    <w:qFormat/>
    <w:rsid w:val="00BD6694"/>
    <w:pPr>
      <w:ind w:left="720"/>
      <w:contextualSpacing/>
    </w:pPr>
  </w:style>
  <w:style w:type="character" w:styleId="ab">
    <w:name w:val="Intense Emphasis"/>
    <w:basedOn w:val="a1"/>
    <w:uiPriority w:val="21"/>
    <w:qFormat/>
    <w:rsid w:val="00BD6694"/>
    <w:rPr>
      <w:i/>
      <w:iCs/>
      <w:color w:val="2F5496" w:themeColor="accent1" w:themeShade="BF"/>
    </w:rPr>
  </w:style>
  <w:style w:type="paragraph" w:styleId="ac">
    <w:name w:val="Intense Quote"/>
    <w:basedOn w:val="a"/>
    <w:next w:val="a"/>
    <w:link w:val="ad"/>
    <w:uiPriority w:val="30"/>
    <w:qFormat/>
    <w:rsid w:val="00BD66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BD6694"/>
    <w:rPr>
      <w:i/>
      <w:iCs/>
      <w:color w:val="2F5496" w:themeColor="accent1" w:themeShade="BF"/>
    </w:rPr>
  </w:style>
  <w:style w:type="character" w:styleId="ae">
    <w:name w:val="Intense Reference"/>
    <w:basedOn w:val="a1"/>
    <w:uiPriority w:val="32"/>
    <w:qFormat/>
    <w:rsid w:val="00BD6694"/>
    <w:rPr>
      <w:b/>
      <w:bCs/>
      <w:smallCaps/>
      <w:color w:val="2F5496" w:themeColor="accent1" w:themeShade="BF"/>
      <w:spacing w:val="5"/>
    </w:rPr>
  </w:style>
  <w:style w:type="paragraph" w:styleId="a0">
    <w:name w:val="No Spacing"/>
    <w:aliases w:val="标题2"/>
    <w:basedOn w:val="2"/>
    <w:next w:val="a"/>
    <w:uiPriority w:val="1"/>
    <w:qFormat/>
    <w:rsid w:val="00522B65"/>
    <w:pPr>
      <w:spacing w:after="0" w:line="240" w:lineRule="auto"/>
    </w:pPr>
    <w:rPr>
      <w:rFonts w:ascii="Times New Roman" w:eastAsia="宋体" w:hAnsi="Times New Roman"/>
      <w:color w:val="000000" w:themeColor="text1"/>
      <w:sz w:val="30"/>
    </w:rPr>
  </w:style>
  <w:style w:type="character" w:styleId="af">
    <w:name w:val="Hyperlink"/>
    <w:basedOn w:val="a1"/>
    <w:uiPriority w:val="99"/>
    <w:unhideWhenUsed/>
    <w:rsid w:val="0007133B"/>
    <w:rPr>
      <w:color w:val="0563C1" w:themeColor="hyperlink"/>
      <w:u w:val="single"/>
    </w:rPr>
  </w:style>
  <w:style w:type="character" w:styleId="af0">
    <w:name w:val="Unresolved Mention"/>
    <w:basedOn w:val="a1"/>
    <w:uiPriority w:val="99"/>
    <w:semiHidden/>
    <w:unhideWhenUsed/>
    <w:rsid w:val="000713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191596">
      <w:bodyDiv w:val="1"/>
      <w:marLeft w:val="0"/>
      <w:marRight w:val="0"/>
      <w:marTop w:val="0"/>
      <w:marBottom w:val="0"/>
      <w:divBdr>
        <w:top w:val="none" w:sz="0" w:space="0" w:color="auto"/>
        <w:left w:val="none" w:sz="0" w:space="0" w:color="auto"/>
        <w:bottom w:val="none" w:sz="0" w:space="0" w:color="auto"/>
        <w:right w:val="none" w:sz="0" w:space="0" w:color="auto"/>
      </w:divBdr>
      <w:divsChild>
        <w:div w:id="1911232035">
          <w:marLeft w:val="0"/>
          <w:marRight w:val="0"/>
          <w:marTop w:val="0"/>
          <w:marBottom w:val="0"/>
          <w:divBdr>
            <w:top w:val="none" w:sz="0" w:space="0" w:color="auto"/>
            <w:left w:val="none" w:sz="0" w:space="0" w:color="auto"/>
            <w:bottom w:val="none" w:sz="0" w:space="0" w:color="auto"/>
            <w:right w:val="none" w:sz="0" w:space="0" w:color="auto"/>
          </w:divBdr>
        </w:div>
        <w:div w:id="1331761109">
          <w:marLeft w:val="0"/>
          <w:marRight w:val="0"/>
          <w:marTop w:val="0"/>
          <w:marBottom w:val="0"/>
          <w:divBdr>
            <w:top w:val="none" w:sz="0" w:space="0" w:color="auto"/>
            <w:left w:val="none" w:sz="0" w:space="0" w:color="auto"/>
            <w:bottom w:val="none" w:sz="0" w:space="0" w:color="auto"/>
            <w:right w:val="none" w:sz="0" w:space="0" w:color="auto"/>
          </w:divBdr>
        </w:div>
        <w:div w:id="1896164919">
          <w:marLeft w:val="0"/>
          <w:marRight w:val="0"/>
          <w:marTop w:val="0"/>
          <w:marBottom w:val="0"/>
          <w:divBdr>
            <w:top w:val="none" w:sz="0" w:space="0" w:color="auto"/>
            <w:left w:val="none" w:sz="0" w:space="0" w:color="auto"/>
            <w:bottom w:val="none" w:sz="0" w:space="0" w:color="auto"/>
            <w:right w:val="none" w:sz="0" w:space="0" w:color="auto"/>
          </w:divBdr>
        </w:div>
      </w:divsChild>
    </w:div>
    <w:div w:id="711616327">
      <w:bodyDiv w:val="1"/>
      <w:marLeft w:val="0"/>
      <w:marRight w:val="0"/>
      <w:marTop w:val="0"/>
      <w:marBottom w:val="0"/>
      <w:divBdr>
        <w:top w:val="none" w:sz="0" w:space="0" w:color="auto"/>
        <w:left w:val="none" w:sz="0" w:space="0" w:color="auto"/>
        <w:bottom w:val="none" w:sz="0" w:space="0" w:color="auto"/>
        <w:right w:val="none" w:sz="0" w:space="0" w:color="auto"/>
      </w:divBdr>
      <w:divsChild>
        <w:div w:id="1664775120">
          <w:marLeft w:val="0"/>
          <w:marRight w:val="0"/>
          <w:marTop w:val="0"/>
          <w:marBottom w:val="0"/>
          <w:divBdr>
            <w:top w:val="none" w:sz="0" w:space="0" w:color="auto"/>
            <w:left w:val="none" w:sz="0" w:space="0" w:color="auto"/>
            <w:bottom w:val="none" w:sz="0" w:space="0" w:color="auto"/>
            <w:right w:val="none" w:sz="0" w:space="0" w:color="auto"/>
          </w:divBdr>
        </w:div>
      </w:divsChild>
    </w:div>
    <w:div w:id="886185994">
      <w:bodyDiv w:val="1"/>
      <w:marLeft w:val="0"/>
      <w:marRight w:val="0"/>
      <w:marTop w:val="0"/>
      <w:marBottom w:val="0"/>
      <w:divBdr>
        <w:top w:val="none" w:sz="0" w:space="0" w:color="auto"/>
        <w:left w:val="none" w:sz="0" w:space="0" w:color="auto"/>
        <w:bottom w:val="none" w:sz="0" w:space="0" w:color="auto"/>
        <w:right w:val="none" w:sz="0" w:space="0" w:color="auto"/>
      </w:divBdr>
    </w:div>
    <w:div w:id="1108040440">
      <w:bodyDiv w:val="1"/>
      <w:marLeft w:val="0"/>
      <w:marRight w:val="0"/>
      <w:marTop w:val="0"/>
      <w:marBottom w:val="0"/>
      <w:divBdr>
        <w:top w:val="none" w:sz="0" w:space="0" w:color="auto"/>
        <w:left w:val="none" w:sz="0" w:space="0" w:color="auto"/>
        <w:bottom w:val="none" w:sz="0" w:space="0" w:color="auto"/>
        <w:right w:val="none" w:sz="0" w:space="0" w:color="auto"/>
      </w:divBdr>
    </w:div>
    <w:div w:id="1198851683">
      <w:bodyDiv w:val="1"/>
      <w:marLeft w:val="0"/>
      <w:marRight w:val="0"/>
      <w:marTop w:val="0"/>
      <w:marBottom w:val="0"/>
      <w:divBdr>
        <w:top w:val="none" w:sz="0" w:space="0" w:color="auto"/>
        <w:left w:val="none" w:sz="0" w:space="0" w:color="auto"/>
        <w:bottom w:val="none" w:sz="0" w:space="0" w:color="auto"/>
        <w:right w:val="none" w:sz="0" w:space="0" w:color="auto"/>
      </w:divBdr>
    </w:div>
    <w:div w:id="1453548140">
      <w:bodyDiv w:val="1"/>
      <w:marLeft w:val="0"/>
      <w:marRight w:val="0"/>
      <w:marTop w:val="0"/>
      <w:marBottom w:val="0"/>
      <w:divBdr>
        <w:top w:val="none" w:sz="0" w:space="0" w:color="auto"/>
        <w:left w:val="none" w:sz="0" w:space="0" w:color="auto"/>
        <w:bottom w:val="none" w:sz="0" w:space="0" w:color="auto"/>
        <w:right w:val="none" w:sz="0" w:space="0" w:color="auto"/>
      </w:divBdr>
    </w:div>
    <w:div w:id="1513641648">
      <w:bodyDiv w:val="1"/>
      <w:marLeft w:val="0"/>
      <w:marRight w:val="0"/>
      <w:marTop w:val="0"/>
      <w:marBottom w:val="0"/>
      <w:divBdr>
        <w:top w:val="none" w:sz="0" w:space="0" w:color="auto"/>
        <w:left w:val="none" w:sz="0" w:space="0" w:color="auto"/>
        <w:bottom w:val="none" w:sz="0" w:space="0" w:color="auto"/>
        <w:right w:val="none" w:sz="0" w:space="0" w:color="auto"/>
      </w:divBdr>
    </w:div>
    <w:div w:id="1828814175">
      <w:bodyDiv w:val="1"/>
      <w:marLeft w:val="0"/>
      <w:marRight w:val="0"/>
      <w:marTop w:val="0"/>
      <w:marBottom w:val="0"/>
      <w:divBdr>
        <w:top w:val="none" w:sz="0" w:space="0" w:color="auto"/>
        <w:left w:val="none" w:sz="0" w:space="0" w:color="auto"/>
        <w:bottom w:val="none" w:sz="0" w:space="0" w:color="auto"/>
        <w:right w:val="none" w:sz="0" w:space="0" w:color="auto"/>
      </w:divBdr>
    </w:div>
    <w:div w:id="2094355394">
      <w:bodyDiv w:val="1"/>
      <w:marLeft w:val="0"/>
      <w:marRight w:val="0"/>
      <w:marTop w:val="0"/>
      <w:marBottom w:val="0"/>
      <w:divBdr>
        <w:top w:val="none" w:sz="0" w:space="0" w:color="auto"/>
        <w:left w:val="none" w:sz="0" w:space="0" w:color="auto"/>
        <w:bottom w:val="none" w:sz="0" w:space="0" w:color="auto"/>
        <w:right w:val="none" w:sz="0" w:space="0" w:color="auto"/>
      </w:divBdr>
      <w:divsChild>
        <w:div w:id="2143112284">
          <w:marLeft w:val="0"/>
          <w:marRight w:val="0"/>
          <w:marTop w:val="0"/>
          <w:marBottom w:val="0"/>
          <w:divBdr>
            <w:top w:val="none" w:sz="0" w:space="0" w:color="auto"/>
            <w:left w:val="none" w:sz="0" w:space="0" w:color="auto"/>
            <w:bottom w:val="none" w:sz="0" w:space="0" w:color="auto"/>
            <w:right w:val="none" w:sz="0" w:space="0" w:color="auto"/>
          </w:divBdr>
        </w:div>
      </w:divsChild>
    </w:div>
    <w:div w:id="2111314084">
      <w:bodyDiv w:val="1"/>
      <w:marLeft w:val="0"/>
      <w:marRight w:val="0"/>
      <w:marTop w:val="0"/>
      <w:marBottom w:val="0"/>
      <w:divBdr>
        <w:top w:val="none" w:sz="0" w:space="0" w:color="auto"/>
        <w:left w:val="none" w:sz="0" w:space="0" w:color="auto"/>
        <w:bottom w:val="none" w:sz="0" w:space="0" w:color="auto"/>
        <w:right w:val="none" w:sz="0" w:space="0" w:color="auto"/>
      </w:divBdr>
      <w:divsChild>
        <w:div w:id="5921247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9F63E-864D-4B08-AAA4-740DC91C1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Pages>
  <Words>921</Words>
  <Characters>5252</Characters>
  <Application>Microsoft Office Word</Application>
  <DocSecurity>0</DocSecurity>
  <Lines>43</Lines>
  <Paragraphs>12</Paragraphs>
  <ScaleCrop>false</ScaleCrop>
  <Company/>
  <LinksUpToDate>false</LinksUpToDate>
  <CharactersWithSpaces>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weidong wang</dc:creator>
  <cp:keywords/>
  <dc:description/>
  <cp:lastModifiedBy>weidong wang</cp:lastModifiedBy>
  <cp:revision>15</cp:revision>
  <dcterms:created xsi:type="dcterms:W3CDTF">2025-04-16T14:27:00Z</dcterms:created>
  <dcterms:modified xsi:type="dcterms:W3CDTF">2025-04-26T08:01:00Z</dcterms:modified>
</cp:coreProperties>
</file>