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星辰智能体平台立项说明</w:t>
      </w:r>
    </w:p>
    <w:p>
      <w:pPr>
        <w:pStyle w:val="Heading2"/>
      </w:pPr>
      <w:r>
        <w:t>一、项目概述</w:t>
      </w:r>
    </w:p>
    <w:p>
      <w:r>
        <w:rPr>
          <w:b w:val="0"/>
          <w:sz w:val="24"/>
        </w:rPr>
        <w:t>本项目旨在构建新一代智能体平台，面向企业级用户提供智能化办公能力。平台将集成大语言模型、多模态感知、工具调用等核心技术，实现从“对话式交互”到“自主任务执行”的能力跃升。</w:t>
      </w:r>
    </w:p>
    <w:p>
      <w:pPr>
        <w:pStyle w:val="Heading2"/>
      </w:pPr>
      <w:r>
        <w:t>二、市场分析</w:t>
      </w:r>
    </w:p>
    <w:p>
      <w:r>
        <w:rPr>
          <w:b w:val="0"/>
          <w:sz w:val="24"/>
        </w:rPr>
        <w:t>随着大模型技术的快速发展，智能体（Agent）已成为AI应用的核心范式。据Gartner预测，到2027年超过50%的企业将采用AI Agent提升办公效率。国内市场方面，政策层面持续支持人工智能产业发展，各行业对智能化办公的需求日益增长。</w:t>
      </w:r>
    </w:p>
    <w:p>
      <w:pPr>
        <w:pStyle w:val="Heading2"/>
      </w:pPr>
      <w:r>
        <w:t>三、产品定位</w:t>
      </w:r>
    </w:p>
    <w:p>
      <w:r>
        <w:rPr>
          <w:b w:val="0"/>
          <w:sz w:val="24"/>
        </w:rPr>
        <w:t>定位为企业级智能办公助手，核心能力包括：</w:t>
      </w:r>
    </w:p>
    <w:p>
      <w:pPr>
        <w:pStyle w:val="ListBullet"/>
      </w:pPr>
      <w:r>
        <w:t>多模态理解与交互（文本、图片、音频、视频）</w:t>
      </w:r>
    </w:p>
    <w:p>
      <w:pPr>
        <w:pStyle w:val="ListBullet"/>
      </w:pPr>
      <w:r>
        <w:t>自动化任务编排与执行</w:t>
      </w:r>
    </w:p>
    <w:p>
      <w:pPr>
        <w:pStyle w:val="ListBullet"/>
      </w:pPr>
      <w:r>
        <w:t>企业知识库与记忆管理</w:t>
      </w:r>
    </w:p>
    <w:p>
      <w:pPr>
        <w:pStyle w:val="ListBullet"/>
      </w:pPr>
      <w:r>
        <w:t>自定义技能生态扩展</w:t>
      </w:r>
    </w:p>
    <w:p>
      <w:pPr>
        <w:pStyle w:val="Heading2"/>
      </w:pPr>
      <w:r>
        <w:t>四、技术方案</w:t>
      </w:r>
    </w:p>
    <w:p>
      <w:r>
        <w:rPr>
          <w:b w:val="0"/>
          <w:sz w:val="24"/>
        </w:rPr>
        <w:t>平台采用分层架构设计：底层为模型服务层（支持多模型接入），中层为Agent引擎层（含规划、记忆、工具调用），上层为应用服务层（含文档处理、数据分析、信息检索等场景化能力）。</w:t>
      </w:r>
    </w:p>
    <w:p>
      <w:pPr>
        <w:pStyle w:val="Heading2"/>
      </w:pPr>
      <w:r>
        <w:t>五、预期目标</w:t>
      </w:r>
    </w:p>
    <w:p>
      <w:r>
        <w:rPr>
          <w:b w:val="0"/>
          <w:sz w:val="24"/>
        </w:rPr>
        <w:t>项目计划分两期实施，第一期聚焦核心Agent能力和桌面端产品，第二期拓展企业级部署和行业解决方案。</w:t>
      </w:r>
    </w:p>
    <w:p>
      <w:r>
        <w:rPr>
          <w:b w:val="0"/>
          <w:sz w:val="24"/>
        </w:rPr>
      </w:r>
    </w:p>
    <w:p>
      <w:r>
        <w:rPr>
          <w:b w:val="0"/>
          <w:color w:val="888888"/>
          <w:sz w:val="24"/>
        </w:rPr>
        <w:t>（注：本初稿产品背景说明部分内容尚需补充完善，特别是AI方向政策方针相关内容）</w:t>
      </w:r>
    </w:p>
    <w:p>
      <w:pPr>
        <w:jc w:val="right"/>
      </w:pPr>
      <w:r>
        <w:rPr>
          <w:vanish/>
          <w:sz w:val="16"/>
          <w:color w:val="BFBFBF"/>
        </w:rPr>
        <w:t>AIGC标识: 66db0f72-7be9-4adb-b269-f4563254120d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66db0f72-7be9-4adb-b269-f4563254120d","ReservedCode1":"14c5b93d-cbea-46f0-9bc6-d1d5333da93b","ContentPropagator":"001191110102MAD55U9H0F10002","PropagateID":"66db0f72-7be9-4adb-b269-f4563254120d","ReservedCode2":"14c5b93d-cbea-46f0-9bc6-d1d5333da93b"}</vt:lpwstr>
  </property>
</Properties>
</file>