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仿宋" w:hAnsi="仿宋" w:eastAsia="仿宋"/>
          <w:b/>
          <w:sz w:val="32"/>
        </w:rPr>
        <w:t>综合审核意见</w:t>
      </w:r>
    </w:p>
    <w:p>
      <w:pPr>
        <w:spacing w:after="80" w:lineRule="auto" w:line="312"/>
      </w:pPr>
      <w:r>
        <w:rPr>
          <w:rFonts w:ascii="仿宋" w:hAnsi="仿宋" w:eastAsia="仿宋"/>
        </w:rPr>
        <w:t>本技术服务合作合同系中电信人工智能科技（北京）有限公司（我方）委托北京智数科技有限公司（乙方）开发大数据分析平台的技术服务框架，合同总金额为人民币120万元，按“30%首付-30%里程碑-40%终验”三阶段支付，项目总工期6个月，涵盖数据采集、数据清洗、数据建模和数据可视化四个模块的分段开发与验收。</w:t>
      </w:r>
    </w:p>
    <w:p>
      <w:pPr>
        <w:spacing w:after="80" w:lineRule="auto" w:line="312"/>
      </w:pPr>
      <w:r>
        <w:rPr>
          <w:rFonts w:ascii="仿宋" w:hAnsi="仿宋" w:eastAsia="仿宋"/>
        </w:rPr>
        <w:t>经审核，本合同存在以下几项主要风险需提请关注：</w:t>
      </w:r>
    </w:p>
    <w:p>
      <w:pPr>
        <w:spacing w:after="80" w:lineRule="auto" w:line="312"/>
      </w:pPr>
      <w:r>
        <w:rPr>
          <w:rFonts w:ascii="仿宋" w:hAnsi="仿宋" w:eastAsia="仿宋"/>
        </w:rPr>
        <w:t>1.【验收标准缺失】合同仅笼统约定“经甲方验收合格”，但未定义验收指标、测试方法和不合格处理程序，可能导致验收争议和项目延期，属高风险事项</w:t>
      </w:r>
    </w:p>
    <w:p>
      <w:pPr>
        <w:spacing w:after="80" w:lineRule="auto" w:line="312"/>
      </w:pPr>
      <w:r>
        <w:rPr>
          <w:rFonts w:ascii="仿宋" w:hAnsi="仿宋" w:eastAsia="仿宋"/>
        </w:rPr>
        <w:t>2.【知识产权条款过于绝对】约定所有技术成果归我方所有但未区分乙方的背景知识产权，可能导致乙方背景技术被无偿转让，属高风险事项</w:t>
      </w:r>
    </w:p>
    <w:p>
      <w:pPr>
        <w:spacing w:after="80" w:lineRule="auto" w:line="312"/>
      </w:pPr>
      <w:r>
        <w:rPr>
          <w:rFonts w:ascii="仿宋" w:hAnsi="仿宋" w:eastAsia="仿宋"/>
        </w:rPr>
        <w:t>3.【违约金比例过高】乙方逾期交付按日0.5%计违约金，年化率高达182.5%，远超司法保护标准，建议调降至日万分之三至万分之五并设置总额上限（如合同总额20%），属高风险事项</w:t>
      </w:r>
    </w:p>
    <w:p>
      <w:pPr>
        <w:spacing w:after="80" w:lineRule="auto" w:line="312"/>
      </w:pPr>
      <w:r>
        <w:rPr>
          <w:rFonts w:ascii="仿宋" w:hAnsi="仿宋" w:eastAsia="仿宋"/>
        </w:rPr>
        <w:t>4.【违约责任不对等】仅对乙方逾期交付约定违约金，未约定我方逾期付款的违约责任，建议补充对等的违约责任条款</w:t>
      </w:r>
    </w:p>
    <w:p>
      <w:pPr>
        <w:spacing w:after="80" w:lineRule="auto" w:line="312"/>
      </w:pPr>
      <w:r>
        <w:rPr>
          <w:rFonts w:ascii="仿宋" w:hAnsi="仿宋" w:eastAsia="仿宋"/>
        </w:rPr>
        <w:t>5.【争议解决方式单一】仅约定诉讼程序，建议增加仲裁选项以提高纠纷解决效率</w:t>
      </w:r>
    </w:p>
    <w:p>
      <w:pPr>
        <w:spacing w:after="80" w:lineRule="auto" w:line="312"/>
      </w:pPr>
      <w:r>
        <w:rPr>
          <w:rFonts w:ascii="仿宋" w:hAnsi="仿宋" w:eastAsia="仿宋"/>
        </w:rPr>
        <w:t>6.【其他缺失条款】合同未约定不可抗力条款、合同变更程序、适用法律及验收标准，建议逐项补充完善。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2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Rule="auto" w:line="312"/>
      <w:outlineLvl w:val="0"/>
    </w:pPr>
    <w:rPr>
      <w:rFonts w:asciiTheme="majorHAnsi" w:eastAsiaTheme="majorEastAsia" w:hAnsiTheme="majorHAnsi" w:cstheme="majorBidi" w:ascii="仿宋" w:hAnsi="仿宋" w:eastAsia="仿宋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