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华信银行 日末文件格式说明</w:t>
      </w:r>
    </w:p>
    <w:p>
      <w:pPr>
        <w:pStyle w:val="Heading2"/>
      </w:pPr>
      <w:r>
        <w:t>1 文件通用约定</w:t>
      </w:r>
    </w:p>
    <w:p>
      <w:r>
        <w:t>日末文件为每日 23:30 生成，通过 SFTP 推送至机构目录，文件编码 GBK，分隔符为竖线 |，首行为列名行，不包含在数据行内。文件命名规则：文件类型缩写_机构编号_yyyyMMdd.txt，例如 OVERDUE_HX0001_20260930.txt。</w:t>
      </w:r>
    </w:p>
    <w:p>
      <w:r>
        <w:t>金额字段一律为字符串型数字，保留两位小数，不带千分位。日期字段格式 yyyyMMdd。空字段以两个连续分隔符表示。</w:t>
      </w:r>
    </w:p>
    <w:p>
      <w:pPr>
        <w:pStyle w:val="Heading2"/>
      </w:pPr>
      <w:r>
        <w:t>2 还款明细文件</w:t>
      </w:r>
    </w:p>
    <w:p>
      <w:r>
        <w:t>文件类型缩写 REPAY。包含当日所有成功的还款流水，字段定义如下。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列序号</w:t>
            </w:r>
          </w:p>
        </w:tc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还款流水号</w:t>
            </w:r>
          </w:p>
        </w:tc>
        <w:tc>
          <w:tcPr>
            <w:tcW w:type="dxa" w:w="2160"/>
          </w:tcPr>
          <w:p>
            <w:r>
              <w:t>string(32)</w:t>
            </w:r>
          </w:p>
        </w:tc>
        <w:tc>
          <w:tcPr>
            <w:tcW w:type="dxa" w:w="2160"/>
          </w:tcPr>
          <w:p>
            <w:r>
              <w:t>当日唯一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借据编号</w:t>
            </w:r>
          </w:p>
        </w:tc>
        <w:tc>
          <w:tcPr>
            <w:tcW w:type="dxa" w:w="2160"/>
          </w:tcPr>
          <w:p>
            <w:r>
              <w:t>string(32)</w:t>
            </w:r>
          </w:p>
        </w:tc>
        <w:tc>
          <w:tcPr>
            <w:tcW w:type="dxa" w:w="2160"/>
          </w:tcPr>
          <w:p>
            <w:r>
              <w:t>还款对应的借据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还款日期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格式 yyyyMMdd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还款本金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两位小数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还款利息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两位小数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还款渠道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BIND/ACTIVE/OFFLINE</w:t>
            </w:r>
          </w:p>
        </w:tc>
      </w:tr>
    </w:tbl>
    <w:p>
      <w:pPr>
        <w:pStyle w:val="Heading2"/>
      </w:pPr>
      <w:r>
        <w:t>3 逾期文件</w:t>
      </w:r>
    </w:p>
    <w:p>
      <w:r>
        <w:t>文件类型缩写 OVERDUE。每日日末生成，包含全部处于逾期状态的借据快照。机构收到文件后应与本地逾期台账比对，差异以我行文件为准。字段定义如下。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列序号</w:t>
            </w:r>
          </w:p>
        </w:tc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借据编号</w:t>
            </w:r>
          </w:p>
        </w:tc>
        <w:tc>
          <w:tcPr>
            <w:tcW w:type="dxa" w:w="2160"/>
          </w:tcPr>
          <w:p>
            <w:r>
              <w:t>string(32)</w:t>
            </w:r>
          </w:p>
        </w:tc>
        <w:tc>
          <w:tcPr>
            <w:tcW w:type="dxa" w:w="2160"/>
          </w:tcPr>
          <w:p>
            <w:r>
              <w:t>逾期借据的唯一编号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起租逾期日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首期逾期发生日，格式 yyyyMMdd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逾期天数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截至文件生成日的连续逾期天数，含当日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逾期本金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逾期未还本金余额，两位小数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逾期利息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逾期未还利息余额，两位小数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逾期阶段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M1/M2/M3/M4PLUS，按逾期天数划分</w:t>
            </w:r>
          </w:p>
        </w:tc>
      </w:tr>
    </w:tbl>
    <w:p>
      <w:r>
        <w:t>逾期阶段划分规则：M1 为逾期 1-30 天，M2 为 31-60 天，M3 为 61-90 天，M4PLUS 为 91 天及以上。逾期阶段与催收策略挂钩，机构侧不得自行修改。</w:t>
      </w:r>
    </w:p>
    <w:p>
      <w:pPr>
        <w:pStyle w:val="Heading2"/>
      </w:pPr>
      <w:r>
        <w:t>4 差错处理</w:t>
      </w:r>
    </w:p>
    <w:p>
      <w:r>
        <w:t>机构发现文件金额与本地台账不一致时，应在 T+1 日 18:00 前通过差错登记接口反馈，我行在 T+2 日回复核查结论。连续 3 日未反馈视为确认。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