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瑞金租赁 资金对接接口文档</w:t>
      </w:r>
    </w:p>
    <w:p>
      <w:pPr>
        <w:pStyle w:val="Heading2"/>
      </w:pPr>
      <w:r>
        <w:t>一、接口总则</w:t>
      </w:r>
    </w:p>
    <w:p>
      <w:r>
        <w:t>瑞金租赁（虚构）资金对接采用 REST 风格，网关地址 https://fake-ruijin.example.com/openapi。与华信银行不同，本家资方要求所有请求放置于 JSON 包体中，使用 RSA2 私钥签名，签名放置于请求体字段 sign 中而非请求头。</w:t>
      </w:r>
    </w:p>
    <w:p>
      <w:pPr>
        <w:pStyle w:val="Heading3"/>
      </w:pPr>
      <w:r>
        <w:t>（一）商户准入</w:t>
      </w:r>
    </w:p>
    <w:p>
      <w:r>
        <w:t>合作机构接入前需完成商户备案，取得 partner_id 与 partner_key。partner_key 仅用于本地生成签名，不得随报文传输。</w:t>
      </w:r>
    </w:p>
    <w:p>
      <w:pPr>
        <w:pStyle w:val="Heading2"/>
      </w:pPr>
      <w:r>
        <w:t>二、放款指令接口</w:t>
      </w:r>
    </w:p>
    <w:p>
      <w:r>
        <w:t>接口路径 /openapi/loan/order/create。用于合作机构向瑞金租赁发起单笔放款指令。指令受理成功返回受理编号，放款结果异步通知。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是否必填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out_order_no</w:t>
            </w:r>
          </w:p>
        </w:tc>
        <w:tc>
          <w:tcPr>
            <w:tcW w:type="dxa" w:w="2160"/>
          </w:tcPr>
          <w:p>
            <w:r>
              <w:t>string(64)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机构放款订单号</w:t>
            </w:r>
          </w:p>
        </w:tc>
      </w:tr>
      <w:tr>
        <w:tc>
          <w:tcPr>
            <w:tcW w:type="dxa" w:w="2160"/>
          </w:tcPr>
          <w:p>
            <w:r>
              <w:t>contract_no</w:t>
            </w:r>
          </w:p>
        </w:tc>
        <w:tc>
          <w:tcPr>
            <w:tcW w:type="dxa" w:w="2160"/>
          </w:tcPr>
          <w:p>
            <w:r>
              <w:t>string(64)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融资租赁合同号</w:t>
            </w:r>
          </w:p>
        </w:tc>
      </w:tr>
      <w:tr>
        <w:tc>
          <w:tcPr>
            <w:tcW w:type="dxa" w:w="2160"/>
          </w:tcPr>
          <w:p>
            <w:r>
              <w:t>loan_amount</w:t>
            </w:r>
          </w:p>
        </w:tc>
        <w:tc>
          <w:tcPr>
            <w:tcW w:type="dxa" w:w="2160"/>
          </w:tcPr>
          <w:p>
            <w:r>
              <w:t>string(20)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放款金额，字符串型数字，单位元</w:t>
            </w:r>
          </w:p>
        </w:tc>
      </w:tr>
      <w:tr>
        <w:tc>
          <w:tcPr>
            <w:tcW w:type="dxa" w:w="2160"/>
          </w:tcPr>
          <w:p>
            <w:r>
              <w:t>bank_account_no</w:t>
            </w:r>
          </w:p>
        </w:tc>
        <w:tc>
          <w:tcPr>
            <w:tcW w:type="dxa" w:w="2160"/>
          </w:tcPr>
          <w:p>
            <w:r>
              <w:t>string(48)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收款账户</w:t>
            </w:r>
          </w:p>
        </w:tc>
      </w:tr>
      <w:tr>
        <w:tc>
          <w:tcPr>
            <w:tcW w:type="dxa" w:w="2160"/>
          </w:tcPr>
          <w:p>
            <w:r>
              <w:t>bank_name</w:t>
            </w:r>
          </w:p>
        </w:tc>
        <w:tc>
          <w:tcPr>
            <w:tcW w:type="dxa" w:w="2160"/>
          </w:tcPr>
          <w:p>
            <w:r>
              <w:t>string(128)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收款银行全称</w:t>
            </w:r>
          </w:p>
        </w:tc>
      </w:tr>
      <w:tr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string(200)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资金用途，按合同填写</w:t>
            </w:r>
          </w:p>
        </w:tc>
      </w:tr>
    </w:tbl>
    <w:p>
      <w:r>
        <w:t>异步通知字段：notify_type 取值 LOAN_RESULT；loan_status 取值 SUCCESS / FAILED / PROCESSING；fail_reason 在失败时返回中文描述。通知需在 24 小时内应答 SUCCESS，否则触发重试，最多重试 5 次。</w:t>
      </w:r>
    </w:p>
    <w:p>
      <w:pPr>
        <w:pStyle w:val="Heading2"/>
      </w:pPr>
      <w:r>
        <w:t>三、对账单文件</w:t>
      </w:r>
    </w:p>
    <w:p>
      <w:r>
        <w:t>瑞金租赁不提供日末 SFTP 文件，改为 T+1 日上午 10 点前开放对账单下载接口 /openapi/reconcile/download，参数 biz_date 指定对账日期，返回 CSV 内容，UTF-8 编码，逗号分隔。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字段位置</w:t>
            </w:r>
          </w:p>
        </w:tc>
        <w:tc>
          <w:tcPr>
            <w:tcW w:type="dxa" w:w="2160"/>
          </w:tcPr>
          <w:p>
            <w:r>
              <w:t>字段名称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第1列</w:t>
            </w:r>
          </w:p>
        </w:tc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放款订单号</w:t>
            </w:r>
          </w:p>
        </w:tc>
      </w:tr>
      <w:tr>
        <w:tc>
          <w:tcPr>
            <w:tcW w:type="dxa" w:w="2160"/>
          </w:tcPr>
          <w:p>
            <w:r>
              <w:t>第2列</w:t>
            </w:r>
          </w:p>
        </w:tc>
        <w:tc>
          <w:tcPr>
            <w:tcW w:type="dxa" w:w="2160"/>
          </w:tcPr>
          <w:p>
            <w:r>
              <w:t>settle_date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清算日期 yyyy-MM-dd</w:t>
            </w:r>
          </w:p>
        </w:tc>
      </w:tr>
      <w:tr>
        <w:tc>
          <w:tcPr>
            <w:tcW w:type="dxa" w:w="2160"/>
          </w:tcPr>
          <w:p>
            <w:r>
              <w:t>第3列</w:t>
            </w:r>
          </w:p>
        </w:tc>
        <w:tc>
          <w:tcPr>
            <w:tcW w:type="dxa" w:w="2160"/>
          </w:tcPr>
          <w:p>
            <w:r>
              <w:t>settle_amount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实际清算金额</w:t>
            </w:r>
          </w:p>
        </w:tc>
      </w:tr>
      <w:tr>
        <w:tc>
          <w:tcPr>
            <w:tcW w:type="dxa" w:w="2160"/>
          </w:tcPr>
          <w:p>
            <w:r>
              <w:t>第4列</w:t>
            </w:r>
          </w:p>
        </w:tc>
        <w:tc>
          <w:tcPr>
            <w:tcW w:type="dxa" w:w="2160"/>
          </w:tcPr>
          <w:p>
            <w:r>
              <w:t>fee_amount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手续费金额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