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Height w:val="16838" w:hRule="exact"/>
        </w:trPr>
        <w:tc>
          <w:tcPr>
            <w:tcBorders>
              <w:top w:val="none" w:color="FFFFFF" w:sz="0"/>
              <w:left w:val="none" w:color="FFFFFF" w:sz="0"/>
              <w:bottom w:val="none" w:color="FFFFFF" w:sz="0"/>
              <w:right w:val="none" w:color="FFFFFF" w:sz="0"/>
            </w:tcBorders>
            <w:shd w:fill="FFFFFF" w:val="clear"/>
            <w:vAlign w:val="top"/>
          </w:tcPr>
          <w:p>
            <w:pPr>
              <w:spacing w:before="4200" w:after="220" w:line="920"/>
              <w:jc w:val="center"/>
            </w:pPr>
            <w:r>
              <w:rPr>
                <w:rFonts w:ascii="Times New Roman" w:eastAsia="SimHei"/>
                <w:b/>
                <w:bCs/>
                <w:color w:val="0A1628"/>
                <w:sz w:val="40"/>
                <w:szCs w:val="40"/>
              </w:rPr>
              <w:t xml:space="preserve">AdaptSort</w:t>
            </w:r>
          </w:p>
          <w:p>
            <w:pPr>
              <w:spacing w:after="180" w:line="720"/>
              <w:jc w:val="center"/>
            </w:pPr>
            <w:r>
              <w:rPr>
                <w:rFonts w:ascii="Times New Roman" w:eastAsia="SimHei"/>
                <w:b/>
                <w:bCs/>
                <w:color w:val="0A1628"/>
                <w:sz w:val="36"/>
                <w:szCs w:val="36"/>
              </w:rPr>
              <w:t xml:space="preserve">核心调度算法设计逻辑与六类应用场景分析</w:t>
            </w:r>
          </w:p>
          <w:p>
            <w:pPr>
              <w:spacing w:after="1200" w:line="360"/>
              <w:jc w:val="center"/>
            </w:pPr>
            <w:r>
              <w:rPr>
                <w:rFonts w:ascii="Times New Roman" w:eastAsia="SimSun"/>
                <w:color w:val="5A6573"/>
                <w:sz w:val="24"/>
                <w:szCs w:val="24"/>
              </w:rPr>
              <w:t xml:space="preserve">算法设计与真实数据应用说明</w:t>
            </w:r>
          </w:p>
          <w:p>
            <w:pPr>
              <w:pBdr>
                <w:top w:val="single" w:color="3B6F92" w:sz="8" w:space="10"/>
              </w:pBdr>
              <w:spacing w:after="260" w:line="300"/>
              <w:jc w:val="center"/>
            </w:pPr>
            <w:r>
              <w:rPr>
                <w:rFonts w:ascii="Times New Roman" w:eastAsia="SimSun"/>
                <w:color w:val="5A6573"/>
                <w:sz w:val="20"/>
                <w:szCs w:val="20"/>
              </w:rPr>
              <w:t xml:space="preserve">项目依据：Algorithm-project-main 当前源代码、README 与场景设计资料</w:t>
            </w:r>
          </w:p>
          <w:p>
            <w:pPr>
              <w:spacing w:after="0" w:line="300"/>
              <w:jc w:val="center"/>
            </w:pPr>
            <w:r>
              <w:rPr>
                <w:rFonts w:ascii="Times New Roman" w:eastAsia="SimSun"/>
                <w:color w:val="5A6573"/>
                <w:sz w:val="20"/>
                <w:szCs w:val="20"/>
              </w:rPr>
              <w:t xml:space="preserve">【作者】    【日期】</w:t>
            </w:r>
          </w:p>
        </w:tc>
      </w:tr>
    </w:tbl>
    <w:p>
      <w:pPr>
        <w:sectPr>
          <w:pgSz w:w="11906" w:h="16838" w:orient="portrait"/>
          <w:pgMar w:top="0" w:right="0" w:bottom="0" w:left="0" w:header="708" w:footer="708" w:gutter="0"/>
          <w:pgNumType/>
          <w:docGrid w:linePitch="360"/>
        </w:sectPr>
      </w:pPr>
    </w:p>
    <w:p>
      <w:pPr>
        <w:pStyle w:val="Heading1"/>
        <w:keepNext/>
        <w:spacing w:before="300" w:after="120" w:line="360"/>
      </w:pPr>
      <w:r>
        <w:rPr>
          <w:rFonts w:ascii="Times New Roman" w:eastAsia="SimHei"/>
          <w:b/>
          <w:bCs/>
          <w:color w:val="0A1628"/>
          <w:sz w:val="32"/>
          <w:szCs w:val="32"/>
        </w:rPr>
        <w:t xml:space="preserve">一、设计背景与目标</w:t>
      </w:r>
    </w:p>
    <w:p>
      <w:pPr>
        <w:spacing w:before="0" w:after="100" w:line="312"/>
        <w:ind w:firstLine="480"/>
        <w:jc w:val="both"/>
      </w:pPr>
      <w:r>
        <w:rPr>
          <w:rFonts w:ascii="Times New Roman" w:eastAsia="SimSun"/>
          <w:color w:val="000000"/>
          <w:sz w:val="24"/>
          <w:szCs w:val="24"/>
        </w:rPr>
        <w:t xml:space="preserve">传统排序算法通常针对某一类输入和运行环境进行设计：比较排序具有较强通用性，但无法充分利用窄整数值域；计数排序和基数排序在整数数据上可能具有较好的吞吐量，却需要额外扫描、辅助空间或满足键域条件；归并类算法更适合部分近序输入，但其额外空间和数据复制也构成成本。因此，在输入分布、数据规模和目标机器均不确定时，预先固定单一算法往往难以在全部任务上保持合适的代价。</w:t>
      </w:r>
    </w:p>
    <w:p>
      <w:pPr>
        <w:spacing w:before="0" w:after="100" w:line="312"/>
        <w:ind w:firstLine="480"/>
        <w:jc w:val="both"/>
      </w:pPr>
      <w:r>
        <w:rPr>
          <w:rFonts w:ascii="Times New Roman" w:eastAsia="SimSun"/>
          <w:color w:val="000000"/>
          <w:sz w:val="24"/>
          <w:szCs w:val="24"/>
        </w:rPr>
        <w:t xml:space="preserve">本项目将 AdaptSort 设计为一个自适应排序调度器：它既承担排序，也在执行前分析输入并选择排序策略。其目标是在保持排序结果正确的前提下，根据数据特征与机器成本差异，尽可能避免明显不合适的算法路径。README 将总体流程概括为“特征采样—决策函数—策略执行”，其中决策函数包含短路规则和本机标定成本模型。</w:t>
      </w:r>
    </w:p>
    <w:p>
      <w:pPr>
        <w:pStyle w:val="Heading1"/>
        <w:keepNext/>
        <w:spacing w:before="300" w:after="120" w:line="360"/>
      </w:pPr>
      <w:r>
        <w:rPr>
          <w:rFonts w:ascii="Times New Roman" w:eastAsia="SimHei"/>
          <w:b/>
          <w:bCs/>
          <w:color w:val="0A1628"/>
          <w:sz w:val="32"/>
          <w:szCs w:val="32"/>
        </w:rPr>
        <w:t xml:space="preserve">二、核心算法设计逻辑</w:t>
      </w:r>
    </w:p>
    <w:p>
      <w:pPr>
        <w:pStyle w:val="Heading2"/>
        <w:keepNext/>
        <w:spacing w:before="220" w:after="120" w:line="360"/>
      </w:pPr>
      <w:r>
        <w:rPr>
          <w:rFonts w:ascii="Times New Roman" w:eastAsia="SimHei"/>
          <w:b/>
          <w:bCs/>
          <w:color w:val="0A1628"/>
          <w:sz w:val="28"/>
          <w:szCs w:val="28"/>
        </w:rPr>
        <w:t xml:space="preserve">（一）类型分流与候选策略集合</w:t>
      </w:r>
    </w:p>
    <w:p>
      <w:pPr>
        <w:spacing w:before="0" w:after="100" w:line="312"/>
        <w:ind w:firstLine="480"/>
        <w:jc w:val="both"/>
      </w:pPr>
      <w:r>
        <w:rPr>
          <w:rFonts w:ascii="Times New Roman" w:eastAsia="SimSun"/>
          <w:color w:val="000000"/>
          <w:sz w:val="24"/>
          <w:szCs w:val="24"/>
        </w:rPr>
        <w:t xml:space="preserve">AdaptSort 首先按元素类型划定可用算法。对整数键，调度器可以把比较排序与计数排序、基数排序放在候选集合中竞争；对不能直接按整数值域编码的通用类型，则不执行值域类策略，而在归并排序、内省快排及三路快排等比较类策略之间选择。项目的真实数据应用主要把多字段复合键编码为 int64，因此能够复用整数键路径；按 T 独立保存的成本模型也使不同元素类型不必共用同一组机器成本参数。</w:t>
      </w:r>
    </w:p>
    <w:p>
      <w:pPr>
        <w:pStyle w:val="Heading2"/>
        <w:keepNext/>
        <w:spacing w:before="220" w:after="120" w:line="360"/>
      </w:pPr>
      <w:r>
        <w:rPr>
          <w:rFonts w:ascii="Times New Roman" w:eastAsia="SimHei"/>
          <w:b/>
          <w:bCs/>
          <w:color w:val="0A1628"/>
          <w:sz w:val="28"/>
          <w:szCs w:val="28"/>
        </w:rPr>
        <w:t xml:space="preserve">（二）输入特征探测</w:t>
      </w:r>
    </w:p>
    <w:p>
      <w:pPr>
        <w:spacing w:before="0" w:after="100" w:line="312"/>
        <w:ind w:firstLine="480"/>
        <w:jc w:val="both"/>
      </w:pPr>
      <w:r>
        <w:rPr>
          <w:rFonts w:ascii="Times New Roman" w:eastAsia="SimSun"/>
          <w:color w:val="000000"/>
          <w:sz w:val="24"/>
          <w:szCs w:val="24"/>
        </w:rPr>
        <w:t xml:space="preserve">当输入规模超过极小阈值时，算法从序列中抽取等距样本，探测采样序列的单调性、相邻逆序比例和已排序前缀比例。对整数输入，还会估计样本值域；当比较类策略需要额外信息时，进一步估计重复率。样本探测的目的不是代替最终排序或正确性验证，而是以有限代价形成调度依据。尤其是“逆序率”与“升序前缀比例”联合使用，能够补充区分随机扰动和长前缀近序、块状变化等输入形态。</w:t>
      </w:r>
    </w:p>
    <w:p>
      <w:pPr>
        <w:spacing w:before="0" w:after="100" w:line="312"/>
        <w:ind w:firstLine="480"/>
        <w:jc w:val="both"/>
      </w:pPr>
      <w:r>
        <w:rPr>
          <w:rFonts w:ascii="Times New Roman" w:eastAsia="SimSun"/>
          <w:color w:val="000000"/>
          <w:sz w:val="24"/>
          <w:szCs w:val="24"/>
        </w:rPr>
        <w:t xml:space="preserve">对很小的输入，采样和复杂策略选择的管理成本可能超过排序本身，因此实现采用二分插入排序等简单策略直接处理。对采样显示单调的序列，代码仍进行全量确认：确认已升序后直接返回，确认严格逆序后反转。这使样本仅用于触发快速检查，不会把抽样结果误当作整个序列已经有序的证明。</w:t>
      </w:r>
    </w:p>
    <w:p>
      <w:pPr>
        <w:pStyle w:val="Heading2"/>
        <w:keepNext/>
        <w:spacing w:before="220" w:after="120" w:line="360"/>
      </w:pPr>
      <w:r>
        <w:rPr>
          <w:rFonts w:ascii="Times New Roman" w:eastAsia="SimHei"/>
          <w:b/>
          <w:bCs/>
          <w:color w:val="0A1628"/>
          <w:sz w:val="28"/>
          <w:szCs w:val="28"/>
        </w:rPr>
        <w:t xml:space="preserve">（三）规则短路与成本模型决策</w:t>
      </w:r>
    </w:p>
    <w:p>
      <w:pPr>
        <w:spacing w:before="0" w:after="100" w:line="312"/>
        <w:ind w:firstLine="480"/>
        <w:jc w:val="both"/>
      </w:pPr>
      <w:r>
        <w:rPr>
          <w:rFonts w:ascii="Times New Roman" w:eastAsia="SimSun"/>
          <w:color w:val="000000"/>
          <w:sz w:val="24"/>
          <w:szCs w:val="24"/>
        </w:rPr>
        <w:t xml:space="preserve">完成基本特征探测后，调度器按由低成本到模型决策的顺序处理若干明确情形。极小数组走二分插入；已经全量确认的升序或逆序输入分别走直接返回或反转；较小且逆序比例很低的序列采用插入排序；部分小规模整数输入会在值域估计显示计数排序可能适用时进行精确值域扫描，再依据精确值域决定是否执行计数排序。此类规则避免在有明显捷径时支付完整成本模型比较开销。</w:t>
      </w:r>
    </w:p>
    <w:p>
      <w:pPr>
        <w:spacing w:before="0" w:after="100" w:line="312"/>
        <w:ind w:firstLine="480"/>
        <w:jc w:val="both"/>
      </w:pPr>
      <w:r>
        <w:rPr>
          <w:rFonts w:ascii="Times New Roman" w:eastAsia="SimSun"/>
          <w:color w:val="000000"/>
          <w:sz w:val="24"/>
          <w:szCs w:val="24"/>
        </w:rPr>
        <w:t xml:space="preserve">对较大输入，AdaptSort 将探测特征与本机实测成本结合起来，估算候选策略的耗时。整数键路径会把全量值域扫描本身的代价纳入比较；只有当计数或基数排序预期收益超过扫描成本及相应安全裕度时，才进一步扫描完整输入并确认值域。基数排序还会比较不同数字位宽下的多趟成本。对于比较类候选，算法依据输入是否近序选择归并或内省快排作为基础方案，并将值域类策略与之比较。若最终落在比较排序且数据重复率较高，则可切换到三路快排以减少重复键带来的不必要分区工作。</w:t>
      </w:r>
    </w:p>
    <w:p>
      <w:pPr>
        <w:spacing w:before="0" w:after="100" w:line="312"/>
        <w:ind w:firstLine="480"/>
        <w:jc w:val="both"/>
      </w:pPr>
      <w:r>
        <w:rPr>
          <w:rFonts w:ascii="Times New Roman" w:eastAsia="SimSun"/>
          <w:color w:val="000000"/>
          <w:sz w:val="24"/>
          <w:szCs w:val="24"/>
        </w:rPr>
        <w:t xml:space="preserve">成本模型在首次处理某一元素类型时进行本机标定，覆盖多个输入规模并对策略运行耗时取样，由此为后续估算提供该机器上的成本参数。项目启动或基准执行中可预热成本模型，避免将初始化标定开销混入正式排序耗时。由此，“自适应”的含义是按输入特征和经本机标定的模型作策略调度，而不是在每次排序结束后持续在线学习；策略标签和统计信息主要用于留痕和分析。</w:t>
      </w:r>
    </w:p>
    <w:p>
      <w:pPr>
        <w:pStyle w:val="Heading2"/>
        <w:keepNext/>
        <w:spacing w:before="220" w:after="120" w:line="360"/>
      </w:pPr>
      <w:r>
        <w:rPr>
          <w:rFonts w:ascii="Times New Roman" w:eastAsia="SimHei"/>
          <w:b/>
          <w:bCs/>
          <w:color w:val="0A1628"/>
          <w:sz w:val="28"/>
          <w:szCs w:val="28"/>
        </w:rPr>
        <w:t xml:space="preserve">（四）调度结果与正确性边界</w:t>
      </w:r>
    </w:p>
    <w:p>
      <w:pPr>
        <w:spacing w:before="0" w:after="100" w:line="312"/>
        <w:ind w:firstLine="480"/>
        <w:jc w:val="both"/>
      </w:pPr>
      <w:r>
        <w:rPr>
          <w:rFonts w:ascii="Times New Roman" w:eastAsia="SimSun"/>
          <w:color w:val="000000"/>
          <w:sz w:val="24"/>
          <w:szCs w:val="24"/>
        </w:rPr>
        <w:t xml:space="preserve">决策结果最终落到一种具体排序实现，并记录所采用的策略，以便实验矩阵和应用基准查看策略选择与耗时。实现包括比较排序与整数值域排序路线，且算法内核各有适用条件和空间代价。内省快排设置了深度耗尽后的堆排序回退，可作为比较排序中的最坏复杂度保护；但调度器也可能依据重复率选择没有相同深度保护的三路快排。因此，不宜将单个内核的复杂度保证扩大表述为整个调度器对所有可能输入均有严格 O(n log n) 最坏界。项目通过与标准排序结果逐元素比对等方式检查正确性；性能收益仍需结合实际输入矩阵观察，不应仅凭调度设计推断。</w:t>
      </w:r>
    </w:p>
    <w:p>
      <w:pPr>
        <w:pStyle w:val="Heading2"/>
        <w:keepNext/>
        <w:spacing w:before="200" w:after="100" w:line="312" w:lineRule="auto"/>
      </w:pPr>
      <w:r>
        <w:rPr>
          <w:rFonts w:ascii="Times New Roman" w:hAnsi="Times New Roman" w:eastAsia="SimHei"/>
          <w:b/>
          <w:color w:val="0A1628"/>
          <w:sz w:val="28"/>
        </w:rPr>
        <w:t>（五）不同情况下的时间与空间复杂度</w:t>
      </w:r>
    </w:p>
    <w:p>
      <w:pPr>
        <w:spacing w:line="312" w:lineRule="auto" w:before="0" w:after="100"/>
        <w:ind w:firstLine="480"/>
        <w:jc w:val="both"/>
      </w:pPr>
      <w:r>
        <w:rPr>
          <w:rFonts w:ascii="Times New Roman" w:hAnsi="Times New Roman" w:eastAsia="SimSun"/>
          <w:b w:val="0"/>
          <w:color w:val="000000"/>
          <w:sz w:val="24"/>
        </w:rPr>
        <w:t>AdaptSort 的复杂度不能只用一个固定的阶表示，因为调度器会根据输入特征选择不同内核。若将样本数记为 s，则顺序、值域和重复率探测的额外工作通常为 O(s)，其中 s 取不超过 128 的受限样本规模；当模型判断必须确认完整值域时，还会增加一次 O(n) 的全量扫描。策略选择本身只涉及常数级比较。因而，调度器的总成本可以理解为“特征探测与必要扫描成本，加上被选排序策略的成本”，而不是把所有候选算法同时执行。</w:t>
      </w:r>
    </w:p>
    <w:p>
      <w:pPr>
        <w:keepNext/>
        <w:spacing w:before="60" w:after="60" w:line="312" w:lineRule="auto"/>
        <w:jc w:val="center"/>
      </w:pPr>
      <w:r>
        <w:rPr>
          <w:rFonts w:ascii="Times New Roman" w:hAnsi="Times New Roman" w:eastAsia="SimSun"/>
          <w:b w:val="0"/>
          <w:color w:val="5A6573"/>
          <w:sz w:val="21"/>
        </w:rPr>
        <w:t>表 2  典型输入条件下的排序时间与空间复杂度</w:t>
      </w:r>
    </w:p>
    <w:tbl>
      <w:tblPr>
        <w:tblW w:type="auto" w:w="0"/>
        <w:jc w:val="center"/>
        <w:tblLayout w:type="autofit"/>
        <w:tblLook w:firstColumn="1" w:firstRow="1" w:lastColumn="0" w:lastRow="0" w:noHBand="0" w:noVBand="1" w:val="04A0"/>
        <w:tblBorders>
          <w:top w:val="single" w:sz="6" w:color="3B6F92"/>
          <w:bottom w:val="single" w:sz="6" w:color="3B6F92"/>
          <w:insideH w:val="single" w:sz="2" w:color="BCCAD4"/>
          <w:left w:val="nil" w:sz="0" w:color="BCCAD4"/>
          <w:right w:val="nil" w:sz="0" w:color="BCCAD4"/>
          <w:insideV w:val="nil" w:sz="0" w:color="BCCAD4"/>
        </w:tblBorders>
      </w:tblPr>
      <w:tblGrid>
        <w:gridCol w:w="2197"/>
        <w:gridCol w:w="2197"/>
        <w:gridCol w:w="2197"/>
        <w:gridCol w:w="2197"/>
      </w:tblGrid>
      <w:tr>
        <w:trPr>
          <w:cantSplit/>
          <w:tblHeader/>
        </w:trPr>
        <w:tc>
          <w:tcPr>
            <w:tcW w:type="dxa" w:w="1932"/>
            <w:shd w:val="clear" w:fill="3B6F92"/>
            <w:tcMar>
              <w:top w:w="80" w:type="dxa"/>
              <w:start w:w="120" w:type="dxa"/>
              <w:bottom w:w="80" w:type="dxa"/>
              <w:end w:w="120" w:type="dxa"/>
            </w:tcMar>
            <w:vAlign w:val="center"/>
          </w:tcPr>
          <w:p>
            <w:pPr>
              <w:spacing w:line="312" w:lineRule="auto" w:after="0"/>
              <w:jc w:val="left"/>
            </w:pPr>
            <w:r>
              <w:rPr>
                <w:rFonts w:ascii="Times New Roman" w:hAnsi="Times New Roman" w:eastAsia="SimSun"/>
                <w:b/>
                <w:color w:val="FFFFFF"/>
                <w:sz w:val="21"/>
              </w:rPr>
              <w:t>输入条件或策略</w:t>
            </w:r>
          </w:p>
        </w:tc>
        <w:tc>
          <w:tcPr>
            <w:tcW w:type="dxa" w:w="1932"/>
            <w:shd w:val="clear" w:fill="3B6F92"/>
            <w:tcMar>
              <w:top w:w="80" w:type="dxa"/>
              <w:start w:w="120" w:type="dxa"/>
              <w:bottom w:w="80" w:type="dxa"/>
              <w:end w:w="120" w:type="dxa"/>
            </w:tcMar>
            <w:vAlign w:val="center"/>
          </w:tcPr>
          <w:p>
            <w:pPr>
              <w:spacing w:line="312" w:lineRule="auto" w:after="0"/>
              <w:jc w:val="left"/>
            </w:pPr>
            <w:r>
              <w:rPr>
                <w:rFonts w:ascii="Times New Roman" w:hAnsi="Times New Roman" w:eastAsia="SimSun"/>
                <w:b/>
                <w:color w:val="FFFFFF"/>
                <w:sz w:val="21"/>
              </w:rPr>
              <w:t>时间复杂度</w:t>
            </w:r>
          </w:p>
        </w:tc>
        <w:tc>
          <w:tcPr>
            <w:tcW w:type="dxa" w:w="1932"/>
            <w:shd w:val="clear" w:fill="3B6F92"/>
            <w:tcMar>
              <w:top w:w="80" w:type="dxa"/>
              <w:start w:w="120" w:type="dxa"/>
              <w:bottom w:w="80" w:type="dxa"/>
              <w:end w:w="120" w:type="dxa"/>
            </w:tcMar>
            <w:vAlign w:val="center"/>
          </w:tcPr>
          <w:p>
            <w:pPr>
              <w:spacing w:line="312" w:lineRule="auto" w:after="0"/>
              <w:jc w:val="left"/>
            </w:pPr>
            <w:r>
              <w:rPr>
                <w:rFonts w:ascii="Times New Roman" w:hAnsi="Times New Roman" w:eastAsia="SimSun"/>
                <w:b/>
                <w:color w:val="FFFFFF"/>
                <w:sz w:val="21"/>
              </w:rPr>
              <w:t>额外空间复杂度</w:t>
            </w:r>
          </w:p>
        </w:tc>
        <w:tc>
          <w:tcPr>
            <w:tcW w:type="dxa" w:w="2987"/>
            <w:shd w:val="clear" w:fill="3B6F92"/>
            <w:tcMar>
              <w:top w:w="80" w:type="dxa"/>
              <w:start w:w="120" w:type="dxa"/>
              <w:bottom w:w="80" w:type="dxa"/>
              <w:end w:w="120" w:type="dxa"/>
            </w:tcMar>
            <w:vAlign w:val="center"/>
          </w:tcPr>
          <w:p>
            <w:pPr>
              <w:spacing w:line="312" w:lineRule="auto" w:after="0"/>
              <w:jc w:val="left"/>
            </w:pPr>
            <w:r>
              <w:rPr>
                <w:rFonts w:ascii="Times New Roman" w:hAnsi="Times New Roman" w:eastAsia="SimSun"/>
                <w:b/>
                <w:color w:val="FFFFFF"/>
                <w:sz w:val="21"/>
              </w:rPr>
              <w:t>说明</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n &lt; 2 或已确认升序</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O(1)；确认阶段最多 O(n)</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O(1)</w:t>
            </w:r>
          </w:p>
        </w:tc>
        <w:tc>
          <w:tcPr>
            <w:tcW w:type="dxa" w:w="2987"/>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升序输入直接返回，不再执行完整排序。</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已确认逆序</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O(n)</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O(1)</w:t>
            </w:r>
          </w:p>
        </w:tc>
        <w:tc>
          <w:tcPr>
            <w:tcW w:type="dxa" w:w="2987"/>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在原数组上反转；采样只用于触发全量确认。</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小规模或低逆序率，插入排序</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最好 O(n)，一般/最坏 O(n²)</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O(1)</w:t>
            </w:r>
          </w:p>
        </w:tc>
        <w:tc>
          <w:tcPr>
            <w:tcW w:type="dxa" w:w="2987"/>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适合小数组和近序输入，避免复杂调度与辅助缓冲区。</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计数排序，整数值域为 k</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O(n + k)</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O(n + k)</w:t>
            </w:r>
          </w:p>
        </w:tc>
        <w:tc>
          <w:tcPr>
            <w:tcW w:type="dxa" w:w="2987"/>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k 较大时桶和输出缓冲区会成为主要代价。</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LSD 基数排序，p 趟、基数为 2^b</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O(p(n + 2^b))</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O(n + 2^b)</w:t>
            </w:r>
          </w:p>
        </w:tc>
        <w:tc>
          <w:tcPr>
            <w:tcW w:type="dxa" w:w="2987"/>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p 取决于有效位宽；项目比较 8 位和 16 位数字宽度。</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边界检测归并排序</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O(n log n)，已分段有序时可减少合并工作</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O(n)</w:t>
            </w:r>
          </w:p>
        </w:tc>
        <w:tc>
          <w:tcPr>
            <w:tcW w:type="dxa" w:w="2987"/>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需要辅助数组；合并前检查两段边界以跳过已整体有序的情况。</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内省快排</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平均 O(n log n)，最坏 O(n log n)</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平均 O(log n)</w:t>
            </w:r>
          </w:p>
        </w:tc>
        <w:tc>
          <w:tcPr>
            <w:tcW w:type="dxa" w:w="2987"/>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递归深度耗尽时回退到堆排序，短区间再用插入排序。</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三路快排</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重复键多时通常接近 O(n log n)，最坏 O(n²)</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平均 O(log n)，最坏取决于递归路径</w:t>
            </w:r>
          </w:p>
        </w:tc>
        <w:tc>
          <w:tcPr>
            <w:tcW w:type="dxa" w:w="2987"/>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适合重复率高的比较类输入，但没有内省快排同等的深度回退。</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AdaptSort 总体</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O(s) + 可选 O(n) 扫描 + 所选策略成本</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O(s) + 所选策略辅助空间</w:t>
            </w:r>
          </w:p>
        </w:tc>
        <w:tc>
          <w:tcPr>
            <w:tcW w:type="dxa" w:w="2987"/>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s 为受限样本数；整体没有脱离所选内核的统一最坏界。</w:t>
            </w:r>
          </w:p>
        </w:tc>
      </w:tr>
    </w:tbl>
    <w:p>
      <w:pPr>
        <w:spacing w:line="312" w:lineRule="auto" w:before="0" w:after="100"/>
        <w:ind w:firstLine="480"/>
        <w:jc w:val="both"/>
      </w:pPr>
      <w:r>
        <w:rPr>
          <w:rFonts w:ascii="Times New Roman" w:hAnsi="Times New Roman" w:eastAsia="SimSun"/>
          <w:b w:val="0"/>
          <w:color w:val="000000"/>
          <w:sz w:val="24"/>
        </w:rPr>
        <w:t>在整数键场景中，计数排序只有在 k 相对 n 较小、且扫描与分配代价可接受时才具有优势；基数排序的主要代价取决于有效位宽、趟数和每趟桶扫描；比较排序则不依赖值域，但会支付比较和移动成本。AdaptSort 的本机标定将这些常数差异纳入决策，并使用收益裕度抑制因估计误差造成的频繁切换。需要强调的是，复杂度表描述的是被选内核的渐近行为，不等同于某一次实验的实际耗时。</w:t>
      </w:r>
    </w:p>
    <w:p>
      <w:pPr>
        <w:pStyle w:val="Heading2"/>
        <w:keepNext/>
        <w:spacing w:before="200" w:after="100" w:line="312" w:lineRule="auto"/>
      </w:pPr>
      <w:r>
        <w:rPr>
          <w:rFonts w:ascii="Times New Roman" w:hAnsi="Times New Roman" w:eastAsia="SimHei"/>
          <w:b/>
          <w:color w:val="0A1628"/>
          <w:sz w:val="28"/>
        </w:rPr>
        <w:t>（六）常规排序算法的适用边界、调度解决方案与优势</w:t>
      </w:r>
    </w:p>
    <w:p>
      <w:pPr>
        <w:spacing w:line="312" w:lineRule="auto" w:before="0" w:after="100"/>
        <w:ind w:firstLine="480"/>
        <w:jc w:val="both"/>
      </w:pPr>
      <w:r>
        <w:rPr>
          <w:rFonts w:ascii="Times New Roman" w:hAnsi="Times New Roman" w:eastAsia="SimSun"/>
          <w:b w:val="0"/>
          <w:color w:val="000000"/>
          <w:sz w:val="24"/>
        </w:rPr>
        <w:t>固定使用某一种常规排序算法，会把所有输入都当作同一种分布处理。项目中的 AdaptSort 将常规算法保留为可复用内核，再用输入分析决定何时使用，从而把算法的适用条件转化为调度条件。其优势不是消除所有排序成本，而是在已知数据特征时减少不必要的比较、扫描、分配或递归风险。</w:t>
      </w:r>
    </w:p>
    <w:p>
      <w:pPr>
        <w:keepNext/>
        <w:spacing w:before="60" w:after="60" w:line="312" w:lineRule="auto"/>
        <w:jc w:val="center"/>
      </w:pPr>
      <w:r>
        <w:rPr>
          <w:rFonts w:ascii="Times New Roman" w:hAnsi="Times New Roman" w:eastAsia="SimSun"/>
          <w:b w:val="0"/>
          <w:color w:val="5A6573"/>
          <w:sz w:val="21"/>
        </w:rPr>
        <w:t>表 3  常规算法的主要弊端与 AdaptSort 的解决方式</w:t>
      </w:r>
    </w:p>
    <w:tbl>
      <w:tblPr>
        <w:tblW w:type="auto" w:w="0"/>
        <w:jc w:val="center"/>
        <w:tblLayout w:type="autofit"/>
        <w:tblLook w:firstColumn="1" w:firstRow="1" w:lastColumn="0" w:lastRow="0" w:noHBand="0" w:noVBand="1" w:val="04A0"/>
        <w:tblBorders>
          <w:top w:val="single" w:sz="6" w:color="3B6F92"/>
          <w:bottom w:val="single" w:sz="6" w:color="3B6F92"/>
          <w:insideH w:val="single" w:sz="2" w:color="BCCAD4"/>
          <w:left w:val="nil" w:sz="0" w:color="BCCAD4"/>
          <w:right w:val="nil" w:sz="0" w:color="BCCAD4"/>
          <w:insideV w:val="nil" w:sz="0" w:color="BCCAD4"/>
        </w:tblBorders>
      </w:tblPr>
      <w:tblGrid>
        <w:gridCol w:w="2197"/>
        <w:gridCol w:w="2197"/>
        <w:gridCol w:w="2197"/>
        <w:gridCol w:w="2197"/>
      </w:tblGrid>
      <w:tr>
        <w:trPr>
          <w:cantSplit/>
          <w:tblHeader/>
        </w:trPr>
        <w:tc>
          <w:tcPr>
            <w:tcW w:type="dxa" w:w="1932"/>
            <w:shd w:val="clear" w:fill="3B6F92"/>
            <w:tcMar>
              <w:top w:w="80" w:type="dxa"/>
              <w:start w:w="120" w:type="dxa"/>
              <w:bottom w:w="80" w:type="dxa"/>
              <w:end w:w="120" w:type="dxa"/>
            </w:tcMar>
            <w:vAlign w:val="center"/>
          </w:tcPr>
          <w:p>
            <w:pPr>
              <w:spacing w:line="312" w:lineRule="auto" w:after="0"/>
              <w:jc w:val="left"/>
            </w:pPr>
            <w:r>
              <w:rPr>
                <w:rFonts w:ascii="Times New Roman" w:hAnsi="Times New Roman" w:eastAsia="SimSun"/>
                <w:b/>
                <w:color w:val="FFFFFF"/>
                <w:sz w:val="21"/>
              </w:rPr>
              <w:t>固定策略的弊端</w:t>
            </w:r>
          </w:p>
        </w:tc>
        <w:tc>
          <w:tcPr>
            <w:tcW w:type="dxa" w:w="2460"/>
            <w:shd w:val="clear" w:fill="3B6F92"/>
            <w:tcMar>
              <w:top w:w="80" w:type="dxa"/>
              <w:start w:w="120" w:type="dxa"/>
              <w:bottom w:w="80" w:type="dxa"/>
              <w:end w:w="120" w:type="dxa"/>
            </w:tcMar>
            <w:vAlign w:val="center"/>
          </w:tcPr>
          <w:p>
            <w:pPr>
              <w:spacing w:line="312" w:lineRule="auto" w:after="0"/>
              <w:jc w:val="left"/>
            </w:pPr>
            <w:r>
              <w:rPr>
                <w:rFonts w:ascii="Times New Roman" w:hAnsi="Times New Roman" w:eastAsia="SimSun"/>
                <w:b/>
                <w:color w:val="FFFFFF"/>
                <w:sz w:val="21"/>
              </w:rPr>
              <w:t>可能出现的情况</w:t>
            </w:r>
          </w:p>
        </w:tc>
        <w:tc>
          <w:tcPr>
            <w:tcW w:type="dxa" w:w="2460"/>
            <w:shd w:val="clear" w:fill="3B6F92"/>
            <w:tcMar>
              <w:top w:w="80" w:type="dxa"/>
              <w:start w:w="120" w:type="dxa"/>
              <w:bottom w:w="80" w:type="dxa"/>
              <w:end w:w="120" w:type="dxa"/>
            </w:tcMar>
            <w:vAlign w:val="center"/>
          </w:tcPr>
          <w:p>
            <w:pPr>
              <w:spacing w:line="312" w:lineRule="auto" w:after="0"/>
              <w:jc w:val="left"/>
            </w:pPr>
            <w:r>
              <w:rPr>
                <w:rFonts w:ascii="Times New Roman" w:hAnsi="Times New Roman" w:eastAsia="SimSun"/>
                <w:b/>
                <w:color w:val="FFFFFF"/>
                <w:sz w:val="21"/>
              </w:rPr>
              <w:t>AdaptSort 的解决方式</w:t>
            </w:r>
          </w:p>
        </w:tc>
        <w:tc>
          <w:tcPr>
            <w:tcW w:type="dxa" w:w="1932"/>
            <w:shd w:val="clear" w:fill="3B6F92"/>
            <w:tcMar>
              <w:top w:w="80" w:type="dxa"/>
              <w:start w:w="120" w:type="dxa"/>
              <w:bottom w:w="80" w:type="dxa"/>
              <w:end w:w="120" w:type="dxa"/>
            </w:tcMar>
            <w:vAlign w:val="center"/>
          </w:tcPr>
          <w:p>
            <w:pPr>
              <w:spacing w:line="312" w:lineRule="auto" w:after="0"/>
              <w:jc w:val="left"/>
            </w:pPr>
            <w:r>
              <w:rPr>
                <w:rFonts w:ascii="Times New Roman" w:hAnsi="Times New Roman" w:eastAsia="SimSun"/>
                <w:b/>
                <w:color w:val="FFFFFF"/>
                <w:sz w:val="21"/>
              </w:rPr>
              <w:t>形成的优势</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固定使用插入排序</w:t>
            </w:r>
          </w:p>
        </w:tc>
        <w:tc>
          <w:tcPr>
            <w:tcW w:type="dxa" w:w="2460"/>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近序小数组表现好，但面对大规模随机或逆序数据时可能达到 O(n²)。</w:t>
            </w:r>
          </w:p>
        </w:tc>
        <w:tc>
          <w:tcPr>
            <w:tcW w:type="dxa" w:w="2460"/>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仅在 n ≤ 32，或规模较小且采样逆序率很低时采用；大规模输入转入其他候选。</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保留其小数组低常数优势，避免把二次复杂度扩展到大输入。</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固定使用快速排序</w:t>
            </w:r>
          </w:p>
        </w:tc>
        <w:tc>
          <w:tcPr>
            <w:tcW w:type="dxa" w:w="2460"/>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有序/逆序输入可能形成偏斜分区；重复键多时比较和递归开销增加。</w:t>
            </w:r>
          </w:p>
        </w:tc>
        <w:tc>
          <w:tcPr>
            <w:tcW w:type="dxa" w:w="2460"/>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先识别单调输入并直接返回或反转；高重复的比较类输入采用三路分区；一般输入可选内省快排。</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减少已知特殊输入上的无效工作，并用内省快排提供比较路径的最坏界保护。</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固定使用归并排序</w:t>
            </w:r>
          </w:p>
        </w:tc>
        <w:tc>
          <w:tcPr>
            <w:tcW w:type="dxa" w:w="2460"/>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时间复杂度稳定，但通常需要 O(n) 辅助空间；小数组或已整体有序输入仍可能支付复制和合并成本。</w:t>
            </w:r>
          </w:p>
        </w:tc>
        <w:tc>
          <w:tcPr>
            <w:tcW w:type="dxa" w:w="2460"/>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对已排序输入直接短路；对小规模近序输入采用插入排序；仅在近序特征和成本模型共同支持时选择归并。</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在保持归并稳定复杂度特征的同时，减少不必要的辅助空间和数据搬运。</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固定使用计数排序</w:t>
            </w:r>
          </w:p>
        </w:tc>
        <w:tc>
          <w:tcPr>
            <w:tcW w:type="dxa" w:w="2460"/>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当 k 远大于 n 时，桶空间和初始化成本可能超过排序收益；还需要确认真实值域。</w:t>
            </w:r>
          </w:p>
        </w:tc>
        <w:tc>
          <w:tcPr>
            <w:tcW w:type="dxa" w:w="2460"/>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先采样估计值域；只有预期收益超过全量扫描成本并满足安全裕度时才扫描 min/max，并确认 k ≤ 适用阈值。</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避免因键域过大造成内存浪费，把计数排序限制在确实适合的整数输入上。</w:t>
            </w:r>
          </w:p>
        </w:tc>
      </w:tr>
      <w:tr>
        <w:trPr>
          <w:cantSplit/>
        </w:trPr>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固定使用基数排序</w:t>
            </w:r>
          </w:p>
        </w:tc>
        <w:tc>
          <w:tcPr>
            <w:tcW w:type="dxa" w:w="2460"/>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有效位宽较大时需要多趟扫描；对很小、近序或已排序输入，固定多趟处理可能浪费。</w:t>
            </w:r>
          </w:p>
        </w:tc>
        <w:tc>
          <w:tcPr>
            <w:tcW w:type="dxa" w:w="2460"/>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比较 8 位与 16 位数字宽度的本机成本；对单调、小规模和近序输入先走短路或比较类策略。</w:t>
            </w:r>
          </w:p>
        </w:tc>
        <w:tc>
          <w:tcPr>
            <w:tcW w:type="dxa" w:w="1932"/>
            <w:tcMar>
              <w:top w:w="80" w:type="dxa"/>
              <w:start w:w="120" w:type="dxa"/>
              <w:bottom w:w="80" w:type="dxa"/>
              <w:end w:w="120" w:type="dxa"/>
            </w:tcMar>
            <w:vAlign w:val="center"/>
          </w:tcPr>
          <w:p>
            <w:pPr>
              <w:spacing w:line="312" w:lineRule="auto" w:after="0"/>
              <w:jc w:val="left"/>
            </w:pPr>
            <w:r>
              <w:rPr>
                <w:rFonts w:ascii="Times New Roman" w:hAnsi="Times New Roman" w:eastAsia="SimSun"/>
                <w:b w:val="0"/>
                <w:color w:val="000000"/>
                <w:sz w:val="20"/>
              </w:rPr>
              <w:t>在整数场景复用高吞吐路径，同时避免为不适合的输入支付固定趟数。</w:t>
            </w:r>
          </w:p>
        </w:tc>
      </w:tr>
    </w:tbl>
    <w:p>
      <w:pPr>
        <w:spacing w:line="312" w:lineRule="auto" w:before="0" w:after="100"/>
        <w:ind w:firstLine="480"/>
        <w:jc w:val="both"/>
      </w:pPr>
      <w:r>
        <w:rPr>
          <w:rFonts w:ascii="Times New Roman" w:hAnsi="Times New Roman" w:eastAsia="SimSun"/>
          <w:b w:val="0"/>
          <w:color w:val="000000"/>
          <w:sz w:val="24"/>
        </w:rPr>
        <w:t>从调度角度看，AdaptSort 的优势可以归纳为四点。第一，按元素类型分流，只有整数键才进入值域排序竞争，减少不适用算法的候选干扰。第二，按数据特征分流，单调、近序、窄值域和高重复输入分别触发不同路径，避免“一种算法覆盖所有输入”。第三，按机器标定，8 位/16 位基数排序、计数排序和比较排序的实际常数由当前机器估计，而不是只依赖教科书中的渐近符号。第四，保留策略记录和正确性比对，使每次选择可以回溯到输入特征与实验结果。其边界也同样明确：成本模型依赖标定质量，采样是近似信息，且三路快排仍可能出现二次最坏情况，所以 AdaptSort 应被理解为有边界的自适应调度，而非对所有数据都承诺同一最优复杂度。</w:t>
      </w:r>
    </w:p>
    <w:p>
      <w:pPr>
        <w:pStyle w:val="Heading1"/>
        <w:keepNext/>
        <w:spacing w:before="300" w:after="120" w:line="360"/>
      </w:pPr>
      <w:r>
        <w:rPr>
          <w:rFonts w:ascii="Times New Roman" w:eastAsia="SimHei"/>
          <w:b/>
          <w:bCs/>
          <w:color w:val="0A1628"/>
          <w:sz w:val="32"/>
          <w:szCs w:val="32"/>
        </w:rPr>
        <w:t xml:space="preserve">三、六类真实数据场景中的作业与影响</w:t>
      </w:r>
    </w:p>
    <w:p>
      <w:pPr>
        <w:spacing w:before="0" w:after="100" w:line="312"/>
        <w:ind w:firstLine="480"/>
        <w:jc w:val="both"/>
      </w:pPr>
      <w:r>
        <w:rPr>
          <w:rFonts w:ascii="Times New Roman" w:eastAsia="SimSun"/>
          <w:color w:val="000000"/>
          <w:sz w:val="24"/>
          <w:szCs w:val="24"/>
        </w:rPr>
        <w:t xml:space="preserve">README 将应用划分为 A—F 六个真实领域。它们不是六种 C++ 基本类型，而是六类由不同领域数据形成的排序任务。项目通过复合键打包等方式将字段映射为整数键序列，遵循统一数据契约，因此场景扩展主要改变预处理、键位布局与数据元信息，而不必重写 AdaptSort 内核。下表概括各场景排序在上层作业中的作用，以及其数据特征可能怎样影响调度；“预期影响”指机制层面的解释，不等同于每个数据文件都必然触发某一固定策略。</w:t>
      </w:r>
    </w:p>
    <w:p>
      <w:pPr>
        <w:keepNext/>
        <w:spacing w:before="80" w:after="80" w:line="312"/>
        <w:jc w:val="center"/>
      </w:pPr>
      <w:r>
        <w:rPr>
          <w:rFonts w:ascii="Times New Roman" w:eastAsia="SimSun"/>
          <w:color w:val="5A6573"/>
          <w:sz w:val="21"/>
          <w:szCs w:val="21"/>
        </w:rPr>
        <w:t xml:space="preserve">表 1  六类真实应用场景与排序调度关联</w:t>
      </w:r>
    </w:p>
    <w:tbl>
      <w:tblPr>
        <w:tblW w:type="pct" w:w="100%"/>
        <w:tblBorders>
          <w:top w:val="single" w:color="3B6F92" w:sz="6"/>
          <w:left w:val="none" w:color="FFFFFF" w:sz="0"/>
          <w:bottom w:val="single" w:color="3B6F92" w:sz="6"/>
          <w:right w:val="none" w:color="FFFFFF" w:sz="0"/>
          <w:insideH w:val="single" w:color="BCCAD4" w:sz="2"/>
          <w:insideV w:val="none" w:color="FFFFFF" w:sz="0"/>
        </w:tblBorders>
      </w:tblPr>
      <w:tblGrid>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3B6F92" w:val="clear"/>
            <w:tcMar>
              <w:top w:type="dxa" w:w="80"/>
              <w:left w:type="dxa" w:w="120"/>
              <w:bottom w:type="dxa" w:w="80"/>
              <w:right w:type="dxa" w:w="120"/>
            </w:tcMar>
          </w:tcPr>
          <w:p>
            <w:pPr>
              <w:spacing w:before="0" w:after="0" w:line="312"/>
              <w:jc w:val="left"/>
            </w:pPr>
            <w:r>
              <w:rPr>
                <w:rFonts w:ascii="Times New Roman" w:eastAsia="SimSun"/>
                <w:b/>
                <w:bCs/>
                <w:color w:val="FFFFFF"/>
                <w:sz w:val="21"/>
                <w:szCs w:val="21"/>
              </w:rPr>
              <w:t xml:space="preserve">场景与数据</w:t>
            </w:r>
          </w:p>
        </w:tc>
        <w:tc>
          <w:tcPr>
            <w:tcW w:type="pct" w:w="38%"/>
            <w:tcBorders>
              <w:top w:val="none" w:color="FFFFFF" w:sz="0"/>
              <w:left w:val="none" w:color="FFFFFF" w:sz="0"/>
              <w:bottom w:val="none" w:color="FFFFFF" w:sz="0"/>
              <w:right w:val="none" w:color="FFFFFF" w:sz="0"/>
            </w:tcBorders>
            <w:shd w:fill="3B6F92" w:val="clear"/>
            <w:tcMar>
              <w:top w:type="dxa" w:w="80"/>
              <w:left w:type="dxa" w:w="120"/>
              <w:bottom w:type="dxa" w:w="80"/>
              <w:right w:type="dxa" w:w="120"/>
            </w:tcMar>
          </w:tcPr>
          <w:p>
            <w:pPr>
              <w:spacing w:before="0" w:after="0" w:line="312"/>
              <w:jc w:val="left"/>
            </w:pPr>
            <w:r>
              <w:rPr>
                <w:rFonts w:ascii="Times New Roman" w:eastAsia="SimSun"/>
                <w:b/>
                <w:bCs/>
                <w:color w:val="FFFFFF"/>
                <w:sz w:val="21"/>
                <w:szCs w:val="21"/>
              </w:rPr>
              <w:t xml:space="preserve">排序作业及上层用途</w:t>
            </w:r>
          </w:p>
        </w:tc>
        <w:tc>
          <w:tcPr>
            <w:tcW w:type="pct" w:w="42%"/>
            <w:tcBorders>
              <w:top w:val="none" w:color="FFFFFF" w:sz="0"/>
              <w:left w:val="none" w:color="FFFFFF" w:sz="0"/>
              <w:bottom w:val="none" w:color="FFFFFF" w:sz="0"/>
              <w:right w:val="none" w:color="FFFFFF" w:sz="0"/>
            </w:tcBorders>
            <w:shd w:fill="3B6F92" w:val="clear"/>
            <w:tcMar>
              <w:top w:type="dxa" w:w="80"/>
              <w:left w:type="dxa" w:w="120"/>
              <w:bottom w:type="dxa" w:w="80"/>
              <w:right w:type="dxa" w:w="120"/>
            </w:tcMar>
          </w:tcPr>
          <w:p>
            <w:pPr>
              <w:spacing w:before="0" w:after="0" w:line="312"/>
              <w:jc w:val="left"/>
            </w:pPr>
            <w:r>
              <w:rPr>
                <w:rFonts w:ascii="Times New Roman" w:eastAsia="SimSun"/>
                <w:b/>
                <w:bCs/>
                <w:color w:val="FFFFFF"/>
                <w:sz w:val="21"/>
                <w:szCs w:val="21"/>
              </w:rPr>
              <w:t xml:space="preserve">对 AdaptSort 调度的影响</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A 电影评分
MovieLens 32M</w:t>
            </w:r>
          </w:p>
        </w:tc>
        <w:tc>
          <w:tcPr>
            <w:tcW w:type="pct" w:w="3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把电影、用户与评分记录编码为多级整数键，支撑评分数据检索、榜单排序和分组聚合。</w:t>
            </w:r>
          </w:p>
        </w:tc>
        <w:tc>
          <w:tcPr>
            <w:tcW w:type="pct" w:w="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评分值域较窄时，计数排序或其他整数排序策略可能有优势；复合键扩大整体键域后，是否采用值域类策略仍由成本模型和全量值域评估决定。</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B 电商评论
Amazon Electronics</w:t>
            </w:r>
          </w:p>
        </w:tc>
        <w:tc>
          <w:tcPr>
            <w:tcW w:type="pct" w:w="3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对商品、用户、评分和记录等键进行排序，支撑商品关注度/好评榜单、类目数据处理和价格分组。</w:t>
            </w:r>
          </w:p>
        </w:tc>
        <w:tc>
          <w:tcPr>
            <w:tcW w:type="pct" w:w="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ASIN 等标识需先映射为整数键；评分与商品标识的组合会改变键域和重复情况，因而可能改变计数/基数与比较排序之间的成本判断。</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C 城市骑行
Bike</w:t>
            </w:r>
          </w:p>
        </w:tc>
        <w:tc>
          <w:tcPr>
            <w:tcW w:type="pct" w:w="3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按站点、时间等字段构造排序键，支持站点统计、出行分析及按月追加的台账数据处理。</w:t>
            </w:r>
          </w:p>
        </w:tc>
        <w:tc>
          <w:tcPr>
            <w:tcW w:type="pct" w:w="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站点计数和按时间编码可产生较窄或结构化的键；台账按块追加时会形成块状近序，低逆序率和较高升序前缀比例可使归并类候选更有竞争力。</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D Web 图与 PageRank</w:t>
            </w:r>
          </w:p>
        </w:tc>
        <w:tc>
          <w:tcPr>
            <w:tcW w:type="pct" w:w="3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按源节点、目标节点键排序以支持 CSR 图结构构建；PageRank 浮点分值经保序映射后复用整数排序内核形成重要性榜单。</w:t>
            </w:r>
          </w:p>
        </w:tc>
        <w:tc>
          <w:tcPr>
            <w:tcW w:type="pct" w:w="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边键的节点编号域与分值映射后的键域不同，会影响值域估计；对浮点分值的保序编码保证可用整数比较语义，不会因直接整数算法而改变原有顺序含义。</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E 航班数据
US DOT On-Time</w:t>
            </w:r>
          </w:p>
        </w:tc>
        <w:tc>
          <w:tcPr>
            <w:tcW w:type="pct" w:w="3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按机场、时间和延误等级等字段排序，支持航班延误榜、分桶统计和航司台账分析。</w:t>
            </w:r>
          </w:p>
        </w:tc>
        <w:tc>
          <w:tcPr>
            <w:tcW w:type="pct" w:w="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延误分桶形成的窄整数域可能利于计数排序；按航司分块积累的时间台账则可能呈现局部近序。实际策略仍取决于具体序列规模和样本特征。</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F 基因组序列
E. coli K-12</w:t>
            </w:r>
          </w:p>
        </w:tc>
        <w:tc>
          <w:tcPr>
            <w:tcW w:type="pct" w:w="3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后缀数组倍增构造中，每轮对 (rank[i], rank[i+k]) 复合键排序，服务于后缀数组、BWT 与后续子串搜索。</w:t>
            </w:r>
          </w:p>
        </w:tc>
        <w:tc>
          <w:tcPr>
            <w:tcW w:type="pct" w:w="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312"/>
              <w:jc w:val="left"/>
            </w:pPr>
            <w:r>
              <w:rPr>
                <w:rFonts w:ascii="Times New Roman" w:eastAsia="SimSun"/>
                <w:b w:val="false"/>
                <w:bCs w:val="false"/>
                <w:color w:val="000000"/>
                <w:sz w:val="20"/>
                <w:szCs w:val="20"/>
              </w:rPr>
              <w:t xml:space="preserve">复合秩键使后缀比较转化为整数排序；迭代中键域可能变化，因而每轮可重新触发调度。键域收缩可能提高值域排序的吸引力，但不能据此断言所有轮次都已采用计数排序。</w:t>
            </w:r>
          </w:p>
        </w:tc>
      </w:tr>
    </w:tbl>
    <w:p>
      <w:pPr>
        <w:spacing w:before="0" w:after="100" w:line="312"/>
        <w:ind w:firstLine="480"/>
        <w:jc w:val="both"/>
      </w:pPr>
      <w:r>
        <w:rPr>
          <w:rFonts w:ascii="Times New Roman" w:eastAsia="SimSun"/>
          <w:color w:val="000000"/>
          <w:sz w:val="24"/>
          <w:szCs w:val="24"/>
        </w:rPr>
        <w:t xml:space="preserve">六类场景的共同影响在于：领域数据的组织方式决定了排序键的编码、键域和局部有序结构，而 AdaptSort 通过统一探测这些特征来适应不同领域任务。场景本身并不直接指定调度策略。比如“窄值域有利于计数排序”是一条条件性原理；调度器还要计入扫描成本、数组规模、机器标定参数和预设收益裕度，因此对任何实际文件的策略结论应以对应运行记录为准。项目的设计范围是六个领域，但当前应用界面可能将城市骑行拆为北京和深圳等数据实例；这不会改变 A—F 六领域口径。</w:t>
      </w:r>
    </w:p>
    <w:p>
      <w:pPr>
        <w:pStyle w:val="Heading1"/>
        <w:keepNext/>
        <w:spacing w:before="300" w:after="120" w:line="360"/>
      </w:pPr>
      <w:r>
        <w:rPr>
          <w:rFonts w:ascii="Times New Roman" w:eastAsia="SimHei"/>
          <w:b/>
          <w:bCs/>
          <w:color w:val="0A1628"/>
          <w:sz w:val="32"/>
          <w:szCs w:val="32"/>
        </w:rPr>
        <w:t xml:space="preserve">四、与合成测试分布的口径区分</w:t>
      </w:r>
    </w:p>
    <w:p>
      <w:pPr>
        <w:spacing w:before="0" w:after="100" w:line="312"/>
        <w:ind w:firstLine="480"/>
        <w:jc w:val="both"/>
      </w:pPr>
      <w:r>
        <w:rPr>
          <w:rFonts w:ascii="Times New Roman" w:eastAsia="SimSun"/>
          <w:color w:val="000000"/>
          <w:sz w:val="24"/>
          <w:szCs w:val="24"/>
        </w:rPr>
        <w:t xml:space="preserve">项目实验还使用六种合成输入分布评估调度行为，包括正序、逆序、均匀随机、高斯分布、泊松分布及 CVE 替身。它们是排序输入形态，用于检验单调捷径、随机值域、窄域重复和块状近序等特征对选择结果的影响；它们与上一节的六类真实应用领域不是同一组内容。CVE 替身是项目为测试而构造的输入形态，不应表述为真实漏洞样本。实验记录的策略标签可用于观察分布与决策之间的联系，但本文不据此补写未核实的性能数值。</w:t>
      </w:r>
    </w:p>
    <w:p>
      <w:pPr>
        <w:pStyle w:val="Heading1"/>
        <w:keepNext/>
        <w:spacing w:before="300" w:after="120" w:line="360"/>
      </w:pPr>
      <w:r>
        <w:rPr>
          <w:rFonts w:ascii="Times New Roman" w:eastAsia="SimHei"/>
          <w:b/>
          <w:bCs/>
          <w:color w:val="0A1628"/>
          <w:sz w:val="32"/>
          <w:szCs w:val="32"/>
        </w:rPr>
        <w:t xml:space="preserve">五、总结</w:t>
      </w:r>
    </w:p>
    <w:p>
      <w:pPr>
        <w:spacing w:before="0" w:after="100" w:line="312"/>
        <w:ind w:firstLine="480"/>
        <w:jc w:val="both"/>
      </w:pPr>
      <w:r>
        <w:rPr>
          <w:rFonts w:ascii="Times New Roman" w:eastAsia="SimSun"/>
          <w:color w:val="000000"/>
          <w:sz w:val="24"/>
          <w:szCs w:val="24"/>
        </w:rPr>
        <w:t xml:space="preserve">总体而言，AdaptSort 的核心设计是将“输入分析”和“排序执行”组合为一个统一入口：先根据类型确定策略空间，再用低成本采样获取输入特征，通过短路规则处理明显情形，最后以本机标定成本模型比较适用候选并记录所选策略。该逻辑使同一排序内核能够服务六类领域排序作业，并将各领域差异吸收到键编码与运行时特征中。其效果取决于特征估计质量、成本模型与输入规模，因此应通过当前实现的矩阵实验、正确性比对及具体策略日志验证；对预期调度收益和复杂度保证均应作边界明确、与证据一致的表述。</w:t>
      </w:r>
    </w:p>
    <w:p>
      <w:pPr>
        <w:pStyle w:val="Heading1"/>
        <w:keepNext/>
        <w:spacing w:before="300" w:after="120" w:line="360"/>
      </w:pPr>
      <w:r>
        <w:rPr>
          <w:rFonts w:ascii="Times New Roman" w:eastAsia="SimHei"/>
          <w:b/>
          <w:bCs/>
          <w:color w:val="0A1628"/>
          <w:sz w:val="32"/>
          <w:szCs w:val="32"/>
        </w:rPr>
        <w:t xml:space="preserve">主要项目依据</w:t>
      </w:r>
    </w:p>
    <w:p>
      <w:pPr>
        <w:spacing w:before="0" w:after="100" w:line="312"/>
        <w:ind w:firstLine="480"/>
        <w:jc w:val="both"/>
      </w:pPr>
      <w:r>
        <w:rPr>
          <w:rFonts w:ascii="Times New Roman" w:eastAsia="SimSun"/>
          <w:color w:val="000000"/>
          <w:sz w:val="24"/>
          <w:szCs w:val="24"/>
        </w:rPr>
        <w:t xml:space="preserve">本文内容依据项目 README.md 第六节“算法要点”、第七节“实验设计与结果口径”、第九节“多场景扩展”，以及 cpp/adaptsort/adaptsort.h、cpp/adaptsort/algorithms.h、cpp/main_cpp.cpp、app/sufarray.h 和 app/多场景应用方案.md 整理。实现细节以目标项目当前源代码为准；场景适配部分结合 README 中 A—F 场景表与场景设计说明概括。</w:t>
      </w:r>
    </w:p>
    <w:sectPr>
      <w:footerReference w:type="default" r:id="rId6"/>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Times New Roman" w:eastAsia="SimSun"/>
        <w:color w:val="5A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AdaptSort核心调度算法设计逻辑与六类应用场景分析</dc:title>
  <dc:subject>算法设计与真实数据应用说明</dc:subject>
  <dc:creator>OpenAI</dc:creator>
  <dc:description>根据 Algorithm-project-main 当前实现与项目说明整理。</dc:description>
  <cp:lastModifiedBy>Un-named</cp:lastModifiedBy>
  <cp:revision>1</cp:revision>
  <dcterms:created xsi:type="dcterms:W3CDTF">2026-10-08T15:34:55.002Z</dcterms:created>
  <dcterms:modified xsi:type="dcterms:W3CDTF">2026-10-08T15:34:55.003Z</dcterms:modified>
</cp:coreProperties>
</file>

<file path=docProps/custom.xml><?xml version="1.0" encoding="utf-8"?>
<Properties xmlns="http://schemas.openxmlformats.org/officeDocument/2006/custom-properties" xmlns:vt="http://schemas.openxmlformats.org/officeDocument/2006/docPropsVTypes"/>
</file>