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540E3AE"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w:t>
      </w:r>
      <w:r w:rsidR="00604A17">
        <w:t xml:space="preserve"> </w:t>
      </w:r>
      <w:r w:rsidRPr="005D3516">
        <w:t>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 xml:space="preserve">ormal approximation can accurately track dynamics in state vectors for both the </w:t>
      </w:r>
      <w:r w:rsidR="00C862F8">
        <w:t>centering</w:t>
      </w:r>
      <w:r w:rsidR="00C862F8" w:rsidRPr="005D3516">
        <w:t xml:space="preserve"> </w:t>
      </w:r>
      <w:r w:rsidRPr="005D3516">
        <w:t xml:space="preserve">and </w:t>
      </w:r>
      <w:r w:rsidR="00C862F8">
        <w:t>shape</w:t>
      </w:r>
      <w:r w:rsidR="00C862F8" w:rsidRPr="005D3516">
        <w:t xml:space="preserve"> </w:t>
      </w:r>
      <w:r w:rsidRPr="005D3516">
        <w:t>parameters</w:t>
      </w:r>
      <w:r w:rsidR="00C862F8">
        <w:t xml:space="preserve"> (</w:t>
      </w:r>
      <m:oMath>
        <m:r>
          <w:rPr>
            <w:rFonts w:ascii="Cambria Math" w:hAnsi="Cambria Math"/>
          </w:rPr>
          <m:t>λ</m:t>
        </m:r>
      </m:oMath>
      <w:r w:rsidR="00C862F8">
        <w:t xml:space="preserve"> and </w:t>
      </w:r>
      <m:oMath>
        <m:r>
          <w:rPr>
            <w:rFonts w:ascii="Cambria Math" w:hAnsi="Cambria Math"/>
          </w:rPr>
          <m:t>ν</m:t>
        </m:r>
      </m:oMath>
      <w:r w:rsidR="00C862F8">
        <w:t>)</w:t>
      </w:r>
      <w:r w:rsidRPr="005D3516">
        <w:t xml:space="preserve">. We then fit our model to neural data from neurons in </w:t>
      </w:r>
      <w:r w:rsidR="00C862F8">
        <w:t>primary visual cortex</w:t>
      </w:r>
      <w:r>
        <w:t xml:space="preserve"> and </w:t>
      </w:r>
      <w:r w:rsidRPr="005D3516">
        <w:t xml:space="preserve">“place cells” in the hippocampus. We find that this method out-performs previous </w:t>
      </w:r>
      <w:r>
        <w:t>dynamic</w:t>
      </w:r>
      <w:r w:rsidRPr="005D3516">
        <w:t xml:space="preserve"> m</w:t>
      </w:r>
      <w:r>
        <w:t>odel</w:t>
      </w:r>
      <w:r w:rsidR="00C862F8">
        <w:t>s</w:t>
      </w:r>
      <w:r w:rsidRPr="005D3516">
        <w:t xml:space="preserve"> based on the Poisson distribution. </w:t>
      </w:r>
      <w:r w:rsidR="00C862F8" w:rsidRPr="005D3516">
        <w:t>Th</w:t>
      </w:r>
      <w:r w:rsidR="00C862F8">
        <w:t>e dynamic CMP</w:t>
      </w:r>
      <w:r w:rsidR="00C862F8" w:rsidRPr="005D3516">
        <w:t xml:space="preserve"> </w:t>
      </w:r>
      <w:r w:rsidRPr="005D3516">
        <w:t>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556B93C7" w:rsidR="00C90881" w:rsidRDefault="00EA3BA5" w:rsidP="00C90881">
      <w:pPr>
        <w:spacing w:line="240" w:lineRule="auto"/>
      </w:pPr>
      <w:r>
        <w:t>Although many models of neural activity assume that neurons respond with stable responses to external sensory stimuli or movement</w:t>
      </w:r>
      <w:r w:rsidR="00C862F8">
        <w:t>s</w:t>
      </w:r>
      <w:r>
        <w: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E161A1">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filtering","type":"article-journal","volume":"98"},"uris":["http://www.mendeley.com/documents/?uuid=4001f56c-95ef-32c4-aad4-c9649de0362b"]},{"id":"ITEM-2","itemData":{"DOI":"10.1016/j.neuron.2007.07.013","ISBN":"0896-6273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Manuel","non-dropping-particle":"","parse-names":false,"suffix":""}],"container-title":"Neuron","id":"ITEM-2","issue":"3","issued":{"date-parts":[["2007"]]},"page":"479-491","title":"Adaptation to Stimulus Contrast and Correlations during Natural Visual Stimulation","type":"article-journal","volume":"55"},"uris":["http://www.mendeley.com/documents/?uuid=68f3fe63-c9e9-4128-b5f0-847a339b9981"]}],"mendeley":{"formattedCitation":"(Brown et al. 2001; Lesica et al. 2007)","plainTextFormattedCitation":"(Brown et al. 2001; Lesica et al. 2007)","previouslyFormattedCitation":"(Brown et al. 2001; Lesica et al. 2007)"},"properties":{"noteIndex":0},"schema":"https://github.com/citation-style-language/schema/raw/master/csl-citation.json"}</w:instrText>
      </w:r>
      <w:r w:rsidR="008F731C" w:rsidRPr="00C92B08">
        <w:fldChar w:fldCharType="separate"/>
      </w:r>
      <w:r w:rsidR="00E161A1" w:rsidRPr="00E161A1">
        <w:rPr>
          <w:noProof/>
        </w:rPr>
        <w:t>(Brown et al. 2001; Lesica et al. 2007)</w:t>
      </w:r>
      <w:r w:rsidR="008F731C" w:rsidRPr="00C92B08">
        <w:fldChar w:fldCharType="end"/>
      </w:r>
      <w:r w:rsidR="009F3082" w:rsidRPr="009F3082">
        <w:t xml:space="preserve"> </w:t>
      </w:r>
      <w:r>
        <w:t>as well as spontaneously</w:t>
      </w:r>
      <w:r w:rsidR="008F731C">
        <w:t xml:space="preserve"> </w:t>
      </w:r>
      <w:r w:rsidR="008F731C">
        <w:fldChar w:fldCharType="begin" w:fldLock="1"/>
      </w:r>
      <w:r w:rsidR="00E161A1">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Visual-Stimuli","type":"article-journal","volume":"79"},"uris":["http://www.mendeley.com/documents/?uuid=3f046c8b-654f-490e-aa39-6fc51169c667"]}],"mendeley":{"formattedCitation":"(Rokni et al. 2007; Tomko and Crapper 1974)","plainTextFormattedCitation":"(Rokni et al. 2007; Tomko and Crapper 1974)","previouslyFormattedCitation":"(Rokni et al. 2007; Tomko and Crapper 1974)"},"properties":{"noteIndex":0},"schema":"https://github.com/citation-style-language/schema/raw/master/csl-citation.json"}</w:instrText>
      </w:r>
      <w:r w:rsidR="008F731C">
        <w:fldChar w:fldCharType="separate"/>
      </w:r>
      <w:r w:rsidR="00E161A1" w:rsidRPr="00E161A1">
        <w:rPr>
          <w:noProof/>
        </w:rPr>
        <w:t>(Rokni et al. 2007; 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9B646F" w:rsidRPr="009B646F">
        <w:t xml:space="preserve"> </w:t>
      </w:r>
      <w:r w:rsidR="009B646F" w:rsidRPr="00C92B08">
        <w:fldChar w:fldCharType="begin" w:fldLock="1"/>
      </w:r>
      <w:r w:rsidR="00B13365">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-3","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Neuroscience","id":"ITEM-3","issue":"3","issued":{"date-parts":[["2006","1","18"]]},"page":"801-809","publisher":"Society for Neuroscience","title":"Spike Count Reliability and the Poisson Hypothesis","type":"article-journal","volume":"26"},"uris":["http://www.mendeley.com/documents/?uuid=f71e257b-474b-362b-b1d6-53ed36b800e0"]},{"id":"ITEM-4","itemData":{"DOI":"23/21/7940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Neuroscience","id":"ITEM-4","issue":"21","issued":{"date-parts":[["2003"]]},"page":"7940-7949","title":"Binary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 Maimon and Assad 2009)","plainTextFormattedCitation":"(Amarasingham et al. 2006; DeWeese et al. 2003; Kara et al. 2000; Maimon and Assad 2009)","previouslyFormattedCitation":"(Amarasingham et al. 2006; DeWeese et al. 2003; Kara et al. 2000; Maimon and Assad 2009)"},"properties":{"noteIndex":0},"schema":"https://github.com/citation-style-language/schema/raw/master/csl-citation.json"}</w:instrText>
      </w:r>
      <w:r w:rsidR="009B646F" w:rsidRPr="00C92B08">
        <w:fldChar w:fldCharType="separate"/>
      </w:r>
      <w:r w:rsidR="00E161A1" w:rsidRPr="00E161A1">
        <w:rPr>
          <w:noProof/>
        </w:rPr>
        <w:t>(Amarasingham et al. 2006; DeWeese et al. 2003; Kara et al. 2000; Maimon and Assad 2009)</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B13365">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Making","type":"article-journal","volume":"69"},"uris":["http://www.mendeley.com/documents/?uuid=c8b3184e-a363-44f0-b4b5-9c1793cc7a91"]},{"id":"ITEM-2","itemData":{"DOI":"10.1038/nn.2501","ISBN":"1546-1726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Neuroscience","id":"ITEM-2","issue":"3","issued":{"date-parts":[["2010"]]},"page":"369-378","publisher":"Nature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2011, 2010)","plainTextFormattedCitation":"(Churchland et al. 2011, 2010)","previouslyFormattedCitation":"(Churchland et al. 2011, 2010)"},"properties":{"noteIndex":0},"schema":"https://github.com/citation-style-language/schema/raw/master/csl-citation.json"}</w:instrText>
      </w:r>
      <w:r w:rsidR="009F3082" w:rsidRPr="00C92B08">
        <w:fldChar w:fldCharType="separate"/>
      </w:r>
      <w:r w:rsidR="00B13365" w:rsidRPr="00B13365">
        <w:rPr>
          <w:noProof/>
        </w:rPr>
        <w:t>(Churchland et al. 2011,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r w:rsidR="00C90881">
        <w:t>track changing response properties.</w:t>
      </w:r>
    </w:p>
    <w:p w14:paraId="120A15A4" w14:textId="77777777" w:rsidR="00C90881" w:rsidRDefault="00C90881" w:rsidP="00A85603">
      <w:pPr>
        <w:spacing w:line="240" w:lineRule="auto"/>
      </w:pPr>
    </w:p>
    <w:p w14:paraId="6C7B5D81" w14:textId="7BEC306E"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6C07EE">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6C07EE">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 xml:space="preserve">Neural activity changes on different timescales, and distinguishing changes in variability from changes in the mean response based on sparse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lastRenderedPageBreak/>
        <w:fldChar w:fldCharType="begin" w:fldLock="1"/>
      </w:r>
      <w:r w:rsidR="00C70B66">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Filtering","type":"article-journal","volume":"16"},"uris":["http://www.mendeley.com/documents/?uuid=e3bdf019-7827-4d30-bf96-9106eb50bfa0"]},{"id":"ITEM-2","itemData":{"DOI":"10.1073/PNAS.201409398","ISSN":"0027-8424","PMID":"11593043","abstract":"Neural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Sciences","id":"ITEM-2","issue":"21","issued":{"date-parts":[["2001","10","9"]]},"page":"12261-12266","publisher":"National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 Eden et al. 2004)","plainTextFormattedCitation":"(Brown et al. 2001; Eden et al. 2004)","previouslyFormattedCitation":"(Brown et al. 2001; Eden et al. 2004)"},"properties":{"noteIndex":0},"schema":"https://github.com/citation-style-language/schema/raw/master/csl-citation.json"}</w:instrText>
      </w:r>
      <w:r w:rsidR="00F943AB">
        <w:fldChar w:fldCharType="separate"/>
      </w:r>
      <w:r w:rsidR="00B13365" w:rsidRPr="00B13365">
        <w:rPr>
          <w:noProof/>
        </w:rPr>
        <w:t>(Brown et al. 2001; Eden et al. 2004)</w:t>
      </w:r>
      <w:r w:rsidR="00F943AB">
        <w:fldChar w:fldCharType="end"/>
      </w:r>
      <w:r w:rsidR="00395F7D">
        <w:t xml:space="preserve">, as well as, </w:t>
      </w:r>
      <w:r w:rsidR="00194D7D">
        <w:t xml:space="preserve">other </w:t>
      </w:r>
      <w:r w:rsidR="00395F7D">
        <w:t xml:space="preserve">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6C07EE">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Computation","id":"ITEM-1","issue":"5","issued":{"date-parts":[["2003","5","13"]]},"page":"965-991","publisher":" MIT Press  238 Main St., Suite 500, Cambridge, MA 02142-1046 USA journals-info@mit.edu  ","title":"Estimating a state-space model from point process observations","type":"article-journal","volume":"15"},"uris":["http://www.mendeley.com/documents/?uuid=72611382-20f5-3b66-a358-d9ed406ff166"]},{"id":"ITEM-2","itemData":{"DOI":"10.1152/jn.00343.2007","abstract":"Recording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dynamics","type":"article-journal","volume":"99"},"uris":["http://www.mendeley.com/documents/?uuid=42efd18c-5964-4bb8-8444-c81556834b3a","http://www.mendeley.com/documents/?uuid=a0f64ad3-3bbf-4d5b-adb4-fafa81ded88f"]}],"mendeley":{"formattedCitation":"(Czanner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297C7A">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cortex.","type":"article-journal","volume":"23"},"uris":["http://www.mendeley.com/documents/?uuid=42769875-653e-464e-82d1-9b2bf5ddf62a"]},{"id":"ITEM-2","itemData":{"abstract":"Characterizing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Systems","id":"ITEM-2","issued":{"date-parts":[["2012"]]},"number-of-pages":"1898-1906","title":"Fully Bayesian inference for neural models with negative-binomial spiking","type":"report","volume":"25"},"uris":["http://www.mendeley.com/documents/?uuid=9df4c7aa-f240-3397-9a81-02ebfbb2a538"]},{"id":"ITEM-3","itemData":{"abstract":"Latent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Systems","id":"ITEM-3","issued":{"date-parts":[["2015"]]},"number-of-pages":"2044-2052","title":"High-dimensional neural spike train analysis with generalized count linear dynamical systems","type":"report","volume":"28"},"uris":["http://www.mendeley.com/documents/?uuid=65f762cf-9018-3f07-9ba4-f9a5399a117e"]}],"mendeley":{"formattedCitation":"(DeWeese et al. 2003; Gao et al. 2015; Pillow and Scott 2012)","plainTextFormattedCitation":"(DeWeese et al. 2003; Gao et al. 2015; Pillow and Scott 2012)","previouslyFormattedCitation":"(DeWeese et al. 2003; Gao et al. 2015; Pillow and Scott 2012)"},"properties":{"noteIndex":0},"schema":"https://github.com/citation-style-language/schema/raw/master/csl-citation.json"}</w:instrText>
      </w:r>
      <w:r w:rsidR="00942C0D">
        <w:fldChar w:fldCharType="separate"/>
      </w:r>
      <w:r w:rsidR="006C07EE" w:rsidRPr="006C07EE">
        <w:rPr>
          <w:noProof/>
        </w:rPr>
        <w:t>(DeWeese et al. 2003; Gao et al. 2015; Pillow and Scott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6C07EE">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 xml:space="preserve">whether static or dynamic, assumes a fixed mean-variance relationship (i.e.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r w:rsidR="00F943AB" w:rsidRPr="005C20EF">
        <w:t>.</w:t>
      </w:r>
    </w:p>
    <w:p w14:paraId="42315B54" w14:textId="53BF06FD" w:rsidR="00E93A8E" w:rsidRDefault="00E93A8E" w:rsidP="00C92B08">
      <w:pPr>
        <w:spacing w:line="240" w:lineRule="auto"/>
      </w:pPr>
    </w:p>
    <w:p w14:paraId="57E5054C" w14:textId="7847EF03"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w:t>
      </w:r>
      <w:r w:rsidR="00194D7D">
        <w:t xml:space="preserve"> </w:t>
      </w:r>
      <w:r w:rsidR="00004F4E">
        <w:t>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(Laplace approximation). </w:t>
      </w:r>
      <w:r w:rsidR="00194D7D">
        <w:t>S</w:t>
      </w:r>
      <w:r>
        <w:t xml:space="preserve">ince the state-space of the dynamic model has </w:t>
      </w:r>
      <w:r w:rsidR="000F6AD4">
        <w:t>Markov</w:t>
      </w:r>
      <w:r>
        <w:t>ian structure</w:t>
      </w:r>
      <w:r w:rsidR="00194D7D">
        <w:t>, inference is efficient with this approximation, and w</w:t>
      </w:r>
      <w:r w:rsidR="004642BA">
        <w:t>e estimate the process noise</w:t>
      </w:r>
      <w:r w:rsidR="00194D7D">
        <w:t xml:space="preserve"> </w:t>
      </w:r>
      <w:r w:rsidR="00BA5444">
        <w:t>by maximizing</w:t>
      </w:r>
      <w:r w:rsidR="00194D7D">
        <w:t xml:space="preserve"> the predictive likelihood</w:t>
      </w:r>
      <w:r w:rsidR="004642BA">
        <w:t xml:space="preserv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responses</w:t>
      </w:r>
      <w:r w:rsidR="007F1946">
        <w:t xml:space="preserve"> </w:t>
      </w:r>
      <w:r>
        <w:t xml:space="preserve">and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7AA93847"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r w:rsidR="00FA79F8">
        <w:t xml:space="preserve"> </w:t>
      </w:r>
      <w:r w:rsidR="00BA5444">
        <w:t>C</w:t>
      </w:r>
      <w:r w:rsidR="00FA79F8">
        <w:t xml:space="preserve">ode is available at </w:t>
      </w:r>
      <w:hyperlink r:id="rId8" w:history="1">
        <w:r w:rsidR="00FA79F8" w:rsidRPr="00751FB4">
          <w:rPr>
            <w:rStyle w:val="Hyperlink"/>
          </w:rPr>
          <w:t>https://github.com/weigcdsb/COM_POISSON</w:t>
        </w:r>
      </w:hyperlink>
      <w:r w:rsidR="00FA79F8">
        <w:t xml:space="preserve">.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6B1636CB"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w:t>
      </w:r>
      <w:r w:rsidR="00BA5444">
        <w:t xml:space="preserve">shape </w:t>
      </w:r>
      <w:r>
        <w:t xml:space="preserve">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3D577225"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07EE">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lastRenderedPageBreak/>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2C07C4"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2C07C4"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AC16D3D"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6C07EE">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6C07EE">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28F0336E"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6C07EE">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C07EE">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C07EE">
        <w:rPr>
          <w:rFonts w:hint="eastAsia"/>
        </w:rPr>
        <w:instrText>ng probabilistic argument to obtain the leading term in the asymptotic expansion of Z (</w:instrText>
      </w:r>
      <w:r w:rsidR="006C07EE">
        <w:rPr>
          <w:rFonts w:hint="eastAsia"/>
        </w:rPr>
        <w:instrText>λ</w:instrText>
      </w:r>
      <w:r w:rsidR="006C07EE">
        <w:rPr>
          <w:rFonts w:hint="eastAsia"/>
        </w:rPr>
        <w:instrText xml:space="preserve">, </w:instrText>
      </w:r>
      <w:r w:rsidR="006C07EE">
        <w:rPr>
          <w:rFonts w:hint="eastAsia"/>
        </w:rPr>
        <w:instrText>ν</w:instrText>
      </w:r>
      <w:r w:rsidR="006C07EE">
        <w:rPr>
          <w:rFonts w:hint="eastAsia"/>
        </w:rPr>
        <w:instrText xml:space="preserve">) in the limit </w:instrText>
      </w:r>
      <w:r w:rsidR="006C07EE">
        <w:rPr>
          <w:rFonts w:hint="eastAsia"/>
        </w:rPr>
        <w:instrText>λ</w:instrText>
      </w:r>
      <w:r w:rsidR="006C07EE">
        <w:rPr>
          <w:rFonts w:hint="eastAsia"/>
        </w:rPr>
        <w:instrText xml:space="preserve"> </w:instrText>
      </w:r>
      <w:r w:rsidR="006C07EE">
        <w:rPr>
          <w:rFonts w:hint="eastAsia"/>
        </w:rPr>
        <w:instrText>→</w:instrText>
      </w:r>
      <w:r w:rsidR="006C07EE">
        <w:rPr>
          <w:rFonts w:hint="eastAsia"/>
        </w:rPr>
        <w:instrText xml:space="preserve"> </w:instrText>
      </w:r>
      <w:r w:rsidR="006C07EE">
        <w:rPr>
          <w:rFonts w:hint="eastAsia"/>
        </w:rPr>
        <w:instrText>∞</w:instrText>
      </w:r>
      <w:r w:rsidR="006C07EE">
        <w:rPr>
          <w:rFonts w:hint="eastAsia"/>
        </w:rPr>
        <w:instrText xml:space="preserve"> that holds for all </w:instrText>
      </w:r>
      <w:r w:rsidR="006C07EE">
        <w:rPr>
          <w:rFonts w:hint="eastAsia"/>
        </w:rPr>
        <w:instrText>ν</w:instrText>
      </w:r>
      <w:r w:rsidR="006C07EE">
        <w:rPr>
          <w:rFonts w:hint="eastAsia"/>
        </w:rPr>
        <w:instrText xml:space="preserve"> &gt; 0. We then use an integral representation to obtain the entire asymptotic series and give explicit formulas for the firs</w:instrText>
      </w:r>
      <w:r w:rsidR="006C07EE">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6C07EE">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2C07C4"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0F69A58"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6C07E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50DF0092"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07EE">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48E0F51A"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cubic B-spline basis functions with equally-spaced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6C07EE">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sSub>
          <m:sSubPr>
            <m:ctrlPr>
              <w:rPr>
                <w:rFonts w:ascii="Cambria Math" w:hAnsi="Cambria Math"/>
                <w:i/>
                <w:lang w:eastAsia="zh-CN"/>
              </w:rPr>
            </m:ctrlPr>
          </m:sSubPr>
          <m:e>
            <m:r>
              <m:rPr>
                <m:sty m:val="bi"/>
              </m:rPr>
              <w:rPr>
                <w:rFonts w:ascii="Cambria Math" w:hAnsi="Cambria Math"/>
                <w:lang w:eastAsia="zh-CN"/>
              </w:rPr>
              <m:t>λ</m:t>
            </m:r>
          </m:e>
          <m:sub>
            <m:r>
              <w:rPr>
                <w:rFonts w:ascii="Cambria Math" w:hAnsi="Cambria Math"/>
                <w:lang w:eastAsia="zh-CN"/>
              </w:rPr>
              <m:t>t</m:t>
            </m:r>
          </m:sub>
        </m:sSub>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w:t>
      </w:r>
      <w:r w:rsidR="00A70B5A">
        <w:t xml:space="preserve">shape </w:t>
      </w:r>
      <w:r w:rsidR="00B92C39">
        <w:t xml:space="preserve">parameter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10A5518A"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w:t>
            </w:r>
            <w:r w:rsidR="0003227E">
              <w:rPr>
                <w:lang w:eastAsia="zh-CN"/>
              </w:rPr>
              <w:t>f</w:t>
            </w:r>
            <w:r>
              <w:rPr>
                <w:lang w:eastAsia="zh-CN"/>
              </w:rPr>
              <w:t>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3135A839"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w:t>
      </w:r>
      <w:r w:rsidR="0003227E">
        <w:t>f</w:t>
      </w:r>
      <w:r w:rsidR="00D71989">
        <w:t>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150B0EDA"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occur, but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m:rPr>
            <m:sty m:val="bi"/>
          </m:rP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0E904DEF"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m:rPr>
            <m:sty m:val="bi"/>
          </m:rPr>
          <w:rPr>
            <w:rFonts w:ascii="Cambria Math" w:hAnsi="Cambria Math"/>
          </w:rPr>
          <m:t>Q</m:t>
        </m:r>
      </m:oMath>
      <w:r w:rsidR="009735B7">
        <w:t>, e</w:t>
      </w:r>
      <w:proofErr w:type="spellStart"/>
      <w:r w:rsidR="00310A2D">
        <w:t>stimates</w:t>
      </w:r>
      <w:proofErr w:type="spellEnd"/>
      <w:r w:rsidR="00310A2D">
        <w:t xml:space="preserve"> of the mean</w:t>
      </w:r>
      <w:r w:rsidR="00D064B9">
        <w:t xml:space="preserve"> in the dynamic Poisson model</w:t>
      </w:r>
      <w:r w:rsidR="00310A2D">
        <w:t xml:space="preserve"> can be </w:t>
      </w:r>
      <w:r w:rsidR="00A70B5A">
        <w:t xml:space="preserve">effected </w:t>
      </w:r>
      <w:r w:rsidR="00310A2D">
        <w:t xml:space="preserve">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 xml:space="preserve">The true mean is determined by a Gaussian function where the preferred position varies over time. The spike counts are then generated by CMP distributions, here over-dispersed with constant </w:t>
      </w:r>
      <w:r w:rsidR="00A70B5A">
        <w:t xml:space="preserve">shape </w:t>
      </w:r>
      <w:r w:rsidR="008E5EC6">
        <w:t>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 xml:space="preserve">estimated)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6D77F6F7" w:rsidR="00D62B20" w:rsidRDefault="003C3470" w:rsidP="00A85603">
      <w:pPr>
        <w:pStyle w:val="Heading3"/>
        <w:spacing w:line="240" w:lineRule="auto"/>
        <w:rPr>
          <w:b/>
          <w:bCs/>
        </w:rPr>
      </w:pPr>
      <w:r w:rsidRPr="006B0351">
        <w:rPr>
          <w:b/>
          <w:bCs/>
        </w:rPr>
        <w:t xml:space="preserve">V1 </w:t>
      </w:r>
      <w:r w:rsidR="007F30FF">
        <w:rPr>
          <w:b/>
          <w:bCs/>
        </w:rPr>
        <w:t>D</w:t>
      </w:r>
      <w:r w:rsidRPr="006B0351">
        <w:rPr>
          <w:b/>
          <w:bCs/>
        </w:rPr>
        <w:t>ata</w:t>
      </w:r>
    </w:p>
    <w:p w14:paraId="191EC77F" w14:textId="77777777" w:rsidR="00E24DBA" w:rsidRPr="00E24DBA" w:rsidRDefault="00E24DBA" w:rsidP="00E24DBA"/>
    <w:p w14:paraId="1D1FD925" w14:textId="737423FC" w:rsidR="00A03B94" w:rsidRDefault="003F3B77" w:rsidP="00A85603">
      <w:pPr>
        <w:spacing w:line="240" w:lineRule="auto"/>
      </w:pPr>
      <w:r>
        <w:t>In the V1 dataset</w:t>
      </w:r>
      <w:r w:rsidR="00B04342">
        <w:t>,</w:t>
      </w:r>
      <w:r w:rsidR="001F0DC5">
        <w:t xml:space="preserve"> CRCNS pvc-11</w:t>
      </w:r>
      <w:r>
        <w:t xml:space="preserve"> </w:t>
      </w:r>
      <w:r>
        <w:fldChar w:fldCharType="begin" w:fldLock="1"/>
      </w:r>
      <w:r w:rsidR="006C07EE">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 xml:space="preserve">Extracellular spiking activity was </w:t>
      </w:r>
      <w:r w:rsidR="00B04342">
        <w:t xml:space="preserve">recorded </w:t>
      </w:r>
      <w:r w:rsidR="001F0DC5">
        <w:t>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6C07E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6C07EE">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6C07EE">
        <w:rPr>
          <w:rFonts w:ascii="Cambria Math" w:hAnsi="Cambria Math" w:cs="Cambria Math"/>
        </w:rPr>
        <w:instrText>∼</w:instrText>
      </w:r>
      <w:r w:rsidR="006C07EE">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23116FF5"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B04342">
        <w:t xml:space="preserve"> also</w:t>
      </w:r>
      <w:r w:rsidR="007279F5">
        <w:t xml:space="preserve"> responds </w:t>
      </w:r>
      <w:r w:rsidR="00B04342">
        <w:t xml:space="preserve">with increased spiking </w:t>
      </w:r>
      <w:r w:rsidR="00EC471B">
        <w:t xml:space="preserve">to stimuli moving in the opposite direction, around 70 deg. After fitting the dynamic CMP model to these data, we find that the tuning curve itself appears mostly stable, but the overall firing rate increases over the course of the recording (Fig. 4B). At the same time, the Fano </w:t>
      </w:r>
      <w:r w:rsidR="0003227E">
        <w:t>f</w:t>
      </w:r>
      <w:r w:rsidR="00EC471B">
        <w:t xml:space="preserve">actor decreases over the course of the recording (Fig. 4C). </w:t>
      </w:r>
    </w:p>
    <w:p w14:paraId="0B44626C" w14:textId="77777777" w:rsidR="001E6D28" w:rsidRDefault="001E6D28" w:rsidP="00A85603">
      <w:pPr>
        <w:spacing w:line="240" w:lineRule="auto"/>
      </w:pPr>
    </w:p>
    <w:p w14:paraId="486C423A" w14:textId="7CCBE982"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equally-spaced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w:t>
      </w:r>
      <w:r w:rsidR="0003227E">
        <w:t>f</w:t>
      </w:r>
      <w:r w:rsidR="00B40C02">
        <w:t>actor (Fig. 4C) that are similar to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w:t>
      </w:r>
      <w:r w:rsidR="0003227E">
        <w:t>f</w:t>
      </w:r>
      <w:r w:rsidR="00B40C02">
        <w:t xml:space="preserve">actor estimated by the dynamic CMP model </w:t>
      </w:r>
      <w:r w:rsidR="008D18C8">
        <w:t xml:space="preserve">differs from </w:t>
      </w:r>
      <w:r w:rsidR="00B40C02">
        <w:t xml:space="preserve">a simple estimate of the Fano </w:t>
      </w:r>
      <w:r w:rsidR="0003227E">
        <w:t>f</w:t>
      </w:r>
      <w:r w:rsidR="00B40C02">
        <w:t xml:space="preserve">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09253514"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 xml:space="preserve">-(5,3). However, the benefit of adding nonstationary </w:t>
      </w:r>
      <w:r w:rsidR="00B04342">
        <w:t xml:space="preserve">shape </w:t>
      </w:r>
      <w:r w:rsidR="0000295E">
        <w:t>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w:t>
      </w:r>
      <w:r w:rsidR="00B04342">
        <w:t xml:space="preserve">shape </w:t>
      </w:r>
      <w:r w:rsidR="0000295E">
        <w:t>parameter (</w:t>
      </w:r>
      <w:proofErr w:type="spellStart"/>
      <w:r w:rsidR="0000295E">
        <w:t>dCMP</w:t>
      </w:r>
      <w:proofErr w:type="spellEnd"/>
      <w:r w:rsidR="0000295E">
        <w:t xml:space="preserve">-(5,1) vs </w:t>
      </w:r>
      <w:proofErr w:type="spellStart"/>
      <w:r w:rsidR="0000295E">
        <w:t>dCMP</w:t>
      </w:r>
      <w:proofErr w:type="spellEnd"/>
      <w:r w:rsidR="0000295E">
        <w:t>-(5,3))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3720366" w:rsidR="003C3470" w:rsidRDefault="00B04342" w:rsidP="00A85603">
      <w:pPr>
        <w:pStyle w:val="Heading3"/>
        <w:spacing w:line="240" w:lineRule="auto"/>
      </w:pPr>
      <w:r>
        <w:t>HC</w:t>
      </w:r>
      <w:r w:rsidRPr="001234DF">
        <w:t xml:space="preserve"> </w:t>
      </w:r>
      <w:r w:rsidR="003C3470" w:rsidRPr="001234DF">
        <w:t>data</w:t>
      </w:r>
    </w:p>
    <w:p w14:paraId="6E17E8DB" w14:textId="0DD712D9" w:rsidR="00804EE2" w:rsidRDefault="00804EE2" w:rsidP="00804EE2"/>
    <w:p w14:paraId="646D69B0" w14:textId="77F956AA"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6C07EE">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3F4D996B"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the place fields can also shift over time</w:t>
      </w:r>
      <w:r w:rsidR="00816E04">
        <w:t>,</w:t>
      </w:r>
      <w:r>
        <w:t xml:space="preserv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equally-spaced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For this example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337EA647" w:rsidR="00591F3E" w:rsidRDefault="00433939" w:rsidP="00591F3E">
      <w:pPr>
        <w:spacing w:line="240" w:lineRule="auto"/>
      </w:pPr>
      <w:r>
        <w:t xml:space="preserve">Here we introduced a dynamic CMP model to track changes in both the mean and dispersion of neural responses over time. </w:t>
      </w:r>
      <w:r w:rsidR="00591F3E">
        <w:t xml:space="preserve">A global Laplace approximation with a smoothing-based initialization can provide accurate and computationally efficient model estimates. </w:t>
      </w:r>
      <w:r>
        <w:t xml:space="preserve">In both simulations and 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6C07EE">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E161A1">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E161A1" w:rsidRPr="00E161A1">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r>
        <w:t>the role of variability in the brain</w:t>
      </w:r>
      <w:r w:rsidR="00C92B08" w:rsidRPr="00C92B08">
        <w:t xml:space="preserve">. </w:t>
      </w:r>
    </w:p>
    <w:p w14:paraId="179CB62D" w14:textId="77777777" w:rsidR="00EF14A6" w:rsidRDefault="00EF14A6" w:rsidP="00A85603">
      <w:pPr>
        <w:spacing w:line="240" w:lineRule="auto"/>
      </w:pPr>
    </w:p>
    <w:p w14:paraId="1CCE8CE1" w14:textId="17923DA8" w:rsidR="008F731C" w:rsidRDefault="00670D86" w:rsidP="008F731C">
      <w:pPr>
        <w:spacing w:line="240" w:lineRule="auto"/>
      </w:pPr>
      <w:r>
        <w:lastRenderedPageBreak/>
        <w:t xml:space="preserve">The extent to which the dynamic CMP model can predict neural responses more accurately than </w:t>
      </w:r>
      <w:r w:rsidR="009D02C0">
        <w:t xml:space="preserve">the dynamic Poisson model or </w:t>
      </w:r>
      <w:r>
        <w:t xml:space="preserve">static </w:t>
      </w:r>
      <w:r w:rsidR="009D02C0">
        <w:t xml:space="preserve">non-Poisson </w:t>
      </w:r>
      <w:r>
        <w:t xml:space="preserve">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AB2C50">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id":"ITEM-2","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Neurophysiology","id":"ITEM-2","issue":"2","issued":{"date-parts":[["2009"]]},"page":"1331-1339","publisher":"Am Physiological Soc","title":"Single-unit stability using chronically implanted multielectrode arrays","type":"article-journal","volume":"102"},"uris":["http://www.mendeley.com/documents/?uuid=3e377647-d341-40f9-b094-e5a2685b1c26"]},{"id":"ITEM-3","itemData":{"DOI":"10.1152/jn.00626.2010","ISSN":"00223077","PMID":"21613593","abstract":"In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Neurophysiology","id":"ITEM-3","issue":"2","issued":{"date-parts":[["2011","8"]]},"page":"764-774","publisher":"J Neurophysiol","title":"Statistical assessment of the stability of neural movement representations","type":"article-journal","volume":"106"},"uris":["http://www.mendeley.com/documents/?uuid=b2742537-cfe4-3ec3-8ce8-e2462f783479"]}],"mendeley":{"formattedCitation":"(Chestek et al. 2007; Dickey et al. 2009; Stevenson et al. 2011)","plainTextFormattedCitation":"(Chestek et al. 2007; Dickey et al. 2009; Stevenson et al. 2011)","previouslyFormattedCitation":"(Chestek et al. 2007; Dickey et al. 2009; Stevenson et al. 2011)"},"properties":{"noteIndex":0},"schema":"https://github.com/citation-style-language/schema/raw/master/csl-citation.json"}</w:instrText>
      </w:r>
      <w:r w:rsidR="008F731C">
        <w:fldChar w:fldCharType="separate"/>
      </w:r>
      <w:r w:rsidR="00C70B66" w:rsidRPr="00C70B66">
        <w:rPr>
          <w:noProof/>
        </w:rPr>
        <w:t>(Chestek et al. 2007; Dickey et al. 2009; Stevenson et al. 2011)</w:t>
      </w:r>
      <w:r w:rsidR="008F731C">
        <w:fldChar w:fldCharType="end"/>
      </w:r>
      <w:r w:rsidR="009D02C0">
        <w:t>, but variability appears to differ across brain areas</w:t>
      </w:r>
      <w:r w:rsidR="00AB2C50">
        <w:t xml:space="preserve"> </w:t>
      </w:r>
      <w:r w:rsidR="00AB2C50">
        <w:fldChar w:fldCharType="begin" w:fldLock="1"/>
      </w:r>
      <w:r w:rsidR="00AB2C50">
        <w:instrText>ADDIN CSL_CITATION {"citationItems":[{"id":"ITEM-1","itemData":{"DOI":"10.1523/JNEUROSCI.0230-16.2016","ISSN":"0270-6474","PMID":"27225764","abstract":"The architectonic subdivisions of the brain are believed to be functional modules, each processing parts of global functions. Previously, we showed that neurons in different regions operate in different firing regimes in monkeys. It is possible that firing regimes reflect differences in underlying information processing, and consequently the firing regimes in homologous regions across animal species might be similar. We analyzed neuronal spike trains recorded from behaving mice, rats, cats, and monkeys. The firing regularity differed systematically, with differences across regions in one species being greater than the differences in similar areas across species. Neuronal firing was consistently most regular in motor areas, nearly random in visual and prefrontal/medial prefrontal cortical areas, and bursting in the hippocampus in all animals examined. This suggests that firing regularity (or irregularity) plays a key role in neural computation in each functional subdivision, depending on the types of information being carried.\n\nSIGNIFICANCE STATEMENT By analyzing neuronal spike trains recorded from mice, rats, cats, and monkeys, we found that different brain regions have intrinsically different firing regimes that are more similar in homologous areas across species than across areas in one species. Because different regions in the brain are specialized for different functions, the present finding suggests that the different activity regimes of neurons are important for supporting different functions, so that appropriate neuronal codes can be used for different modalities.","author":[{"dropping-particle":"","family":"Mochizuki","given":"Yasuhiro","non-dropping-particle":"","parse-names":false,"suffix":""},{"dropping-particle":"","family":"Onaga","given":"Tomokatsu","non-dropping-particle":"","parse-names":false,"suffix":""},{"dropping-particle":"","family":"Shimazaki","given":"Hideaki","non-dropping-particle":"","parse-names":false,"suffix":""},{"dropping-particle":"","family":"Shimokawa","given":"Takeaki","non-dropping-particle":"","parse-names":false,"suffix":""},{"dropping-particle":"","family":"Tsubo","given":"Yasuhiro","non-dropping-particle":"","parse-names":false,"suffix":""},{"dropping-particle":"","family":"Kimura","given":"Rie","non-dropping-particle":"","parse-names":false,"suffix":""},{"dropping-particle":"","family":"Saiki","given":"Akiko","non-dropping-particle":"","parse-names":false,"suffix":""},{"dropping-particle":"","family":"Sakai","given":"Yutaka","non-dropping-particle":"","parse-names":false,"suffix":""},{"dropping-particle":"","family":"Isomura","given":"Yoshikazu","non-dropping-particle":"","parse-names":false,"suffix":""},{"dropping-particle":"","family":"Fujisawa","given":"Shigeyoshi","non-dropping-particle":"","parse-names":false,"suffix":""},{"dropping-particle":"","family":"Shibata","given":"Ken Ichi","non-dropping-particle":"","parse-names":false,"suffix":""},{"dropping-particle":"","family":"Hirai","given":"Daichi","non-dropping-particle":"","parse-names":false,"suffix":""},{"dropping-particle":"","family":"Furuta","given":"Takahiro","non-dropping-particle":"","parse-names":false,"suffix":""},{"dropping-particle":"","family":"Kaneko","given":"Takeshi","non-dropping-particle":"","parse-names":false,"suffix":""},{"dropping-particle":"","family":"Takahashi","given":"Susumu","non-dropping-particle":"","parse-names":false,"suffix":""},{"dropping-particle":"","family":"Nakazono","given":"Tomoaki","non-dropping-particle":"","parse-names":false,"suffix":""},{"dropping-particle":"","family":"Ishino","given":"Seiya","non-dropping-particle":"","parse-names":false,"suffix":""},{"dropping-particle":"","family":"Sakurai","given":"Yoshio","non-dropping-particle":"","parse-names":false,"suffix":""},{"dropping-particle":"","family":"Kitsukawa","given":"Takashi","non-dropping-particle":"","parse-names":false,"suffix":""},{"dropping-particle":"","family":"Lee","given":"Jong Won","non-dropping-particle":"","parse-names":false,"suffix":""},{"dropping-particle":"","family":"Lee","given":"Hyunjung","non-dropping-particle":"","parse-names":false,"suffix":""},{"dropping-particle":"","family":"Jung","given":"Min Whan","non-dropping-particle":"","parse-names":false,"suffix":""},{"dropping-particle":"","family":"Babul","given":"Cecilia","non-dropping-particle":"","parse-names":false,"suffix":""},{"dropping-particle":"","family":"Maldonado","given":"Pedro E.","non-dropping-particle":"","parse-names":false,"suffix":""},{"dropping-particle":"","family":"Takahashi","given":"Kazutaka","non-dropping-particle":"","parse-names":false,"suffix":""},{"dropping-particle":"","family":"Arce-McShane","given":"Fritzie I.","non-dropping-particle":"","parse-names":false,"suffix":""},{"dropping-particle":"","family":"Ross","given":"Callum F.","non-dropping-particle":"","parse-names":false,"suffix":""},{"dropping-particle":"","family":"Sessle","given":"Barry J.","non-dropping-particle":"","parse-names":false,"suffix":""},{"dropping-particle":"","family":"Hatsopoulos","given":"Nicholas G.","non-dropping-particle":"","parse-names":false,"suffix":""},{"dropping-particle":"","family":"Brochier","given":"Thomas","non-dropping-particle":"","parse-names":false,"suffix":""},{"dropping-particle":"","family":"Riehle","given":"Alexa","non-dropping-particle":"","parse-names":false,"suffix":""},{"dropping-particle":"","family":"Chorley","given":"Paul","non-dropping-particle":"","parse-names":false,"suffix":""},{"dropping-particle":"","family":"Grün","given":"Sonja","non-dropping-particle":"","parse-names":false,"suffix":""},{"dropping-particle":"","family":"Nishijo","given":"Hisao","non-dropping-particle":"","parse-names":false,"suffix":""},{"dropping-particle":"","family":"Ichihara-Takeda","given":"Satoe","non-dropping-particle":"","parse-names":false,"suffix":""},{"dropping-particle":"","family":"Funahashi","given":"Shintaro","non-dropping-particle":"","parse-names":false,"suffix":""},{"dropping-particle":"","family":"Shima","given":"Keisetsu","non-dropping-particle":"","parse-names":false,"suffix":""},{"dropping-particle":"","family":"Mushiake","given":"Hajime","non-dropping-particle":"","parse-names":false,"suffix":""},{"dropping-particle":"","family":"Yamane","given":"Yukako","non-dropping-particle":"","parse-names":false,"suffix":""},{"dropping-particle":"","family":"Tamura","given":"Hiroshi","non-dropping-particle":"","parse-names":false,"suffix":""},{"dropping-particle":"","family":"Fujita","given":"Ichiro","non-dropping-particle":"","parse-names":false,"suffix":""},{"dropping-particle":"","family":"Inaba","given":"Naoko","non-dropping-particle":"","parse-names":false,"suffix":""},{"dropping-particle":"","family":"Kawano","given":"Kenji","non-dropping-particle":"","parse-names":false,"suffix":""},{"dropping-particle":"","family":"Kurkin","given":"Sergei","non-dropping-particle":"","parse-names":false,"suffix":""},{"dropping-particle":"","family":"Fukushima","given":"Kikuro","non-dropping-particle":"","parse-names":false,"suffix":""},{"dropping-particle":"","family":"Kurata","given":"Kiyoshi","non-dropping-particle":"","parse-names":false,"suffix":""},{"dropping-particle":"","family":"Taira","given":"Masato","non-dropping-particle":"","parse-names":false,"suffix":""},{"dropping-particle":"","family":"Tsutsui","given":"Ken Ichiro","non-dropping-particle":"","parse-names":false,"suffix":""},{"dropping-particle":"","family":"Ogawa","given":"Tadashi","non-dropping-particle":"","parse-names":false,"suffix":""},{"dropping-particle":"","family":"Komatsu","given":"Hidehiko","non-dropping-particle":"","parse-names":false,"suffix":""},{"dropping-particle":"","family":"Koida","given":"Kowa","non-dropping-particle":"","parse-names":false,"suffix":""},{"dropping-particle":"","family":"Toyama","given":"Keisuke","non-dropping-particle":"","parse-names":false,"suffix":""},{"dropping-particle":"","family":"Richmond","given":"Barry J.","non-dropping-particle":"","parse-names":false,"suffix":""},{"dropping-particle":"","family":"Shinomoto","given":"Shigeru","non-dropping-particle":"","parse-names":false,"suffix":""}],"container-title":"Journal of Neuroscience","id":"ITEM-1","issue":"21","issued":{"date-parts":[["2016","5","25"]]},"page":"5736-5747","publisher":"Society for Neuroscience","title":"Similarity in Neuronal Firing Regimes across Mammalian Species","type":"article-journal","volume":"36"},"uris":["http://www.mendeley.com/documents/?uuid=ddb8d18f-e0ea-3384-a411-a3c45aa0de8b"]}],"mendeley":{"formattedCitation":"(Mochizuki et al. 2016)","plainTextFormattedCitation":"(Mochizuki et al. 2016)","previouslyFormattedCitation":"(Mochizuki et al. 2016)"},"properties":{"noteIndex":0},"schema":"https://github.com/citation-style-language/schema/raw/master/csl-citation.json"}</w:instrText>
      </w:r>
      <w:r w:rsidR="00AB2C50">
        <w:fldChar w:fldCharType="separate"/>
      </w:r>
      <w:r w:rsidR="00AB2C50" w:rsidRPr="00AB2C50">
        <w:rPr>
          <w:noProof/>
        </w:rPr>
        <w:t>(Mochizuki et al. 2016)</w:t>
      </w:r>
      <w:r w:rsidR="00AB2C50">
        <w:fldChar w:fldCharType="end"/>
      </w:r>
      <w:r w:rsidR="009D27B9">
        <w:t xml:space="preserve"> </w:t>
      </w:r>
      <w:r>
        <w:t>. M</w:t>
      </w:r>
      <w:r w:rsidR="00EF14A6">
        <w:t xml:space="preserve">ore accurate spike sorting </w:t>
      </w:r>
      <w:r w:rsidR="009D27B9">
        <w:t xml:space="preserve">may </w:t>
      </w:r>
      <w:r w:rsidR="00EF14A6">
        <w:t xml:space="preserve">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xml:space="preserve">, and the degree of spontaneous changes </w:t>
      </w:r>
      <w:r w:rsidR="009D27B9">
        <w:t xml:space="preserve">may also </w:t>
      </w:r>
      <w:r>
        <w:t>depend on the brain area</w:t>
      </w:r>
      <w:r w:rsidR="00AB2C50">
        <w:t xml:space="preserve"> </w:t>
      </w:r>
      <w:r w:rsidR="00AB2C50">
        <w:fldChar w:fldCharType="begin" w:fldLock="1"/>
      </w:r>
      <w:r w:rsidR="00160C44">
        <w:instrText>ADDIN CSL_CITATION {"citationItems":[{"id":"ITEM-1","itemData":{"DOI":"10.1016/J.CONB.2019.08.005","ISSN":"0959-4388","PMID":"31569062","abstract":"The nervous system learns new associations while maintaining memories over long periods, exhibiting a balance between flexibility and stability. Recent experiments reveal that neuronal representations of learned sensorimotor tasks continually change over days and weeks, even after animals have achieved expert behavioral performance. How is learned information stored to allow consistent behavior despite ongoing changes in neuronal activity? What functions could ongoing reconfiguration serve? We highlight recent experimental evidence for such representational drift in sensorimotor systems, and discuss how this fits into a framework of distributed population codes. We identify recent theoretical work that suggests computational roles for drift and argue that the recurrent and distributed nature of sensorimotor representations permits drift while limiting disruptive effects. We propose that representational drift may create error signals between interconnected brain regions that can be used to keep neural codes consistent in the presence of continual change. These concepts suggest experimental and theoretical approaches to studying both learning and maintenance of distributed and adaptive population codes.","author":[{"dropping-particle":"","family":"Rule","given":"Michael E.","non-dropping-particle":"","parse-names":false,"suffix":""},{"dropping-particle":"","family":"O'Leary","given":"Timothy","non-dropping-particle":"","parse-names":false,"suffix":""},{"dropping-particle":"","family":"Harvey","given":"Christopher D.","non-dropping-particle":"","parse-names":false,"suffix":""}],"container-title":"Current Opinion in Neurobiology","id":"ITEM-1","issued":{"date-parts":[["2019","10","1"]]},"page":"141-147","publisher":"Elsevier Current Trends","title":"Causes and consequences of representational drift","type":"article-journal","volume":"58"},"uris":["http://www.mendeley.com/documents/?uuid=6ca90363-6500-3d3e-805f-97bdffa5ff23"]}],"mendeley":{"formattedCitation":"(Rule et al. 2019)","plainTextFormattedCitation":"(Rule et al. 2019)","previouslyFormattedCitation":"(Rule et al. 2019)"},"properties":{"noteIndex":0},"schema":"https://github.com/citation-style-language/schema/raw/master/csl-citation.json"}</w:instrText>
      </w:r>
      <w:r w:rsidR="00AB2C50">
        <w:fldChar w:fldCharType="separate"/>
      </w:r>
      <w:r w:rsidR="00AB2C50" w:rsidRPr="00AB2C50">
        <w:rPr>
          <w:noProof/>
        </w:rPr>
        <w:t>(Rule et al. 2019)</w:t>
      </w:r>
      <w:r w:rsidR="00AB2C50">
        <w:fldChar w:fldCharType="end"/>
      </w:r>
      <w:r>
        <w:t>.</w:t>
      </w:r>
      <w:r w:rsidR="009B646F">
        <w:t xml:space="preserve"> However</w:t>
      </w:r>
      <w:r w:rsidR="00EF14A6">
        <w:t>, neurons do clearly change both their average responses and dispersion in many situations.</w:t>
      </w:r>
    </w:p>
    <w:p w14:paraId="57B463E9" w14:textId="77777777" w:rsidR="00162431" w:rsidRDefault="00162431" w:rsidP="008F731C">
      <w:pPr>
        <w:spacing w:line="240" w:lineRule="auto"/>
      </w:pPr>
    </w:p>
    <w:p w14:paraId="43E974F7" w14:textId="63D65F42" w:rsidR="008F731C" w:rsidRDefault="00162431" w:rsidP="00A85603">
      <w:pPr>
        <w:spacing w:line="240" w:lineRule="auto"/>
        <w:rPr>
          <w:bCs/>
        </w:rPr>
      </w:pPr>
      <w:r>
        <w:t xml:space="preserve">Although the current model works well for fitting neural spikes, there are some potential improvements. First, the state transition matrix </w:t>
      </w:r>
      <m:oMath>
        <m:r>
          <m:rPr>
            <m:sty m:val="bi"/>
          </m:rPr>
          <w:rPr>
            <w:rFonts w:ascii="Cambria Math" w:hAnsi="Cambria Math"/>
          </w:rPr>
          <m:t>F</m:t>
        </m:r>
      </m:oMath>
      <w:r>
        <w:rPr>
          <w:b/>
        </w:rPr>
        <w:t xml:space="preserve"> </w:t>
      </w:r>
      <w:r>
        <w:rPr>
          <w:bCs/>
        </w:rPr>
        <w:t xml:space="preserve">is currently assumed to be known and is fixed to </w:t>
      </w:r>
      <m:oMath>
        <m:r>
          <m:rPr>
            <m:sty m:val="bi"/>
          </m:rPr>
          <w:rPr>
            <w:rFonts w:ascii="Cambria Math" w:hAnsi="Cambria Math"/>
          </w:rPr>
          <m:t>I</m:t>
        </m:r>
      </m:oMath>
      <w:r>
        <w:rPr>
          <w:bCs/>
        </w:rPr>
        <w:t xml:space="preserve"> for convenience in our simulations and experimental analysis. This doesn’t allow for interactions between state vectors and may limit the usage in some situations. However, when using a Laplace approximation for the state vectors, </w:t>
      </w:r>
      <m:oMath>
        <m:r>
          <m:rPr>
            <m:sty m:val="bi"/>
          </m:rPr>
          <w:rPr>
            <w:rFonts w:ascii="Cambria Math" w:hAnsi="Cambria Math"/>
          </w:rPr>
          <m:t>F</m:t>
        </m:r>
      </m:oMath>
      <w:r>
        <w:rPr>
          <w:bCs/>
        </w:rPr>
        <w:t xml:space="preserve"> can be estimated using the EM algorithm as in </w:t>
      </w:r>
      <w:r>
        <w:rPr>
          <w:bCs/>
        </w:rPr>
        <w:fldChar w:fldCharType="begin" w:fldLock="1"/>
      </w:r>
      <w:r>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Pr>
          <w:bCs/>
        </w:rPr>
        <w:fldChar w:fldCharType="separate"/>
      </w:r>
      <w:r w:rsidRPr="00F1138E">
        <w:rPr>
          <w:bCs/>
          <w:noProof/>
        </w:rPr>
        <w:t>(Macke et al. 2011)</w:t>
      </w:r>
      <w:r>
        <w:rPr>
          <w:bCs/>
        </w:rPr>
        <w:fldChar w:fldCharType="end"/>
      </w:r>
      <w:r>
        <w:rPr>
          <w:bCs/>
        </w:rPr>
        <w:t xml:space="preserve">. Secondly, although the CMP distribution can flexibly model over- and under-dispersed data, the assumed mean-variance relationship may not be appropriate in some cases. To more flexibly model the dispersion for single observations, it may be useful to instead consider the generalized count (GC) distribution </w:t>
      </w:r>
      <w:r>
        <w:rPr>
          <w:bCs/>
        </w:rPr>
        <w:fldChar w:fldCharType="begin" w:fldLock="1"/>
      </w:r>
      <w:r>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Pr>
          <w:bCs/>
        </w:rPr>
        <w:fldChar w:fldCharType="separate"/>
      </w:r>
      <w:r w:rsidRPr="00D96925">
        <w:rPr>
          <w:bCs/>
          <w:noProof/>
        </w:rPr>
        <w:t>(del Castillo and Pérez-Casany 2005)</w:t>
      </w:r>
      <w:r>
        <w:rPr>
          <w:bCs/>
        </w:rPr>
        <w:fldChar w:fldCharType="end"/>
      </w:r>
      <w:r>
        <w:rPr>
          <w:bCs/>
        </w:rPr>
        <w:t xml:space="preserve">, which includes the CMP distribution as a special case. This model has been applied in the context of linear dynamical systems, similar to the dynamical factor analysis model,  with a fixed dispersion function </w:t>
      </w:r>
      <w:r>
        <w:rPr>
          <w:bCs/>
        </w:rPr>
        <w:fldChar w:fldCharType="begin" w:fldLock="1"/>
      </w:r>
      <w:r>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Pr>
          <w:bCs/>
        </w:rPr>
        <w:fldChar w:fldCharType="separate"/>
      </w:r>
      <w:r w:rsidRPr="00552DBA">
        <w:rPr>
          <w:bCs/>
          <w:noProof/>
        </w:rPr>
        <w:t>(Gao et al. 2015)</w:t>
      </w:r>
      <w:r>
        <w:rPr>
          <w:bCs/>
        </w:rPr>
        <w:fldChar w:fldCharType="end"/>
      </w:r>
      <w:r>
        <w:rPr>
          <w:bCs/>
        </w:rPr>
        <w:t>. To track fluctuations in dispersion</w:t>
      </w:r>
      <w:r w:rsidRPr="003913F6">
        <w:rPr>
          <w:bCs/>
        </w:rPr>
        <w:t xml:space="preserve"> </w:t>
      </w:r>
      <w:r>
        <w:rPr>
          <w:bCs/>
        </w:rPr>
        <w:t xml:space="preserve">more flexibly, it could be useful to allow the function to vary dynamically similar to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Pr>
          <w:bCs/>
        </w:rPr>
        <w:t xml:space="preserve"> in the dynamic CMP model here.</w:t>
      </w:r>
    </w:p>
    <w:p w14:paraId="321143E4" w14:textId="77777777" w:rsidR="00162431" w:rsidRDefault="00162431" w:rsidP="00A85603">
      <w:pPr>
        <w:spacing w:line="240" w:lineRule="auto"/>
      </w:pPr>
    </w:p>
    <w:p w14:paraId="33414CD0" w14:textId="0524FC59" w:rsidR="007C4FA6" w:rsidRDefault="00A84637" w:rsidP="007C4FA6">
      <w:pPr>
        <w:spacing w:line="240" w:lineRule="auto"/>
      </w:pPr>
      <w:r>
        <w:t>The best modeling strategy also likely depends on what research</w:t>
      </w:r>
      <w:r w:rsidR="009D27B9">
        <w:t>ers</w:t>
      </w:r>
      <w:r>
        <w:t xml:space="preserve"> want to know about the variability. Omitted variables </w:t>
      </w:r>
      <w:r>
        <w:fldChar w:fldCharType="begin" w:fldLock="1"/>
      </w:r>
      <w:r w:rsidR="00FD4986">
        <w:instrText>ADDIN CSL_CITATION {"citationItems":[{"id":"ITEM-1","itemData":{"DOI":"10.1162/neco_a_01138","ISSN":"0899-7667","abstract":"Generalized linear models (GLMs) have a wide range of applications in systems neuroscience describing the encoding of stimulus and behavioral variables, as well as the dynamics of single neurons. However, in any given experiment, many variables that have an impact on neural activity are not observed or not modeled. Here we demonstrate, in both theory and practice, how these omitted variables can result in biased parameter estimates for the effects that are included. In three case studies, we estimate tuning functions for common experiments in motor cortex, hippocampus, and visual cortex. We find that including traditionally omitted variables changes estimates of the original parameters and that modulation originally attributed to one variable is reduced after new variables are included. In GLMs describing single-neuron dynamics, we then demonstrate how postspike history effects can also be biased by omitted variables. Here we find that omitted variable bias can lead to mistaken conclusions about the stability of single-neuron firing. Omitted variable bias can appear in any model with confounders?where omitted variables modulate neural activity and the effects of the omitted variables covary with the included effects. Understanding how and to what extent omitted variable bias affects parameter estimates is likely to be important for interpreting the parameters and predictions of many neural encoding models.","author":[{"dropping-particle":"","family":"Stevenson","given":"Ian H.","non-dropping-particle":"","parse-names":false,"suffix":""}],"container-title":"Neural Computation","id":"ITEM-1","issue":"12","issued":{"date-parts":[["2018","10","12"]]},"note":"doi: 10.1162/neco_a_01138","page":"3227-3258","publisher":"MIT Press","title":"Omitted Variable Bias in GLMs of Neural Spiking Activity","type":"article-journal","volume":"30"},"uris":["http://www.mendeley.com/documents/?uuid=9d93074a-990e-4522-9892-bd543bea44fb"]},{"id":"ITEM-2","itemData":{"DOI":"10.1038/nn.3711","ISSN":"1546-1726","PMID":"24777419","abstract":"The authors developed a model of neuron firing in which spike generation arises from the combination of sensory drive and stimulus-independent modulatory influences. This model provides an accurate account of neuron responses in multiple visual areas, suggesting that variability originates from excitability fluctuations that increase in strength along the visual pathway. Responses of sensory neurons differ across repeated measurements. This variability is usually treated as stochasticity arising within neurons or neural circuits. However, some portion of the variability arises from fluctuations in excitability due to factors that are not purely sensory, such as arousal, attention and adaptation. To isolate these fluctuations, we developed a model in which spikes are generated by a Poisson process whose rate is the product of a drive that is sensory in origin and a gain summarizing stimulus-independent modulatory influences on excitability. This model provides an accurate account of response distributions of visual neurons in macaque lateral geniculate nucleus and cortical areas V1, V2 and MT, revealing that variability originates in large part from excitability fluctuations that are correlated over time and between neurons, and that increase in strength along the visual pathway. The model provides a parsimonious explanation for observed systematic dependencies of response variability and covariability on firing rate.","author":[{"dropping-particle":"","family":"Goris","given":"Robbe L.T.","non-dropping-particle":"","parse-names":false,"suffix":""},{"dropping-particle":"","family":"Movshon","given":"J. Anthony","non-dropping-particle":"","parse-names":false,"suffix":""},{"dropping-particle":"","family":"Simoncelli","given":"Eero P.","non-dropping-particle":"","parse-names":false,"suffix":""}],"container-title":"Nature Neuroscience 2014 17:6","id":"ITEM-2","issue":"6","issued":{"date-parts":[["2014","4","28"]]},"page":"858-865","publisher":"Nature Publishing Group","title":"Partitioning neuronal variability","type":"article-journal","volume":"17"},"uris":["http://www.mendeley.com/documents/?uuid=3c079da5-8241-34b9-857d-b0c5933b305a"]}],"mendeley":{"formattedCitation":"(Goris et al. 2014; Stevenson 2018)","plainTextFormattedCitation":"(Goris et al. 2014; Stevenson 2018)","previouslyFormattedCitation":"(Goris et al. 2014; Stevenson 2018)"},"properties":{"noteIndex":0},"schema":"https://github.com/citation-style-language/schema/raw/master/csl-citation.json"}</w:instrText>
      </w:r>
      <w:r>
        <w:fldChar w:fldCharType="separate"/>
      </w:r>
      <w:r w:rsidR="00160C44" w:rsidRPr="00160C44">
        <w:rPr>
          <w:noProof/>
        </w:rPr>
        <w:t>(Goris et al. 2014; Stevenson 2018)</w:t>
      </w:r>
      <w:r>
        <w:fldChar w:fldCharType="end"/>
      </w:r>
      <w:r>
        <w:t xml:space="preserve"> and history effects</w:t>
      </w:r>
      <w:r w:rsidR="00160C44">
        <w:t xml:space="preserve"> </w:t>
      </w:r>
      <w:r w:rsidR="00FD4986">
        <w:fldChar w:fldCharType="begin" w:fldLock="1"/>
      </w:r>
      <w:r w:rsidR="00FD4986">
        <w:instrText>ADDIN CSL_CITATION {"citationItems":[{"id":"ITEM-1","itemData":{"DOI":"10.1152/JN.01171.2003/ASSET/IMAGES/LARGE/Z9K0070439270008.JPEG","ISSN":"00223077","PMID":"15277596","abstract":"Recent studies have revealed striking precision in the spike trains of retinal ganglion cells in several species and suggested that this precision could be an important aspect of visual signaling. However, the precision of spike trains has not yet been described in primate retina. The spike time and count variability of parasol (magnocellular-projecting) retinal ganglion cells was examined in isolated macaque monkey retinas stimulated with repeated presentations of high contrast, spatially uniform intensity modulation. At the onset of clearly delineated periods of firing, retinal ganglion cells fired spikes time-locked to the stimulus with a variability across trials as low as 1 ms. Spike count variance across trials was much lower than the mean and sometimes approached the minimum variance possible with discrete counts, inconsistent with Poisson statistics expected from independently generated spikes. Spike time and count variability decreased systematically with stimulus strength. These findings were consistent with a model in which firing probability was determined by a stimulus-driven free firing rate modulated by a recovery function representing the action potential absolute and relative refractory period.","author":[{"dropping-particle":"","family":"Uzzell","given":"V. J.","non-dropping-particle":"","parse-names":false,"suffix":""},{"dropping-particle":"","family":"Chichilnisky","given":"E. J.","non-dropping-particle":"","parse-names":false,"suffix":""}],"container-title":"Journal of Neurophysiology","id":"ITEM-1","issue":"2","issued":{"date-parts":[["2004","8"]]},"page":"780-789","publisher":"American Physiological Society","title":"Precision of spike trains in primate retinal ganglion cells","type":"article-journal","volume":"92"},"uris":["http://www.mendeley.com/documents/?uuid=6d1f266a-5e14-3fba-bd1f-43aa6f7d59f4"]}],"mendeley":{"formattedCitation":"(Uzzell and Chichilnisky 2004)","plainTextFormattedCitation":"(Uzzell and Chichilnisky 2004)"},"properties":{"noteIndex":0},"schema":"https://github.com/citation-style-language/schema/raw/master/csl-citation.json"}</w:instrText>
      </w:r>
      <w:r w:rsidR="00FD4986">
        <w:fldChar w:fldCharType="separate"/>
      </w:r>
      <w:r w:rsidR="00FD4986" w:rsidRPr="00FD4986">
        <w:rPr>
          <w:noProof/>
        </w:rPr>
        <w:t>(Uzzell and Chichilnisky 2004)</w:t>
      </w:r>
      <w:r w:rsidR="00FD4986">
        <w:fldChar w:fldCharType="end"/>
      </w:r>
      <w:r>
        <w:t xml:space="preserve"> can </w:t>
      </w:r>
      <w:r w:rsidR="00AE3875">
        <w:t xml:space="preserve">alter </w:t>
      </w:r>
      <w:r>
        <w:t>apparent observation</w:t>
      </w:r>
      <w:r w:rsidR="009D27B9">
        <w:t xml:space="preserve"> noise</w:t>
      </w:r>
      <w:r>
        <w:t xml:space="preserve">.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with CMP observations. However, doubly stochastic Poisson models </w:t>
      </w:r>
      <w:r>
        <w:fldChar w:fldCharType="begin" w:fldLock="1"/>
      </w:r>
      <w:r w:rsidR="006C07EE">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C07EE">
        <w:rPr>
          <w:rFonts w:hint="eastAsia"/>
        </w:rPr>
        <w:instrText>the IIG model gave the best description of the burst frequency, i.e. ISIs</w:instrText>
      </w:r>
      <w:r w:rsidR="006C07EE">
        <w:rPr>
          <w:rFonts w:hint="eastAsia"/>
        </w:rPr>
        <w:instrText>≤</w:instrText>
      </w:r>
      <w:r w:rsidR="006C07EE">
        <w:rPr>
          <w:rFonts w:hint="eastAsia"/>
        </w:rPr>
        <w:instrText>20 ms. The findings suggest that bursts are a significant component of place cell spiking activity even when position and the background variable, theta phase, are taken into accoun</w:instrText>
      </w:r>
      <w:r w:rsidR="006C07EE">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rsidR="00297C7A">
        <w:instrText>ADDIN CSL_CITATION {"citationItems":[{"id":"ITEM-1","itemData":{"abstract":"Characterizing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Systems","id":"ITEM-1","issued":{"date-parts":[["2012"]]},"number-of-pages":"1898-1906","title":"Fully Bayesian inference for neural models with negative-binomial spiking","type":"report","volume":"25"},"uris":["http://www.mendeley.com/documents/?uuid=9df4c7aa-f240-3397-9a81-02ebfbb2a538"]},{"id":"ITEM-2","itemData":{"abstract":"Latent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Systems","id":"ITEM-2","issued":{"date-parts":[["2015"]]},"number-of-pages":"2044-2052","title":"High-dimensional neural spike train analysis with generalized count linear dynamical systems","type":"report","volume":"28"},"uris":["http://www.mendeley.com/documents/?uuid=65f762cf-9018-3f07-9ba4-f9a5399a117e"]}],"mendeley":{"formattedCitation":"(Gao et al. 2015; Pillow and Scott 2012)","plainTextFormattedCitation":"(Gao et al. 2015; Pillow and Scott 2012)","previouslyFormattedCitation":"(Gao et al. 2015; Pillow and Scott 2012)"},"properties":{"noteIndex":0},"schema":"https://github.com/citation-style-language/schema/raw/master/csl-citation.json"}</w:instrText>
      </w:r>
      <w:r>
        <w:fldChar w:fldCharType="separate"/>
      </w:r>
      <w:r w:rsidR="006C07EE" w:rsidRPr="006C07EE">
        <w:rPr>
          <w:noProof/>
        </w:rPr>
        <w:t>(Gao et al. 2015; Pillow and Scott 2012)</w:t>
      </w:r>
      <w:r>
        <w:fldChar w:fldCharType="end"/>
      </w:r>
      <w:r>
        <w:t xml:space="preserve"> may also be able to account for some differences in the variance over time.</w:t>
      </w:r>
      <w:r w:rsidR="00162431">
        <w:t xml:space="preserve"> Nonetheless, the dynamic CMP model may provide a useful tool for neuroscientists to study the role of variance directly. Since </w:t>
      </w:r>
      <w:r w:rsidR="00E127B0">
        <w:t>the</w:t>
      </w:r>
      <w:r w:rsidR="007C4FA6">
        <w:t xml:space="preserve"> static CMP model </w:t>
      </w:r>
      <w:r w:rsidR="00E127B0">
        <w:t>can</w:t>
      </w:r>
      <w:r w:rsidR="007C4FA6">
        <w:t xml:space="preserve"> improve decoding</w:t>
      </w:r>
      <w:r w:rsidR="00162431">
        <w:t xml:space="preserve"> of external variables</w:t>
      </w:r>
      <w:r w:rsidR="00E127B0">
        <w:t xml:space="preserve"> in some cases</w:t>
      </w:r>
      <w:r w:rsidR="007C4FA6">
        <w:t xml:space="preserve"> </w:t>
      </w:r>
      <w:r w:rsidR="007C4FA6">
        <w:fldChar w:fldCharType="begin" w:fldLock="1"/>
      </w:r>
      <w:r w:rsidR="007C4FA6">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rsidR="007C4FA6">
        <w:fldChar w:fldCharType="separate"/>
      </w:r>
      <w:r w:rsidR="007C4FA6" w:rsidRPr="00D27569">
        <w:rPr>
          <w:noProof/>
        </w:rPr>
        <w:t>(Ghanbari et al. 2019)</w:t>
      </w:r>
      <w:r w:rsidR="007C4FA6">
        <w:fldChar w:fldCharType="end"/>
      </w:r>
      <w:r w:rsidR="007C4FA6">
        <w:t xml:space="preserve">, the dynamic CMP may </w:t>
      </w:r>
      <w:r w:rsidR="00162431">
        <w:t>lead to</w:t>
      </w:r>
      <w:r w:rsidR="00E127B0">
        <w:t xml:space="preserve"> further</w:t>
      </w:r>
      <w:r w:rsidR="00162431">
        <w:t xml:space="preserve"> improvements in decoding by tracking </w:t>
      </w:r>
      <w:proofErr w:type="spellStart"/>
      <w:r w:rsidR="00162431">
        <w:t>nonstationarity</w:t>
      </w:r>
      <w:proofErr w:type="spellEnd"/>
      <w:r w:rsidR="00162431">
        <w:t xml:space="preserve"> in neural response properties</w:t>
      </w:r>
      <w:r w:rsidR="007C4FA6">
        <w:t xml:space="preserve">. </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029D0F7D" w14:textId="14C3B065" w:rsidR="00FD4986" w:rsidRPr="00FD4986" w:rsidRDefault="00D27569" w:rsidP="00FD4986">
      <w:pPr>
        <w:widowControl w:val="0"/>
        <w:autoSpaceDE w:val="0"/>
        <w:autoSpaceDN w:val="0"/>
        <w:adjustRightInd w:val="0"/>
        <w:spacing w:line="240" w:lineRule="auto"/>
        <w:rPr>
          <w:rFonts w:ascii="Times New Roman" w:hAnsi="Times New Roman" w:cs="Times New Roman"/>
          <w:noProof/>
        </w:rPr>
      </w:pPr>
      <w:r>
        <w:lastRenderedPageBreak/>
        <w:fldChar w:fldCharType="begin" w:fldLock="1"/>
      </w:r>
      <w:r>
        <w:instrText xml:space="preserve">ADDIN Mendeley Bibliography CSL_BIBLIOGRAPHY </w:instrText>
      </w:r>
      <w:r>
        <w:fldChar w:fldCharType="separate"/>
      </w:r>
      <w:r w:rsidR="00FD4986" w:rsidRPr="00FD4986">
        <w:rPr>
          <w:rFonts w:ascii="Times New Roman" w:hAnsi="Times New Roman" w:cs="Times New Roman"/>
          <w:b/>
          <w:bCs/>
          <w:noProof/>
        </w:rPr>
        <w:t>Amarasingham A</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Chen TL</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Geman S</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Harrison MT</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Sheinberg DL</w:t>
      </w:r>
      <w:r w:rsidR="00FD4986" w:rsidRPr="00FD4986">
        <w:rPr>
          <w:rFonts w:ascii="Times New Roman" w:hAnsi="Times New Roman" w:cs="Times New Roman"/>
          <w:noProof/>
        </w:rPr>
        <w:t xml:space="preserve">. Spike Count Reliability and the Poisson Hypothesis. </w:t>
      </w:r>
      <w:r w:rsidR="00FD4986" w:rsidRPr="00FD4986">
        <w:rPr>
          <w:rFonts w:ascii="Times New Roman" w:hAnsi="Times New Roman" w:cs="Times New Roman"/>
          <w:i/>
          <w:iCs/>
          <w:noProof/>
        </w:rPr>
        <w:t>J Neurosci</w:t>
      </w:r>
      <w:r w:rsidR="00FD4986" w:rsidRPr="00FD4986">
        <w:rPr>
          <w:rFonts w:ascii="Times New Roman" w:hAnsi="Times New Roman" w:cs="Times New Roman"/>
          <w:noProof/>
        </w:rPr>
        <w:t xml:space="preserve"> 26: 801–809, 2006.</w:t>
      </w:r>
    </w:p>
    <w:p w14:paraId="5E67D87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Quirk MC</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Construction and analysis of non-Poisson stimulus-response models of neural spiking activity.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105: 25–37, 2001.</w:t>
      </w:r>
    </w:p>
    <w:p w14:paraId="50E7636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Brown EN</w:t>
      </w:r>
      <w:r w:rsidRPr="00FD4986">
        <w:rPr>
          <w:rFonts w:ascii="Times New Roman" w:hAnsi="Times New Roman" w:cs="Times New Roman"/>
          <w:noProof/>
        </w:rPr>
        <w:t xml:space="preserve">, </w:t>
      </w:r>
      <w:r w:rsidRPr="00FD4986">
        <w:rPr>
          <w:rFonts w:ascii="Times New Roman" w:hAnsi="Times New Roman" w:cs="Times New Roman"/>
          <w:b/>
          <w:bCs/>
          <w:noProof/>
        </w:rPr>
        <w:t>Nguyen DP</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An analysis of neural receptive field plasticity by point process adaptive filtering. </w:t>
      </w:r>
      <w:r w:rsidRPr="00FD4986">
        <w:rPr>
          <w:rFonts w:ascii="Times New Roman" w:hAnsi="Times New Roman" w:cs="Times New Roman"/>
          <w:i/>
          <w:iCs/>
          <w:noProof/>
        </w:rPr>
        <w:t>Proc Natl Acad Sci</w:t>
      </w:r>
      <w:r w:rsidRPr="00FD4986">
        <w:rPr>
          <w:rFonts w:ascii="Times New Roman" w:hAnsi="Times New Roman" w:cs="Times New Roman"/>
          <w:noProof/>
        </w:rPr>
        <w:t xml:space="preserve"> 98: 12261–12266, 2001.</w:t>
      </w:r>
    </w:p>
    <w:p w14:paraId="57DE77E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del Castillo J</w:t>
      </w:r>
      <w:r w:rsidRPr="00FD4986">
        <w:rPr>
          <w:rFonts w:ascii="Times New Roman" w:hAnsi="Times New Roman" w:cs="Times New Roman"/>
          <w:noProof/>
        </w:rPr>
        <w:t xml:space="preserve">, </w:t>
      </w:r>
      <w:r w:rsidRPr="00FD4986">
        <w:rPr>
          <w:rFonts w:ascii="Times New Roman" w:hAnsi="Times New Roman" w:cs="Times New Roman"/>
          <w:b/>
          <w:bCs/>
          <w:noProof/>
        </w:rPr>
        <w:t>Pérez-Casany M</w:t>
      </w:r>
      <w:r w:rsidRPr="00FD4986">
        <w:rPr>
          <w:rFonts w:ascii="Times New Roman" w:hAnsi="Times New Roman" w:cs="Times New Roman"/>
          <w:noProof/>
        </w:rPr>
        <w:t xml:space="preserve">. Overdispersed and underdispersed Poisson generalizations. </w:t>
      </w:r>
      <w:r w:rsidRPr="00FD4986">
        <w:rPr>
          <w:rFonts w:ascii="Times New Roman" w:hAnsi="Times New Roman" w:cs="Times New Roman"/>
          <w:i/>
          <w:iCs/>
          <w:noProof/>
        </w:rPr>
        <w:t>J Stat Plan Inference</w:t>
      </w:r>
      <w:r w:rsidRPr="00FD4986">
        <w:rPr>
          <w:rFonts w:ascii="Times New Roman" w:hAnsi="Times New Roman" w:cs="Times New Roman"/>
          <w:noProof/>
        </w:rPr>
        <w:t xml:space="preserve"> 134: 486–500, 2005.</w:t>
      </w:r>
    </w:p>
    <w:p w14:paraId="0CA9FBC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Chatla SB</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Efficient estimation of COM–Poisson regression and a generalized additive model. </w:t>
      </w:r>
      <w:r w:rsidRPr="00FD4986">
        <w:rPr>
          <w:rFonts w:ascii="Times New Roman" w:hAnsi="Times New Roman" w:cs="Times New Roman"/>
          <w:i/>
          <w:iCs/>
          <w:noProof/>
        </w:rPr>
        <w:t>Comput Stat Data Anal</w:t>
      </w:r>
      <w:r w:rsidRPr="00FD4986">
        <w:rPr>
          <w:rFonts w:ascii="Times New Roman" w:hAnsi="Times New Roman" w:cs="Times New Roman"/>
          <w:noProof/>
        </w:rPr>
        <w:t xml:space="preserve"> 121: 71–88, 2018.</w:t>
      </w:r>
    </w:p>
    <w:p w14:paraId="702D09F6"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Chestek CA</w:t>
      </w:r>
      <w:r w:rsidRPr="00FD4986">
        <w:rPr>
          <w:rFonts w:ascii="Times New Roman" w:hAnsi="Times New Roman" w:cs="Times New Roman"/>
          <w:noProof/>
        </w:rPr>
        <w:t xml:space="preserve">, </w:t>
      </w:r>
      <w:r w:rsidRPr="00FD4986">
        <w:rPr>
          <w:rFonts w:ascii="Times New Roman" w:hAnsi="Times New Roman" w:cs="Times New Roman"/>
          <w:b/>
          <w:bCs/>
          <w:noProof/>
        </w:rPr>
        <w:t>Batista AP</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Afshar A</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Gilja V</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Single-neuron stability during repeated reaching in macaque premotor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27: 10742–10750, 2007.</w:t>
      </w:r>
    </w:p>
    <w:p w14:paraId="0AE4083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AK</w:t>
      </w:r>
      <w:r w:rsidRPr="00FD4986">
        <w:rPr>
          <w:rFonts w:ascii="Times New Roman" w:hAnsi="Times New Roman" w:cs="Times New Roman"/>
          <w:noProof/>
        </w:rPr>
        <w:t xml:space="preserve">, </w:t>
      </w:r>
      <w:r w:rsidRPr="00FD4986">
        <w:rPr>
          <w:rFonts w:ascii="Times New Roman" w:hAnsi="Times New Roman" w:cs="Times New Roman"/>
          <w:b/>
          <w:bCs/>
          <w:noProof/>
        </w:rPr>
        <w:t>Kiani R</w:t>
      </w:r>
      <w:r w:rsidRPr="00FD4986">
        <w:rPr>
          <w:rFonts w:ascii="Times New Roman" w:hAnsi="Times New Roman" w:cs="Times New Roman"/>
          <w:noProof/>
        </w:rPr>
        <w:t xml:space="preserve">, </w:t>
      </w:r>
      <w:r w:rsidRPr="00FD4986">
        <w:rPr>
          <w:rFonts w:ascii="Times New Roman" w:hAnsi="Times New Roman" w:cs="Times New Roman"/>
          <w:b/>
          <w:bCs/>
          <w:noProof/>
        </w:rPr>
        <w:t>Chaudhuri R</w:t>
      </w:r>
      <w:r w:rsidRPr="00FD4986">
        <w:rPr>
          <w:rFonts w:ascii="Times New Roman" w:hAnsi="Times New Roman" w:cs="Times New Roman"/>
          <w:noProof/>
        </w:rPr>
        <w:t xml:space="preserve">, </w:t>
      </w:r>
      <w:r w:rsidRPr="00FD4986">
        <w:rPr>
          <w:rFonts w:ascii="Times New Roman" w:hAnsi="Times New Roman" w:cs="Times New Roman"/>
          <w:b/>
          <w:bCs/>
          <w:noProof/>
        </w:rPr>
        <w:t>Wang XJ</w:t>
      </w:r>
      <w:r w:rsidRPr="00FD4986">
        <w:rPr>
          <w:rFonts w:ascii="Times New Roman" w:hAnsi="Times New Roman" w:cs="Times New Roman"/>
          <w:noProof/>
        </w:rPr>
        <w:t xml:space="preserve">, </w:t>
      </w:r>
      <w:r w:rsidRPr="00FD4986">
        <w:rPr>
          <w:rFonts w:ascii="Times New Roman" w:hAnsi="Times New Roman" w:cs="Times New Roman"/>
          <w:b/>
          <w:bCs/>
          <w:noProof/>
        </w:rPr>
        <w:t>Pouget A</w:t>
      </w:r>
      <w:r w:rsidRPr="00FD4986">
        <w:rPr>
          <w:rFonts w:ascii="Times New Roman" w:hAnsi="Times New Roman" w:cs="Times New Roman"/>
          <w:noProof/>
        </w:rPr>
        <w:t xml:space="preserve">, </w:t>
      </w:r>
      <w:r w:rsidRPr="00FD4986">
        <w:rPr>
          <w:rFonts w:ascii="Times New Roman" w:hAnsi="Times New Roman" w:cs="Times New Roman"/>
          <w:b/>
          <w:bCs/>
          <w:noProof/>
        </w:rPr>
        <w:t>Shadlen MN</w:t>
      </w:r>
      <w:r w:rsidRPr="00FD4986">
        <w:rPr>
          <w:rFonts w:ascii="Times New Roman" w:hAnsi="Times New Roman" w:cs="Times New Roman"/>
          <w:noProof/>
        </w:rPr>
        <w:t xml:space="preserve">. Variance as a Signature of Neural Computations during Decision Making. </w:t>
      </w:r>
      <w:r w:rsidRPr="00FD4986">
        <w:rPr>
          <w:rFonts w:ascii="Times New Roman" w:hAnsi="Times New Roman" w:cs="Times New Roman"/>
          <w:i/>
          <w:iCs/>
          <w:noProof/>
        </w:rPr>
        <w:t>Neuron</w:t>
      </w:r>
      <w:r w:rsidRPr="00FD4986">
        <w:rPr>
          <w:rFonts w:ascii="Times New Roman" w:hAnsi="Times New Roman" w:cs="Times New Roman"/>
          <w:noProof/>
        </w:rPr>
        <w:t xml:space="preserve"> 69: 818–831, 2011.</w:t>
      </w:r>
    </w:p>
    <w:p w14:paraId="691B3A4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Sugrue LP</w:t>
      </w:r>
      <w:r w:rsidRPr="00FD4986">
        <w:rPr>
          <w:rFonts w:ascii="Times New Roman" w:hAnsi="Times New Roman" w:cs="Times New Roman"/>
          <w:noProof/>
        </w:rPr>
        <w:t xml:space="preserve">, </w:t>
      </w:r>
      <w:r w:rsidRPr="00FD4986">
        <w:rPr>
          <w:rFonts w:ascii="Times New Roman" w:hAnsi="Times New Roman" w:cs="Times New Roman"/>
          <w:b/>
          <w:bCs/>
          <w:noProof/>
        </w:rPr>
        <w:t>Cohen MR</w:t>
      </w:r>
      <w:r w:rsidRPr="00FD4986">
        <w:rPr>
          <w:rFonts w:ascii="Times New Roman" w:hAnsi="Times New Roman" w:cs="Times New Roman"/>
          <w:noProof/>
        </w:rPr>
        <w:t xml:space="preserve">, </w:t>
      </w:r>
      <w:r w:rsidRPr="00FD4986">
        <w:rPr>
          <w:rFonts w:ascii="Times New Roman" w:hAnsi="Times New Roman" w:cs="Times New Roman"/>
          <w:b/>
          <w:bCs/>
          <w:noProof/>
        </w:rPr>
        <w:t>Corrado GS</w:t>
      </w:r>
      <w:r w:rsidRPr="00FD4986">
        <w:rPr>
          <w:rFonts w:ascii="Times New Roman" w:hAnsi="Times New Roman" w:cs="Times New Roman"/>
          <w:noProof/>
        </w:rPr>
        <w:t xml:space="preserve">, </w:t>
      </w:r>
      <w:r w:rsidRPr="00FD4986">
        <w:rPr>
          <w:rFonts w:ascii="Times New Roman" w:hAnsi="Times New Roman" w:cs="Times New Roman"/>
          <w:b/>
          <w:bCs/>
          <w:noProof/>
        </w:rPr>
        <w:t>Newsome WT</w:t>
      </w:r>
      <w:r w:rsidRPr="00FD4986">
        <w:rPr>
          <w:rFonts w:ascii="Times New Roman" w:hAnsi="Times New Roman" w:cs="Times New Roman"/>
          <w:noProof/>
        </w:rPr>
        <w:t xml:space="preserve">, </w:t>
      </w:r>
      <w:r w:rsidRPr="00FD4986">
        <w:rPr>
          <w:rFonts w:ascii="Times New Roman" w:hAnsi="Times New Roman" w:cs="Times New Roman"/>
          <w:b/>
          <w:bCs/>
          <w:noProof/>
        </w:rPr>
        <w:t>Clark AM</w:t>
      </w:r>
      <w:r w:rsidRPr="00FD4986">
        <w:rPr>
          <w:rFonts w:ascii="Times New Roman" w:hAnsi="Times New Roman" w:cs="Times New Roman"/>
          <w:noProof/>
        </w:rPr>
        <w:t xml:space="preserve">, </w:t>
      </w:r>
      <w:r w:rsidRPr="00FD4986">
        <w:rPr>
          <w:rFonts w:ascii="Times New Roman" w:hAnsi="Times New Roman" w:cs="Times New Roman"/>
          <w:b/>
          <w:bCs/>
          <w:noProof/>
        </w:rPr>
        <w:t>Hosseini P</w:t>
      </w:r>
      <w:r w:rsidRPr="00FD4986">
        <w:rPr>
          <w:rFonts w:ascii="Times New Roman" w:hAnsi="Times New Roman" w:cs="Times New Roman"/>
          <w:noProof/>
        </w:rPr>
        <w:t xml:space="preserve">, </w:t>
      </w:r>
      <w:r w:rsidRPr="00FD4986">
        <w:rPr>
          <w:rFonts w:ascii="Times New Roman" w:hAnsi="Times New Roman" w:cs="Times New Roman"/>
          <w:b/>
          <w:bCs/>
          <w:noProof/>
        </w:rPr>
        <w:t>Scott BB</w:t>
      </w:r>
      <w:r w:rsidRPr="00FD4986">
        <w:rPr>
          <w:rFonts w:ascii="Times New Roman" w:hAnsi="Times New Roman" w:cs="Times New Roman"/>
          <w:noProof/>
        </w:rPr>
        <w:t xml:space="preserve">, </w:t>
      </w:r>
      <w:r w:rsidRPr="00FD4986">
        <w:rPr>
          <w:rFonts w:ascii="Times New Roman" w:hAnsi="Times New Roman" w:cs="Times New Roman"/>
          <w:b/>
          <w:bCs/>
          <w:noProof/>
        </w:rPr>
        <w:t>Bradley DC</w:t>
      </w:r>
      <w:r w:rsidRPr="00FD4986">
        <w:rPr>
          <w:rFonts w:ascii="Times New Roman" w:hAnsi="Times New Roman" w:cs="Times New Roman"/>
          <w:noProof/>
        </w:rPr>
        <w:t xml:space="preserve">, </w:t>
      </w:r>
      <w:r w:rsidRPr="00FD4986">
        <w:rPr>
          <w:rFonts w:ascii="Times New Roman" w:hAnsi="Times New Roman" w:cs="Times New Roman"/>
          <w:b/>
          <w:bCs/>
          <w:noProof/>
        </w:rPr>
        <w:t>Smith M 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Armstrong KM</w:t>
      </w:r>
      <w:r w:rsidRPr="00FD4986">
        <w:rPr>
          <w:rFonts w:ascii="Times New Roman" w:hAnsi="Times New Roman" w:cs="Times New Roman"/>
          <w:noProof/>
        </w:rPr>
        <w:t xml:space="preserve">, </w:t>
      </w:r>
      <w:r w:rsidRPr="00FD4986">
        <w:rPr>
          <w:rFonts w:ascii="Times New Roman" w:hAnsi="Times New Roman" w:cs="Times New Roman"/>
          <w:b/>
          <w:bCs/>
          <w:noProof/>
        </w:rPr>
        <w:t>Moore T</w:t>
      </w:r>
      <w:r w:rsidRPr="00FD4986">
        <w:rPr>
          <w:rFonts w:ascii="Times New Roman" w:hAnsi="Times New Roman" w:cs="Times New Roman"/>
          <w:noProof/>
        </w:rPr>
        <w:t xml:space="preserve">, </w:t>
      </w:r>
      <w:r w:rsidRPr="00FD4986">
        <w:rPr>
          <w:rFonts w:ascii="Times New Roman" w:hAnsi="Times New Roman" w:cs="Times New Roman"/>
          <w:b/>
          <w:bCs/>
          <w:noProof/>
        </w:rPr>
        <w:t>Chang SW</w:t>
      </w:r>
      <w:r w:rsidRPr="00FD4986">
        <w:rPr>
          <w:rFonts w:ascii="Times New Roman" w:hAnsi="Times New Roman" w:cs="Times New Roman"/>
          <w:noProof/>
        </w:rPr>
        <w:t xml:space="preserve">, </w:t>
      </w:r>
      <w:r w:rsidRPr="00FD4986">
        <w:rPr>
          <w:rFonts w:ascii="Times New Roman" w:hAnsi="Times New Roman" w:cs="Times New Roman"/>
          <w:b/>
          <w:bCs/>
          <w:noProof/>
        </w:rPr>
        <w:t>Snyder LH</w:t>
      </w:r>
      <w:r w:rsidRPr="00FD4986">
        <w:rPr>
          <w:rFonts w:ascii="Times New Roman" w:hAnsi="Times New Roman" w:cs="Times New Roman"/>
          <w:noProof/>
        </w:rPr>
        <w:t xml:space="preserve">, </w:t>
      </w:r>
      <w:r w:rsidRPr="00FD4986">
        <w:rPr>
          <w:rFonts w:ascii="Times New Roman" w:hAnsi="Times New Roman" w:cs="Times New Roman"/>
          <w:b/>
          <w:bCs/>
          <w:noProof/>
        </w:rPr>
        <w:t>Lisberger SG</w:t>
      </w:r>
      <w:r w:rsidRPr="00FD4986">
        <w:rPr>
          <w:rFonts w:ascii="Times New Roman" w:hAnsi="Times New Roman" w:cs="Times New Roman"/>
          <w:noProof/>
        </w:rPr>
        <w:t xml:space="preserve">, </w:t>
      </w:r>
      <w:r w:rsidRPr="00FD4986">
        <w:rPr>
          <w:rFonts w:ascii="Times New Roman" w:hAnsi="Times New Roman" w:cs="Times New Roman"/>
          <w:b/>
          <w:bCs/>
          <w:noProof/>
        </w:rPr>
        <w:t>Priebe NJ</w:t>
      </w:r>
      <w:r w:rsidRPr="00FD4986">
        <w:rPr>
          <w:rFonts w:ascii="Times New Roman" w:hAnsi="Times New Roman" w:cs="Times New Roman"/>
          <w:noProof/>
        </w:rPr>
        <w:t xml:space="preserve">, </w:t>
      </w:r>
      <w:r w:rsidRPr="00FD4986">
        <w:rPr>
          <w:rFonts w:ascii="Times New Roman" w:hAnsi="Times New Roman" w:cs="Times New Roman"/>
          <w:b/>
          <w:bCs/>
          <w:noProof/>
        </w:rPr>
        <w:t>Finn IM</w:t>
      </w:r>
      <w:r w:rsidRPr="00FD4986">
        <w:rPr>
          <w:rFonts w:ascii="Times New Roman" w:hAnsi="Times New Roman" w:cs="Times New Roman"/>
          <w:noProof/>
        </w:rPr>
        <w:t xml:space="preserve">, </w:t>
      </w:r>
      <w:r w:rsidRPr="00FD4986">
        <w:rPr>
          <w:rFonts w:ascii="Times New Roman" w:hAnsi="Times New Roman" w:cs="Times New Roman"/>
          <w:b/>
          <w:bCs/>
          <w:noProof/>
        </w:rPr>
        <w:t>Ferster D</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Stimulus onset quenches neural variability: A widespread cortical phenomenon. </w:t>
      </w:r>
      <w:r w:rsidRPr="00FD4986">
        <w:rPr>
          <w:rFonts w:ascii="Times New Roman" w:hAnsi="Times New Roman" w:cs="Times New Roman"/>
          <w:i/>
          <w:iCs/>
          <w:noProof/>
        </w:rPr>
        <w:t>Nat Neurosci</w:t>
      </w:r>
      <w:r w:rsidRPr="00FD4986">
        <w:rPr>
          <w:rFonts w:ascii="Times New Roman" w:hAnsi="Times New Roman" w:cs="Times New Roman"/>
          <w:noProof/>
        </w:rPr>
        <w:t xml:space="preserve"> 13: 369–378, 2010.</w:t>
      </w:r>
    </w:p>
    <w:p w14:paraId="5498C1D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Neural Variability in Premotor Cortex Provides a Signature of Motor Preparation. </w:t>
      </w:r>
      <w:r w:rsidRPr="00FD4986">
        <w:rPr>
          <w:rFonts w:ascii="Times New Roman" w:hAnsi="Times New Roman" w:cs="Times New Roman"/>
          <w:i/>
          <w:iCs/>
          <w:noProof/>
        </w:rPr>
        <w:t>J Neurosci</w:t>
      </w:r>
      <w:r w:rsidRPr="00FD4986">
        <w:rPr>
          <w:rFonts w:ascii="Times New Roman" w:hAnsi="Times New Roman" w:cs="Times New Roman"/>
          <w:noProof/>
        </w:rPr>
        <w:t xml:space="preserve"> 26: 3697, 2006.</w:t>
      </w:r>
    </w:p>
    <w:p w14:paraId="03521AF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Czanner G</w:t>
      </w:r>
      <w:r w:rsidRPr="00FD4986">
        <w:rPr>
          <w:rFonts w:ascii="Times New Roman" w:hAnsi="Times New Roman" w:cs="Times New Roman"/>
          <w:noProof/>
        </w:rPr>
        <w:t xml:space="preserve">, </w:t>
      </w: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Wirth S</w:t>
      </w:r>
      <w:r w:rsidRPr="00FD4986">
        <w:rPr>
          <w:rFonts w:ascii="Times New Roman" w:hAnsi="Times New Roman" w:cs="Times New Roman"/>
          <w:noProof/>
        </w:rPr>
        <w:t xml:space="preserve">, </w:t>
      </w:r>
      <w:r w:rsidRPr="00FD4986">
        <w:rPr>
          <w:rFonts w:ascii="Times New Roman" w:hAnsi="Times New Roman" w:cs="Times New Roman"/>
          <w:b/>
          <w:bCs/>
          <w:noProof/>
        </w:rPr>
        <w:t>Yanike M</w:t>
      </w:r>
      <w:r w:rsidRPr="00FD4986">
        <w:rPr>
          <w:rFonts w:ascii="Times New Roman" w:hAnsi="Times New Roman" w:cs="Times New Roman"/>
          <w:noProof/>
        </w:rPr>
        <w:t xml:space="preserve">, </w:t>
      </w:r>
      <w:r w:rsidRPr="00FD4986">
        <w:rPr>
          <w:rFonts w:ascii="Times New Roman" w:hAnsi="Times New Roman" w:cs="Times New Roman"/>
          <w:b/>
          <w:bCs/>
          <w:noProof/>
        </w:rPr>
        <w:t>Suzuki WA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Analysis of between-trial and within-trial neural spiking dynamics. </w:t>
      </w:r>
      <w:r w:rsidRPr="00FD4986">
        <w:rPr>
          <w:rFonts w:ascii="Times New Roman" w:hAnsi="Times New Roman" w:cs="Times New Roman"/>
          <w:i/>
          <w:iCs/>
          <w:noProof/>
        </w:rPr>
        <w:t>J Neurophysiol</w:t>
      </w:r>
      <w:r w:rsidRPr="00FD4986">
        <w:rPr>
          <w:rFonts w:ascii="Times New Roman" w:hAnsi="Times New Roman" w:cs="Times New Roman"/>
          <w:noProof/>
        </w:rPr>
        <w:t xml:space="preserve"> 99: 2672–2693, 2008.</w:t>
      </w:r>
    </w:p>
    <w:p w14:paraId="7FE1743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w:t>
      </w:r>
      <w:r w:rsidRPr="00FD4986">
        <w:rPr>
          <w:rFonts w:ascii="Times New Roman" w:hAnsi="Times New Roman" w:cs="Times New Roman"/>
          <w:noProof/>
        </w:rPr>
        <w:t xml:space="preserve">, </w:t>
      </w:r>
      <w:r w:rsidRPr="00FD4986">
        <w:rPr>
          <w:rFonts w:ascii="Times New Roman" w:hAnsi="Times New Roman" w:cs="Times New Roman"/>
          <w:b/>
          <w:bCs/>
          <w:noProof/>
        </w:rPr>
        <w:t>Zador A</w:t>
      </w:r>
      <w:r w:rsidRPr="00FD4986">
        <w:rPr>
          <w:rFonts w:ascii="Times New Roman" w:hAnsi="Times New Roman" w:cs="Times New Roman"/>
          <w:noProof/>
        </w:rPr>
        <w:t xml:space="preserve">. Asymmetric Dynamics in Optimal Variance Adaptation. </w:t>
      </w:r>
      <w:r w:rsidRPr="00FD4986">
        <w:rPr>
          <w:rFonts w:ascii="Times New Roman" w:hAnsi="Times New Roman" w:cs="Times New Roman"/>
          <w:i/>
          <w:iCs/>
          <w:noProof/>
        </w:rPr>
        <w:t>Neural Comput</w:t>
      </w:r>
      <w:r w:rsidRPr="00FD4986">
        <w:rPr>
          <w:rFonts w:ascii="Times New Roman" w:hAnsi="Times New Roman" w:cs="Times New Roman"/>
          <w:noProof/>
        </w:rPr>
        <w:t xml:space="preserve"> 10: 1179–1202, 1998.</w:t>
      </w:r>
    </w:p>
    <w:p w14:paraId="0734067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Wehr M</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Binary spiking in auditory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23: 7940–7949, 2003.</w:t>
      </w:r>
    </w:p>
    <w:p w14:paraId="71E92C0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Shared and private variability in the auditory cortex.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1840–1855, 2004.</w:t>
      </w:r>
    </w:p>
    <w:p w14:paraId="194B84E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Dickey AS</w:t>
      </w:r>
      <w:r w:rsidRPr="00FD4986">
        <w:rPr>
          <w:rFonts w:ascii="Times New Roman" w:hAnsi="Times New Roman" w:cs="Times New Roman"/>
          <w:noProof/>
        </w:rPr>
        <w:t xml:space="preserve">, </w:t>
      </w:r>
      <w:r w:rsidRPr="00FD4986">
        <w:rPr>
          <w:rFonts w:ascii="Times New Roman" w:hAnsi="Times New Roman" w:cs="Times New Roman"/>
          <w:b/>
          <w:bCs/>
          <w:noProof/>
        </w:rPr>
        <w:t>Suminski A</w:t>
      </w:r>
      <w:r w:rsidRPr="00FD4986">
        <w:rPr>
          <w:rFonts w:ascii="Times New Roman" w:hAnsi="Times New Roman" w:cs="Times New Roman"/>
          <w:noProof/>
        </w:rPr>
        <w:t xml:space="preserve">, </w:t>
      </w:r>
      <w:r w:rsidRPr="00FD4986">
        <w:rPr>
          <w:rFonts w:ascii="Times New Roman" w:hAnsi="Times New Roman" w:cs="Times New Roman"/>
          <w:b/>
          <w:bCs/>
          <w:noProof/>
        </w:rPr>
        <w:t>Amit Y</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Single-unit stability using chronically implanted multielectrode arrays.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102: 1331–1339, 2009.</w:t>
      </w:r>
    </w:p>
    <w:p w14:paraId="013662C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Dragoi V</w:t>
      </w:r>
      <w:r w:rsidRPr="00FD4986">
        <w:rPr>
          <w:rFonts w:ascii="Times New Roman" w:hAnsi="Times New Roman" w:cs="Times New Roman"/>
          <w:noProof/>
        </w:rPr>
        <w:t xml:space="preserve">, </w:t>
      </w:r>
      <w:r w:rsidRPr="00FD4986">
        <w:rPr>
          <w:rFonts w:ascii="Times New Roman" w:hAnsi="Times New Roman" w:cs="Times New Roman"/>
          <w:b/>
          <w:bCs/>
          <w:noProof/>
        </w:rPr>
        <w:t>Sharma J</w:t>
      </w:r>
      <w:r w:rsidRPr="00FD4986">
        <w:rPr>
          <w:rFonts w:ascii="Times New Roman" w:hAnsi="Times New Roman" w:cs="Times New Roman"/>
          <w:noProof/>
        </w:rPr>
        <w:t xml:space="preserve">, </w:t>
      </w:r>
      <w:r w:rsidRPr="00FD4986">
        <w:rPr>
          <w:rFonts w:ascii="Times New Roman" w:hAnsi="Times New Roman" w:cs="Times New Roman"/>
          <w:b/>
          <w:bCs/>
          <w:noProof/>
        </w:rPr>
        <w:t>Sur M</w:t>
      </w:r>
      <w:r w:rsidRPr="00FD4986">
        <w:rPr>
          <w:rFonts w:ascii="Times New Roman" w:hAnsi="Times New Roman" w:cs="Times New Roman"/>
          <w:noProof/>
        </w:rPr>
        <w:t xml:space="preserve">. Adaptation-Induced Plasticity of Orientation Tuning in Adult Visual Cortex. </w:t>
      </w:r>
      <w:r w:rsidRPr="00FD4986">
        <w:rPr>
          <w:rFonts w:ascii="Times New Roman" w:hAnsi="Times New Roman" w:cs="Times New Roman"/>
          <w:i/>
          <w:iCs/>
          <w:noProof/>
        </w:rPr>
        <w:t>Neuron</w:t>
      </w:r>
      <w:r w:rsidRPr="00FD4986">
        <w:rPr>
          <w:rFonts w:ascii="Times New Roman" w:hAnsi="Times New Roman" w:cs="Times New Roman"/>
          <w:noProof/>
        </w:rPr>
        <w:t xml:space="preserve"> 28: 287–298, 2000.</w:t>
      </w:r>
    </w:p>
    <w:p w14:paraId="1E77D2A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Dynamic Analysis of Neural Encoding by Point Process Adaptive Filtering. </w:t>
      </w:r>
      <w:r w:rsidRPr="00FD4986">
        <w:rPr>
          <w:rFonts w:ascii="Times New Roman" w:hAnsi="Times New Roman" w:cs="Times New Roman"/>
          <w:i/>
          <w:iCs/>
          <w:noProof/>
        </w:rPr>
        <w:t>Neural Comput</w:t>
      </w:r>
      <w:r w:rsidRPr="00FD4986">
        <w:rPr>
          <w:rFonts w:ascii="Times New Roman" w:hAnsi="Times New Roman" w:cs="Times New Roman"/>
          <w:noProof/>
        </w:rPr>
        <w:t xml:space="preserve"> 16: 971–998, 2004.</w:t>
      </w:r>
    </w:p>
    <w:p w14:paraId="75D9BF5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Fenton AA</w:t>
      </w:r>
      <w:r w:rsidRPr="00FD4986">
        <w:rPr>
          <w:rFonts w:ascii="Times New Roman" w:hAnsi="Times New Roman" w:cs="Times New Roman"/>
          <w:noProof/>
        </w:rPr>
        <w:t xml:space="preserve">, </w:t>
      </w:r>
      <w:r w:rsidRPr="00FD4986">
        <w:rPr>
          <w:rFonts w:ascii="Times New Roman" w:hAnsi="Times New Roman" w:cs="Times New Roman"/>
          <w:b/>
          <w:bCs/>
          <w:noProof/>
        </w:rPr>
        <w:t>Muller RU</w:t>
      </w:r>
      <w:r w:rsidRPr="00FD4986">
        <w:rPr>
          <w:rFonts w:ascii="Times New Roman" w:hAnsi="Times New Roman" w:cs="Times New Roman"/>
          <w:noProof/>
        </w:rPr>
        <w:t xml:space="preserve">. Place cell discharge is extremely variable during individual passes of the rat through the firing field. </w:t>
      </w:r>
      <w:r w:rsidRPr="00FD4986">
        <w:rPr>
          <w:rFonts w:ascii="Times New Roman" w:hAnsi="Times New Roman" w:cs="Times New Roman"/>
          <w:i/>
          <w:iCs/>
          <w:noProof/>
        </w:rPr>
        <w:t>Proc Natl Acad Sci U S A</w:t>
      </w:r>
      <w:r w:rsidRPr="00FD4986">
        <w:rPr>
          <w:rFonts w:ascii="Times New Roman" w:hAnsi="Times New Roman" w:cs="Times New Roman"/>
          <w:noProof/>
        </w:rPr>
        <w:t xml:space="preserve"> 95: 3182–3187, 1998.</w:t>
      </w:r>
    </w:p>
    <w:p w14:paraId="3D8D598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Gao Y</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i/>
          <w:iCs/>
          <w:noProof/>
        </w:rPr>
        <w:t>High-dimensional neural spike train analysis with generalized count linear dynamical systems</w:t>
      </w:r>
      <w:r w:rsidRPr="00FD4986">
        <w:rPr>
          <w:rFonts w:ascii="Times New Roman" w:hAnsi="Times New Roman" w:cs="Times New Roman"/>
          <w:noProof/>
        </w:rPr>
        <w:t>. 2015.</w:t>
      </w:r>
    </w:p>
    <w:p w14:paraId="72B19DFC"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Gaunt RE</w:t>
      </w:r>
      <w:r w:rsidRPr="00FD4986">
        <w:rPr>
          <w:rFonts w:ascii="Times New Roman" w:hAnsi="Times New Roman" w:cs="Times New Roman"/>
          <w:noProof/>
        </w:rPr>
        <w:t xml:space="preserve">, </w:t>
      </w:r>
      <w:r w:rsidRPr="00FD4986">
        <w:rPr>
          <w:rFonts w:ascii="Times New Roman" w:hAnsi="Times New Roman" w:cs="Times New Roman"/>
          <w:b/>
          <w:bCs/>
          <w:noProof/>
        </w:rPr>
        <w:t>Iyengar S</w:t>
      </w:r>
      <w:r w:rsidRPr="00FD4986">
        <w:rPr>
          <w:rFonts w:ascii="Times New Roman" w:hAnsi="Times New Roman" w:cs="Times New Roman"/>
          <w:noProof/>
        </w:rPr>
        <w:t xml:space="preserve">, </w:t>
      </w:r>
      <w:r w:rsidRPr="00FD4986">
        <w:rPr>
          <w:rFonts w:ascii="Times New Roman" w:hAnsi="Times New Roman" w:cs="Times New Roman"/>
          <w:b/>
          <w:bCs/>
          <w:noProof/>
        </w:rPr>
        <w:t>Olde Daalhuis AB</w:t>
      </w:r>
      <w:r w:rsidRPr="00FD4986">
        <w:rPr>
          <w:rFonts w:ascii="Times New Roman" w:hAnsi="Times New Roman" w:cs="Times New Roman"/>
          <w:noProof/>
        </w:rPr>
        <w:t xml:space="preserve">, </w:t>
      </w:r>
      <w:r w:rsidRPr="00FD4986">
        <w:rPr>
          <w:rFonts w:ascii="Times New Roman" w:hAnsi="Times New Roman" w:cs="Times New Roman"/>
          <w:b/>
          <w:bCs/>
          <w:noProof/>
        </w:rPr>
        <w:t>Simsek B</w:t>
      </w:r>
      <w:r w:rsidRPr="00FD4986">
        <w:rPr>
          <w:rFonts w:ascii="Times New Roman" w:hAnsi="Times New Roman" w:cs="Times New Roman"/>
          <w:noProof/>
        </w:rPr>
        <w:t xml:space="preserve">, </w:t>
      </w:r>
      <w:r w:rsidRPr="00FD4986">
        <w:rPr>
          <w:rFonts w:ascii="Times New Roman" w:hAnsi="Times New Roman" w:cs="Times New Roman"/>
          <w:b/>
          <w:bCs/>
          <w:noProof/>
        </w:rPr>
        <w:t>Robert Gaunt BE</w:t>
      </w:r>
      <w:r w:rsidRPr="00FD4986">
        <w:rPr>
          <w:rFonts w:ascii="Times New Roman" w:hAnsi="Times New Roman" w:cs="Times New Roman"/>
          <w:noProof/>
        </w:rPr>
        <w:t xml:space="preserve">. An asymptotic expansion for the normalizing constant of the Conway-Maxwell-Poisson distribution. </w:t>
      </w:r>
      <w:r w:rsidRPr="00FD4986">
        <w:rPr>
          <w:rFonts w:ascii="Times New Roman" w:hAnsi="Times New Roman" w:cs="Times New Roman"/>
          <w:i/>
          <w:iCs/>
          <w:noProof/>
        </w:rPr>
        <w:t>Ann Inst Stat Math</w:t>
      </w:r>
      <w:r w:rsidRPr="00FD4986">
        <w:rPr>
          <w:rFonts w:ascii="Times New Roman" w:hAnsi="Times New Roman" w:cs="Times New Roman"/>
          <w:noProof/>
        </w:rPr>
        <w:t xml:space="preserve"> 71: 163–180, 2019.</w:t>
      </w:r>
    </w:p>
    <w:p w14:paraId="2306C0F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Ghanbari A</w:t>
      </w:r>
      <w:r w:rsidRPr="00FD4986">
        <w:rPr>
          <w:rFonts w:ascii="Times New Roman" w:hAnsi="Times New Roman" w:cs="Times New Roman"/>
          <w:noProof/>
        </w:rPr>
        <w:t xml:space="preserve">, </w:t>
      </w:r>
      <w:r w:rsidRPr="00FD4986">
        <w:rPr>
          <w:rFonts w:ascii="Times New Roman" w:hAnsi="Times New Roman" w:cs="Times New Roman"/>
          <w:b/>
          <w:bCs/>
          <w:noProof/>
        </w:rPr>
        <w:t>Lee CM</w:t>
      </w:r>
      <w:r w:rsidRPr="00FD4986">
        <w:rPr>
          <w:rFonts w:ascii="Times New Roman" w:hAnsi="Times New Roman" w:cs="Times New Roman"/>
          <w:noProof/>
        </w:rPr>
        <w:t xml:space="preserve">, </w:t>
      </w:r>
      <w:r w:rsidRPr="00FD4986">
        <w:rPr>
          <w:rFonts w:ascii="Times New Roman" w:hAnsi="Times New Roman" w:cs="Times New Roman"/>
          <w:b/>
          <w:bCs/>
          <w:noProof/>
        </w:rPr>
        <w:t>Read HL</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Modeling stimulus-dependent variability improves decoding of population neural responses. </w:t>
      </w:r>
      <w:r w:rsidRPr="00FD4986">
        <w:rPr>
          <w:rFonts w:ascii="Times New Roman" w:hAnsi="Times New Roman" w:cs="Times New Roman"/>
          <w:i/>
          <w:iCs/>
          <w:noProof/>
        </w:rPr>
        <w:t>J Neural Eng</w:t>
      </w:r>
      <w:r w:rsidRPr="00FD4986">
        <w:rPr>
          <w:rFonts w:ascii="Times New Roman" w:hAnsi="Times New Roman" w:cs="Times New Roman"/>
          <w:noProof/>
        </w:rPr>
        <w:t xml:space="preserve"> 16, 2019.</w:t>
      </w:r>
    </w:p>
    <w:p w14:paraId="552667E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Goris RLT</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Simoncelli EP</w:t>
      </w:r>
      <w:r w:rsidRPr="00FD4986">
        <w:rPr>
          <w:rFonts w:ascii="Times New Roman" w:hAnsi="Times New Roman" w:cs="Times New Roman"/>
          <w:noProof/>
        </w:rPr>
        <w:t xml:space="preserve">. Partitioning neuronal variability. </w:t>
      </w:r>
      <w:r w:rsidRPr="00FD4986">
        <w:rPr>
          <w:rFonts w:ascii="Times New Roman" w:hAnsi="Times New Roman" w:cs="Times New Roman"/>
          <w:i/>
          <w:iCs/>
          <w:noProof/>
        </w:rPr>
        <w:t>Nat Neurosci 2014 176</w:t>
      </w:r>
      <w:r w:rsidRPr="00FD4986">
        <w:rPr>
          <w:rFonts w:ascii="Times New Roman" w:hAnsi="Times New Roman" w:cs="Times New Roman"/>
          <w:noProof/>
        </w:rPr>
        <w:t xml:space="preserve"> 17: 858–865, 2014.</w:t>
      </w:r>
    </w:p>
    <w:p w14:paraId="3D6BDE8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Gupta RC</w:t>
      </w:r>
      <w:r w:rsidRPr="00FD4986">
        <w:rPr>
          <w:rFonts w:ascii="Times New Roman" w:hAnsi="Times New Roman" w:cs="Times New Roman"/>
          <w:noProof/>
        </w:rPr>
        <w:t xml:space="preserve">, </w:t>
      </w:r>
      <w:r w:rsidRPr="00FD4986">
        <w:rPr>
          <w:rFonts w:ascii="Times New Roman" w:hAnsi="Times New Roman" w:cs="Times New Roman"/>
          <w:b/>
          <w:bCs/>
          <w:noProof/>
        </w:rPr>
        <w:t>Sim SZ</w:t>
      </w:r>
      <w:r w:rsidRPr="00FD4986">
        <w:rPr>
          <w:rFonts w:ascii="Times New Roman" w:hAnsi="Times New Roman" w:cs="Times New Roman"/>
          <w:noProof/>
        </w:rPr>
        <w:t xml:space="preserve">, </w:t>
      </w:r>
      <w:r w:rsidRPr="00FD4986">
        <w:rPr>
          <w:rFonts w:ascii="Times New Roman" w:hAnsi="Times New Roman" w:cs="Times New Roman"/>
          <w:b/>
          <w:bCs/>
          <w:noProof/>
        </w:rPr>
        <w:t>Ong SH</w:t>
      </w:r>
      <w:r w:rsidRPr="00FD4986">
        <w:rPr>
          <w:rFonts w:ascii="Times New Roman" w:hAnsi="Times New Roman" w:cs="Times New Roman"/>
          <w:noProof/>
        </w:rPr>
        <w:t xml:space="preserve">. Analysis of discrete data by Conway–Maxwell Poisson distribution. </w:t>
      </w:r>
      <w:r w:rsidRPr="00FD4986">
        <w:rPr>
          <w:rFonts w:ascii="Times New Roman" w:hAnsi="Times New Roman" w:cs="Times New Roman"/>
          <w:i/>
          <w:iCs/>
          <w:noProof/>
        </w:rPr>
        <w:t>AStA Adv Stat Anal</w:t>
      </w:r>
      <w:r w:rsidRPr="00FD4986">
        <w:rPr>
          <w:rFonts w:ascii="Times New Roman" w:hAnsi="Times New Roman" w:cs="Times New Roman"/>
          <w:noProof/>
        </w:rPr>
        <w:t xml:space="preserve"> 98: 327–343, 2014.</w:t>
      </w:r>
    </w:p>
    <w:p w14:paraId="6E44DF4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Kara P</w:t>
      </w:r>
      <w:r w:rsidRPr="00FD4986">
        <w:rPr>
          <w:rFonts w:ascii="Times New Roman" w:hAnsi="Times New Roman" w:cs="Times New Roman"/>
          <w:noProof/>
        </w:rPr>
        <w:t xml:space="preserve">, </w:t>
      </w:r>
      <w:r w:rsidRPr="00FD4986">
        <w:rPr>
          <w:rFonts w:ascii="Times New Roman" w:hAnsi="Times New Roman" w:cs="Times New Roman"/>
          <w:b/>
          <w:bCs/>
          <w:noProof/>
        </w:rPr>
        <w:t>Reinagel P</w:t>
      </w:r>
      <w:r w:rsidRPr="00FD4986">
        <w:rPr>
          <w:rFonts w:ascii="Times New Roman" w:hAnsi="Times New Roman" w:cs="Times New Roman"/>
          <w:noProof/>
        </w:rPr>
        <w:t xml:space="preserve">, </w:t>
      </w:r>
      <w:r w:rsidRPr="00FD4986">
        <w:rPr>
          <w:rFonts w:ascii="Times New Roman" w:hAnsi="Times New Roman" w:cs="Times New Roman"/>
          <w:b/>
          <w:bCs/>
          <w:noProof/>
        </w:rPr>
        <w:t>Reid RC</w:t>
      </w:r>
      <w:r w:rsidRPr="00FD4986">
        <w:rPr>
          <w:rFonts w:ascii="Times New Roman" w:hAnsi="Times New Roman" w:cs="Times New Roman"/>
          <w:noProof/>
        </w:rPr>
        <w:t xml:space="preserve">. Low response variability in simultaneously recorded retinal, thalamic, and cortical neurons. </w:t>
      </w:r>
      <w:r w:rsidRPr="00FD4986">
        <w:rPr>
          <w:rFonts w:ascii="Times New Roman" w:hAnsi="Times New Roman" w:cs="Times New Roman"/>
          <w:i/>
          <w:iCs/>
          <w:noProof/>
        </w:rPr>
        <w:t>Neuron</w:t>
      </w:r>
      <w:r w:rsidRPr="00FD4986">
        <w:rPr>
          <w:rFonts w:ascii="Times New Roman" w:hAnsi="Times New Roman" w:cs="Times New Roman"/>
          <w:noProof/>
        </w:rPr>
        <w:t xml:space="preserve"> 27: 635–646, 2000.</w:t>
      </w:r>
    </w:p>
    <w:p w14:paraId="633742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Kelly RC</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Kass RE</w:t>
      </w:r>
      <w:r w:rsidRPr="00FD4986">
        <w:rPr>
          <w:rFonts w:ascii="Times New Roman" w:hAnsi="Times New Roman" w:cs="Times New Roman"/>
          <w:noProof/>
        </w:rPr>
        <w:t xml:space="preserve">, </w:t>
      </w:r>
      <w:r w:rsidRPr="00FD4986">
        <w:rPr>
          <w:rFonts w:ascii="Times New Roman" w:hAnsi="Times New Roman" w:cs="Times New Roman"/>
          <w:b/>
          <w:bCs/>
          <w:noProof/>
        </w:rPr>
        <w:t>Lee TS</w:t>
      </w:r>
      <w:r w:rsidRPr="00FD4986">
        <w:rPr>
          <w:rFonts w:ascii="Times New Roman" w:hAnsi="Times New Roman" w:cs="Times New Roman"/>
          <w:noProof/>
        </w:rPr>
        <w:t xml:space="preserve">. Local field potentials indicate network state and account for neuronal response variability.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 567–579, 2010.</w:t>
      </w:r>
    </w:p>
    <w:p w14:paraId="5A0F292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Utah array extracellular recordings of spontaneous and visually evoked activity from anesthetized macaque primary visual cortex (V1) [Online]. </w:t>
      </w:r>
      <w:r w:rsidRPr="00FD4986">
        <w:rPr>
          <w:rFonts w:ascii="Times New Roman" w:hAnsi="Times New Roman" w:cs="Times New Roman"/>
          <w:i/>
          <w:iCs/>
          <w:noProof/>
        </w:rPr>
        <w:t>CRCNS.org</w:t>
      </w:r>
      <w:r w:rsidRPr="00FD4986">
        <w:rPr>
          <w:rFonts w:ascii="Times New Roman" w:hAnsi="Times New Roman" w:cs="Times New Roman"/>
          <w:noProof/>
        </w:rPr>
        <w:t xml:space="preserve"> 2016.http://dx.doi.org/10.6080/K0NC5Z4X.</w:t>
      </w:r>
    </w:p>
    <w:p w14:paraId="12ABB49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Lesica NA</w:t>
      </w:r>
      <w:r w:rsidRPr="00FD4986">
        <w:rPr>
          <w:rFonts w:ascii="Times New Roman" w:hAnsi="Times New Roman" w:cs="Times New Roman"/>
          <w:noProof/>
        </w:rPr>
        <w:t xml:space="preserve">, </w:t>
      </w:r>
      <w:r w:rsidRPr="00FD4986">
        <w:rPr>
          <w:rFonts w:ascii="Times New Roman" w:hAnsi="Times New Roman" w:cs="Times New Roman"/>
          <w:b/>
          <w:bCs/>
          <w:noProof/>
        </w:rPr>
        <w:t>Jin J</w:t>
      </w:r>
      <w:r w:rsidRPr="00FD4986">
        <w:rPr>
          <w:rFonts w:ascii="Times New Roman" w:hAnsi="Times New Roman" w:cs="Times New Roman"/>
          <w:noProof/>
        </w:rPr>
        <w:t xml:space="preserve">, </w:t>
      </w:r>
      <w:r w:rsidRPr="00FD4986">
        <w:rPr>
          <w:rFonts w:ascii="Times New Roman" w:hAnsi="Times New Roman" w:cs="Times New Roman"/>
          <w:b/>
          <w:bCs/>
          <w:noProof/>
        </w:rPr>
        <w:t>Weng C</w:t>
      </w:r>
      <w:r w:rsidRPr="00FD4986">
        <w:rPr>
          <w:rFonts w:ascii="Times New Roman" w:hAnsi="Times New Roman" w:cs="Times New Roman"/>
          <w:noProof/>
        </w:rPr>
        <w:t xml:space="preserve">, </w:t>
      </w:r>
      <w:r w:rsidRPr="00FD4986">
        <w:rPr>
          <w:rFonts w:ascii="Times New Roman" w:hAnsi="Times New Roman" w:cs="Times New Roman"/>
          <w:b/>
          <w:bCs/>
          <w:noProof/>
        </w:rPr>
        <w:t>Yeh CI</w:t>
      </w:r>
      <w:r w:rsidRPr="00FD4986">
        <w:rPr>
          <w:rFonts w:ascii="Times New Roman" w:hAnsi="Times New Roman" w:cs="Times New Roman"/>
          <w:noProof/>
        </w:rPr>
        <w:t xml:space="preserve">, </w:t>
      </w:r>
      <w:r w:rsidRPr="00FD4986">
        <w:rPr>
          <w:rFonts w:ascii="Times New Roman" w:hAnsi="Times New Roman" w:cs="Times New Roman"/>
          <w:b/>
          <w:bCs/>
          <w:noProof/>
        </w:rPr>
        <w:t>Butts DA</w:t>
      </w:r>
      <w:r w:rsidRPr="00FD4986">
        <w:rPr>
          <w:rFonts w:ascii="Times New Roman" w:hAnsi="Times New Roman" w:cs="Times New Roman"/>
          <w:noProof/>
        </w:rPr>
        <w:t xml:space="preserve">, </w:t>
      </w:r>
      <w:r w:rsidRPr="00FD4986">
        <w:rPr>
          <w:rFonts w:ascii="Times New Roman" w:hAnsi="Times New Roman" w:cs="Times New Roman"/>
          <w:b/>
          <w:bCs/>
          <w:noProof/>
        </w:rPr>
        <w:t>Stanley GB</w:t>
      </w:r>
      <w:r w:rsidRPr="00FD4986">
        <w:rPr>
          <w:rFonts w:ascii="Times New Roman" w:hAnsi="Times New Roman" w:cs="Times New Roman"/>
          <w:noProof/>
        </w:rPr>
        <w:t xml:space="preserve">, </w:t>
      </w:r>
      <w:r w:rsidRPr="00FD4986">
        <w:rPr>
          <w:rFonts w:ascii="Times New Roman" w:hAnsi="Times New Roman" w:cs="Times New Roman"/>
          <w:b/>
          <w:bCs/>
          <w:noProof/>
        </w:rPr>
        <w:t>Alonso JM</w:t>
      </w:r>
      <w:r w:rsidRPr="00FD4986">
        <w:rPr>
          <w:rFonts w:ascii="Times New Roman" w:hAnsi="Times New Roman" w:cs="Times New Roman"/>
          <w:noProof/>
        </w:rPr>
        <w:t xml:space="preserve">. Adaptation to Stimulus Contrast and Correlations during Natural Visual Stimulation. </w:t>
      </w:r>
      <w:r w:rsidRPr="00FD4986">
        <w:rPr>
          <w:rFonts w:ascii="Times New Roman" w:hAnsi="Times New Roman" w:cs="Times New Roman"/>
          <w:i/>
          <w:iCs/>
          <w:noProof/>
        </w:rPr>
        <w:t>Neuron</w:t>
      </w:r>
      <w:r w:rsidRPr="00FD4986">
        <w:rPr>
          <w:rFonts w:ascii="Times New Roman" w:hAnsi="Times New Roman" w:cs="Times New Roman"/>
          <w:noProof/>
        </w:rPr>
        <w:t xml:space="preserve"> 55: 479–491, 2007.</w:t>
      </w:r>
    </w:p>
    <w:p w14:paraId="603AAC8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Macke JH</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Empirical models of spiking in neural populations. </w:t>
      </w:r>
      <w:r w:rsidRPr="00FD4986">
        <w:rPr>
          <w:rFonts w:ascii="Times New Roman" w:hAnsi="Times New Roman" w:cs="Times New Roman"/>
          <w:i/>
          <w:iCs/>
          <w:noProof/>
        </w:rPr>
        <w:t>Adv Neural Inf Process Syst</w:t>
      </w:r>
      <w:r w:rsidRPr="00FD4986">
        <w:rPr>
          <w:rFonts w:ascii="Times New Roman" w:hAnsi="Times New Roman" w:cs="Times New Roman"/>
          <w:noProof/>
        </w:rPr>
        <w:t xml:space="preserve"> 24, 2011.</w:t>
      </w:r>
    </w:p>
    <w:p w14:paraId="45F9F4C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Maimon G</w:t>
      </w:r>
      <w:r w:rsidRPr="00FD4986">
        <w:rPr>
          <w:rFonts w:ascii="Times New Roman" w:hAnsi="Times New Roman" w:cs="Times New Roman"/>
          <w:noProof/>
        </w:rPr>
        <w:t xml:space="preserve">, </w:t>
      </w:r>
      <w:r w:rsidRPr="00FD4986">
        <w:rPr>
          <w:rFonts w:ascii="Times New Roman" w:hAnsi="Times New Roman" w:cs="Times New Roman"/>
          <w:b/>
          <w:bCs/>
          <w:noProof/>
        </w:rPr>
        <w:t>Assad J a.</w:t>
      </w:r>
      <w:r w:rsidRPr="00FD4986">
        <w:rPr>
          <w:rFonts w:ascii="Times New Roman" w:hAnsi="Times New Roman" w:cs="Times New Roman"/>
          <w:noProof/>
        </w:rPr>
        <w:t xml:space="preserve"> Beyond Poisson: Increased Spike-Time Regularity across Primate Parietal Cortex. </w:t>
      </w:r>
      <w:r w:rsidRPr="00FD4986">
        <w:rPr>
          <w:rFonts w:ascii="Times New Roman" w:hAnsi="Times New Roman" w:cs="Times New Roman"/>
          <w:i/>
          <w:iCs/>
          <w:noProof/>
        </w:rPr>
        <w:t>Neuron</w:t>
      </w:r>
      <w:r w:rsidRPr="00FD4986">
        <w:rPr>
          <w:rFonts w:ascii="Times New Roman" w:hAnsi="Times New Roman" w:cs="Times New Roman"/>
          <w:noProof/>
        </w:rPr>
        <w:t xml:space="preserve"> 62: 426–440, 2009.</w:t>
      </w:r>
    </w:p>
    <w:p w14:paraId="212FB36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Teeters J</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xml:space="preserve">. Neurosharing: large-scale data sets (spike, LFP) recorded from the hippocampal-entorhinal system in behaving rats. </w:t>
      </w:r>
      <w:r w:rsidRPr="00FD4986">
        <w:rPr>
          <w:rFonts w:ascii="Times New Roman" w:hAnsi="Times New Roman" w:cs="Times New Roman"/>
          <w:i/>
          <w:iCs/>
          <w:noProof/>
        </w:rPr>
        <w:t>F1000Research 2014 398</w:t>
      </w:r>
      <w:r w:rsidRPr="00FD4986">
        <w:rPr>
          <w:rFonts w:ascii="Times New Roman" w:hAnsi="Times New Roman" w:cs="Times New Roman"/>
          <w:noProof/>
        </w:rPr>
        <w:t xml:space="preserve"> 3: 98, 2014.</w:t>
      </w:r>
    </w:p>
    <w:p w14:paraId="3E01889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Multiple single unit recordings from different rat hippocampal and entorhinal regions while the animals were performing multiple behavioral tasks. CRCNS.org2013.</w:t>
      </w:r>
    </w:p>
    <w:p w14:paraId="5BE13E4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Mochizuki Y</w:t>
      </w:r>
      <w:r w:rsidRPr="00FD4986">
        <w:rPr>
          <w:rFonts w:ascii="Times New Roman" w:hAnsi="Times New Roman" w:cs="Times New Roman"/>
          <w:noProof/>
        </w:rPr>
        <w:t xml:space="preserve">, </w:t>
      </w:r>
      <w:r w:rsidRPr="00FD4986">
        <w:rPr>
          <w:rFonts w:ascii="Times New Roman" w:hAnsi="Times New Roman" w:cs="Times New Roman"/>
          <w:b/>
          <w:bCs/>
          <w:noProof/>
        </w:rPr>
        <w:t>Onaga T</w:t>
      </w:r>
      <w:r w:rsidRPr="00FD4986">
        <w:rPr>
          <w:rFonts w:ascii="Times New Roman" w:hAnsi="Times New Roman" w:cs="Times New Roman"/>
          <w:noProof/>
        </w:rPr>
        <w:t xml:space="preserve">, </w:t>
      </w:r>
      <w:r w:rsidRPr="00FD4986">
        <w:rPr>
          <w:rFonts w:ascii="Times New Roman" w:hAnsi="Times New Roman" w:cs="Times New Roman"/>
          <w:b/>
          <w:bCs/>
          <w:noProof/>
        </w:rPr>
        <w:t>Shimazaki H</w:t>
      </w:r>
      <w:r w:rsidRPr="00FD4986">
        <w:rPr>
          <w:rFonts w:ascii="Times New Roman" w:hAnsi="Times New Roman" w:cs="Times New Roman"/>
          <w:noProof/>
        </w:rPr>
        <w:t xml:space="preserve">, </w:t>
      </w:r>
      <w:r w:rsidRPr="00FD4986">
        <w:rPr>
          <w:rFonts w:ascii="Times New Roman" w:hAnsi="Times New Roman" w:cs="Times New Roman"/>
          <w:b/>
          <w:bCs/>
          <w:noProof/>
        </w:rPr>
        <w:t>Shimokawa T</w:t>
      </w:r>
      <w:r w:rsidRPr="00FD4986">
        <w:rPr>
          <w:rFonts w:ascii="Times New Roman" w:hAnsi="Times New Roman" w:cs="Times New Roman"/>
          <w:noProof/>
        </w:rPr>
        <w:t xml:space="preserve">, </w:t>
      </w:r>
      <w:r w:rsidRPr="00FD4986">
        <w:rPr>
          <w:rFonts w:ascii="Times New Roman" w:hAnsi="Times New Roman" w:cs="Times New Roman"/>
          <w:b/>
          <w:bCs/>
          <w:noProof/>
        </w:rPr>
        <w:t>Tsubo Y</w:t>
      </w:r>
      <w:r w:rsidRPr="00FD4986">
        <w:rPr>
          <w:rFonts w:ascii="Times New Roman" w:hAnsi="Times New Roman" w:cs="Times New Roman"/>
          <w:noProof/>
        </w:rPr>
        <w:t xml:space="preserve">, </w:t>
      </w:r>
      <w:r w:rsidRPr="00FD4986">
        <w:rPr>
          <w:rFonts w:ascii="Times New Roman" w:hAnsi="Times New Roman" w:cs="Times New Roman"/>
          <w:b/>
          <w:bCs/>
          <w:noProof/>
        </w:rPr>
        <w:t>Kimura R</w:t>
      </w:r>
      <w:r w:rsidRPr="00FD4986">
        <w:rPr>
          <w:rFonts w:ascii="Times New Roman" w:hAnsi="Times New Roman" w:cs="Times New Roman"/>
          <w:noProof/>
        </w:rPr>
        <w:t xml:space="preserve">, </w:t>
      </w:r>
      <w:r w:rsidRPr="00FD4986">
        <w:rPr>
          <w:rFonts w:ascii="Times New Roman" w:hAnsi="Times New Roman" w:cs="Times New Roman"/>
          <w:b/>
          <w:bCs/>
          <w:noProof/>
        </w:rPr>
        <w:t>Saiki A</w:t>
      </w:r>
      <w:r w:rsidRPr="00FD4986">
        <w:rPr>
          <w:rFonts w:ascii="Times New Roman" w:hAnsi="Times New Roman" w:cs="Times New Roman"/>
          <w:noProof/>
        </w:rPr>
        <w:t xml:space="preserve">, </w:t>
      </w:r>
      <w:r w:rsidRPr="00FD4986">
        <w:rPr>
          <w:rFonts w:ascii="Times New Roman" w:hAnsi="Times New Roman" w:cs="Times New Roman"/>
          <w:b/>
          <w:bCs/>
          <w:noProof/>
        </w:rPr>
        <w:t>Sakai Y</w:t>
      </w:r>
      <w:r w:rsidRPr="00FD4986">
        <w:rPr>
          <w:rFonts w:ascii="Times New Roman" w:hAnsi="Times New Roman" w:cs="Times New Roman"/>
          <w:noProof/>
        </w:rPr>
        <w:t xml:space="preserve">, </w:t>
      </w:r>
      <w:r w:rsidRPr="00FD4986">
        <w:rPr>
          <w:rFonts w:ascii="Times New Roman" w:hAnsi="Times New Roman" w:cs="Times New Roman"/>
          <w:b/>
          <w:bCs/>
          <w:noProof/>
        </w:rPr>
        <w:t>Isomura Y</w:t>
      </w:r>
      <w:r w:rsidRPr="00FD4986">
        <w:rPr>
          <w:rFonts w:ascii="Times New Roman" w:hAnsi="Times New Roman" w:cs="Times New Roman"/>
          <w:noProof/>
        </w:rPr>
        <w:t xml:space="preserve">, </w:t>
      </w:r>
      <w:r w:rsidRPr="00FD4986">
        <w:rPr>
          <w:rFonts w:ascii="Times New Roman" w:hAnsi="Times New Roman" w:cs="Times New Roman"/>
          <w:b/>
          <w:bCs/>
          <w:noProof/>
        </w:rPr>
        <w:t>Fujisawa S</w:t>
      </w:r>
      <w:r w:rsidRPr="00FD4986">
        <w:rPr>
          <w:rFonts w:ascii="Times New Roman" w:hAnsi="Times New Roman" w:cs="Times New Roman"/>
          <w:noProof/>
        </w:rPr>
        <w:t xml:space="preserve">, </w:t>
      </w:r>
      <w:r w:rsidRPr="00FD4986">
        <w:rPr>
          <w:rFonts w:ascii="Times New Roman" w:hAnsi="Times New Roman" w:cs="Times New Roman"/>
          <w:b/>
          <w:bCs/>
          <w:noProof/>
        </w:rPr>
        <w:t>Shibata KI</w:t>
      </w:r>
      <w:r w:rsidRPr="00FD4986">
        <w:rPr>
          <w:rFonts w:ascii="Times New Roman" w:hAnsi="Times New Roman" w:cs="Times New Roman"/>
          <w:noProof/>
        </w:rPr>
        <w:t xml:space="preserve">, </w:t>
      </w:r>
      <w:r w:rsidRPr="00FD4986">
        <w:rPr>
          <w:rFonts w:ascii="Times New Roman" w:hAnsi="Times New Roman" w:cs="Times New Roman"/>
          <w:b/>
          <w:bCs/>
          <w:noProof/>
        </w:rPr>
        <w:t>Hirai D</w:t>
      </w:r>
      <w:r w:rsidRPr="00FD4986">
        <w:rPr>
          <w:rFonts w:ascii="Times New Roman" w:hAnsi="Times New Roman" w:cs="Times New Roman"/>
          <w:noProof/>
        </w:rPr>
        <w:t xml:space="preserve">, </w:t>
      </w:r>
      <w:r w:rsidRPr="00FD4986">
        <w:rPr>
          <w:rFonts w:ascii="Times New Roman" w:hAnsi="Times New Roman" w:cs="Times New Roman"/>
          <w:b/>
          <w:bCs/>
          <w:noProof/>
        </w:rPr>
        <w:t>Furuta T</w:t>
      </w:r>
      <w:r w:rsidRPr="00FD4986">
        <w:rPr>
          <w:rFonts w:ascii="Times New Roman" w:hAnsi="Times New Roman" w:cs="Times New Roman"/>
          <w:noProof/>
        </w:rPr>
        <w:t xml:space="preserve">, </w:t>
      </w:r>
      <w:r w:rsidRPr="00FD4986">
        <w:rPr>
          <w:rFonts w:ascii="Times New Roman" w:hAnsi="Times New Roman" w:cs="Times New Roman"/>
          <w:b/>
          <w:bCs/>
          <w:noProof/>
        </w:rPr>
        <w:t>Kaneko T</w:t>
      </w:r>
      <w:r w:rsidRPr="00FD4986">
        <w:rPr>
          <w:rFonts w:ascii="Times New Roman" w:hAnsi="Times New Roman" w:cs="Times New Roman"/>
          <w:noProof/>
        </w:rPr>
        <w:t xml:space="preserve">, </w:t>
      </w:r>
      <w:r w:rsidRPr="00FD4986">
        <w:rPr>
          <w:rFonts w:ascii="Times New Roman" w:hAnsi="Times New Roman" w:cs="Times New Roman"/>
          <w:b/>
          <w:bCs/>
          <w:noProof/>
        </w:rPr>
        <w:t>Takahashi S</w:t>
      </w:r>
      <w:r w:rsidRPr="00FD4986">
        <w:rPr>
          <w:rFonts w:ascii="Times New Roman" w:hAnsi="Times New Roman" w:cs="Times New Roman"/>
          <w:noProof/>
        </w:rPr>
        <w:t xml:space="preserve">, </w:t>
      </w:r>
      <w:r w:rsidRPr="00FD4986">
        <w:rPr>
          <w:rFonts w:ascii="Times New Roman" w:hAnsi="Times New Roman" w:cs="Times New Roman"/>
          <w:b/>
          <w:bCs/>
          <w:noProof/>
        </w:rPr>
        <w:t>Nakazono T</w:t>
      </w:r>
      <w:r w:rsidRPr="00FD4986">
        <w:rPr>
          <w:rFonts w:ascii="Times New Roman" w:hAnsi="Times New Roman" w:cs="Times New Roman"/>
          <w:noProof/>
        </w:rPr>
        <w:t xml:space="preserve">, </w:t>
      </w:r>
      <w:r w:rsidRPr="00FD4986">
        <w:rPr>
          <w:rFonts w:ascii="Times New Roman" w:hAnsi="Times New Roman" w:cs="Times New Roman"/>
          <w:b/>
          <w:bCs/>
          <w:noProof/>
        </w:rPr>
        <w:t>Ishino S</w:t>
      </w:r>
      <w:r w:rsidRPr="00FD4986">
        <w:rPr>
          <w:rFonts w:ascii="Times New Roman" w:hAnsi="Times New Roman" w:cs="Times New Roman"/>
          <w:noProof/>
        </w:rPr>
        <w:t xml:space="preserve">, </w:t>
      </w:r>
      <w:r w:rsidRPr="00FD4986">
        <w:rPr>
          <w:rFonts w:ascii="Times New Roman" w:hAnsi="Times New Roman" w:cs="Times New Roman"/>
          <w:b/>
          <w:bCs/>
          <w:noProof/>
        </w:rPr>
        <w:t>Sakurai Y</w:t>
      </w:r>
      <w:r w:rsidRPr="00FD4986">
        <w:rPr>
          <w:rFonts w:ascii="Times New Roman" w:hAnsi="Times New Roman" w:cs="Times New Roman"/>
          <w:noProof/>
        </w:rPr>
        <w:t xml:space="preserve">, </w:t>
      </w:r>
      <w:r w:rsidRPr="00FD4986">
        <w:rPr>
          <w:rFonts w:ascii="Times New Roman" w:hAnsi="Times New Roman" w:cs="Times New Roman"/>
          <w:b/>
          <w:bCs/>
          <w:noProof/>
        </w:rPr>
        <w:t>Kitsukawa T</w:t>
      </w:r>
      <w:r w:rsidRPr="00FD4986">
        <w:rPr>
          <w:rFonts w:ascii="Times New Roman" w:hAnsi="Times New Roman" w:cs="Times New Roman"/>
          <w:noProof/>
        </w:rPr>
        <w:t xml:space="preserve">, </w:t>
      </w:r>
      <w:r w:rsidRPr="00FD4986">
        <w:rPr>
          <w:rFonts w:ascii="Times New Roman" w:hAnsi="Times New Roman" w:cs="Times New Roman"/>
          <w:b/>
          <w:bCs/>
          <w:noProof/>
        </w:rPr>
        <w:t>Lee JW</w:t>
      </w:r>
      <w:r w:rsidRPr="00FD4986">
        <w:rPr>
          <w:rFonts w:ascii="Times New Roman" w:hAnsi="Times New Roman" w:cs="Times New Roman"/>
          <w:noProof/>
        </w:rPr>
        <w:t xml:space="preserve">, </w:t>
      </w:r>
      <w:r w:rsidRPr="00FD4986">
        <w:rPr>
          <w:rFonts w:ascii="Times New Roman" w:hAnsi="Times New Roman" w:cs="Times New Roman"/>
          <w:b/>
          <w:bCs/>
          <w:noProof/>
        </w:rPr>
        <w:t>Lee H</w:t>
      </w:r>
      <w:r w:rsidRPr="00FD4986">
        <w:rPr>
          <w:rFonts w:ascii="Times New Roman" w:hAnsi="Times New Roman" w:cs="Times New Roman"/>
          <w:noProof/>
        </w:rPr>
        <w:t xml:space="preserve">, </w:t>
      </w:r>
      <w:r w:rsidRPr="00FD4986">
        <w:rPr>
          <w:rFonts w:ascii="Times New Roman" w:hAnsi="Times New Roman" w:cs="Times New Roman"/>
          <w:b/>
          <w:bCs/>
          <w:noProof/>
        </w:rPr>
        <w:t>Jung MW</w:t>
      </w:r>
      <w:r w:rsidRPr="00FD4986">
        <w:rPr>
          <w:rFonts w:ascii="Times New Roman" w:hAnsi="Times New Roman" w:cs="Times New Roman"/>
          <w:noProof/>
        </w:rPr>
        <w:t xml:space="preserve">, </w:t>
      </w:r>
      <w:r w:rsidRPr="00FD4986">
        <w:rPr>
          <w:rFonts w:ascii="Times New Roman" w:hAnsi="Times New Roman" w:cs="Times New Roman"/>
          <w:b/>
          <w:bCs/>
          <w:noProof/>
        </w:rPr>
        <w:t>Babul C</w:t>
      </w:r>
      <w:r w:rsidRPr="00FD4986">
        <w:rPr>
          <w:rFonts w:ascii="Times New Roman" w:hAnsi="Times New Roman" w:cs="Times New Roman"/>
          <w:noProof/>
        </w:rPr>
        <w:t xml:space="preserve">, </w:t>
      </w:r>
      <w:r w:rsidRPr="00FD4986">
        <w:rPr>
          <w:rFonts w:ascii="Times New Roman" w:hAnsi="Times New Roman" w:cs="Times New Roman"/>
          <w:b/>
          <w:bCs/>
          <w:noProof/>
        </w:rPr>
        <w:t>Maldonado PE</w:t>
      </w:r>
      <w:r w:rsidRPr="00FD4986">
        <w:rPr>
          <w:rFonts w:ascii="Times New Roman" w:hAnsi="Times New Roman" w:cs="Times New Roman"/>
          <w:noProof/>
        </w:rPr>
        <w:t xml:space="preserve">, </w:t>
      </w:r>
      <w:r w:rsidRPr="00FD4986">
        <w:rPr>
          <w:rFonts w:ascii="Times New Roman" w:hAnsi="Times New Roman" w:cs="Times New Roman"/>
          <w:b/>
          <w:bCs/>
          <w:noProof/>
        </w:rPr>
        <w:t>Takahashi K</w:t>
      </w:r>
      <w:r w:rsidRPr="00FD4986">
        <w:rPr>
          <w:rFonts w:ascii="Times New Roman" w:hAnsi="Times New Roman" w:cs="Times New Roman"/>
          <w:noProof/>
        </w:rPr>
        <w:t xml:space="preserve">, </w:t>
      </w:r>
      <w:r w:rsidRPr="00FD4986">
        <w:rPr>
          <w:rFonts w:ascii="Times New Roman" w:hAnsi="Times New Roman" w:cs="Times New Roman"/>
          <w:b/>
          <w:bCs/>
          <w:noProof/>
        </w:rPr>
        <w:t>Arce-McShane FI</w:t>
      </w:r>
      <w:r w:rsidRPr="00FD4986">
        <w:rPr>
          <w:rFonts w:ascii="Times New Roman" w:hAnsi="Times New Roman" w:cs="Times New Roman"/>
          <w:noProof/>
        </w:rPr>
        <w:t xml:space="preserve">, </w:t>
      </w:r>
      <w:r w:rsidRPr="00FD4986">
        <w:rPr>
          <w:rFonts w:ascii="Times New Roman" w:hAnsi="Times New Roman" w:cs="Times New Roman"/>
          <w:b/>
          <w:bCs/>
          <w:noProof/>
        </w:rPr>
        <w:t>Ross CF</w:t>
      </w:r>
      <w:r w:rsidRPr="00FD4986">
        <w:rPr>
          <w:rFonts w:ascii="Times New Roman" w:hAnsi="Times New Roman" w:cs="Times New Roman"/>
          <w:noProof/>
        </w:rPr>
        <w:t xml:space="preserve">, </w:t>
      </w:r>
      <w:r w:rsidRPr="00FD4986">
        <w:rPr>
          <w:rFonts w:ascii="Times New Roman" w:hAnsi="Times New Roman" w:cs="Times New Roman"/>
          <w:b/>
          <w:bCs/>
          <w:noProof/>
        </w:rPr>
        <w:t>Sessle BJ</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Brochier T</w:t>
      </w:r>
      <w:r w:rsidRPr="00FD4986">
        <w:rPr>
          <w:rFonts w:ascii="Times New Roman" w:hAnsi="Times New Roman" w:cs="Times New Roman"/>
          <w:noProof/>
        </w:rPr>
        <w:t xml:space="preserve">, </w:t>
      </w:r>
      <w:r w:rsidRPr="00FD4986">
        <w:rPr>
          <w:rFonts w:ascii="Times New Roman" w:hAnsi="Times New Roman" w:cs="Times New Roman"/>
          <w:b/>
          <w:bCs/>
          <w:noProof/>
        </w:rPr>
        <w:t>Riehle A</w:t>
      </w:r>
      <w:r w:rsidRPr="00FD4986">
        <w:rPr>
          <w:rFonts w:ascii="Times New Roman" w:hAnsi="Times New Roman" w:cs="Times New Roman"/>
          <w:noProof/>
        </w:rPr>
        <w:t xml:space="preserve">, </w:t>
      </w:r>
      <w:r w:rsidRPr="00FD4986">
        <w:rPr>
          <w:rFonts w:ascii="Times New Roman" w:hAnsi="Times New Roman" w:cs="Times New Roman"/>
          <w:b/>
          <w:bCs/>
          <w:noProof/>
        </w:rPr>
        <w:t>Chorley P</w:t>
      </w:r>
      <w:r w:rsidRPr="00FD4986">
        <w:rPr>
          <w:rFonts w:ascii="Times New Roman" w:hAnsi="Times New Roman" w:cs="Times New Roman"/>
          <w:noProof/>
        </w:rPr>
        <w:t xml:space="preserve">, </w:t>
      </w:r>
      <w:r w:rsidRPr="00FD4986">
        <w:rPr>
          <w:rFonts w:ascii="Times New Roman" w:hAnsi="Times New Roman" w:cs="Times New Roman"/>
          <w:b/>
          <w:bCs/>
          <w:noProof/>
        </w:rPr>
        <w:t>Grün S</w:t>
      </w:r>
      <w:r w:rsidRPr="00FD4986">
        <w:rPr>
          <w:rFonts w:ascii="Times New Roman" w:hAnsi="Times New Roman" w:cs="Times New Roman"/>
          <w:noProof/>
        </w:rPr>
        <w:t xml:space="preserve">, </w:t>
      </w:r>
      <w:r w:rsidRPr="00FD4986">
        <w:rPr>
          <w:rFonts w:ascii="Times New Roman" w:hAnsi="Times New Roman" w:cs="Times New Roman"/>
          <w:b/>
          <w:bCs/>
          <w:noProof/>
        </w:rPr>
        <w:t>Nishijo H</w:t>
      </w:r>
      <w:r w:rsidRPr="00FD4986">
        <w:rPr>
          <w:rFonts w:ascii="Times New Roman" w:hAnsi="Times New Roman" w:cs="Times New Roman"/>
          <w:noProof/>
        </w:rPr>
        <w:t xml:space="preserve">, </w:t>
      </w:r>
      <w:r w:rsidRPr="00FD4986">
        <w:rPr>
          <w:rFonts w:ascii="Times New Roman" w:hAnsi="Times New Roman" w:cs="Times New Roman"/>
          <w:b/>
          <w:bCs/>
          <w:noProof/>
        </w:rPr>
        <w:t>Ichihara-Takeda S</w:t>
      </w:r>
      <w:r w:rsidRPr="00FD4986">
        <w:rPr>
          <w:rFonts w:ascii="Times New Roman" w:hAnsi="Times New Roman" w:cs="Times New Roman"/>
          <w:noProof/>
        </w:rPr>
        <w:t xml:space="preserve">, </w:t>
      </w:r>
      <w:r w:rsidRPr="00FD4986">
        <w:rPr>
          <w:rFonts w:ascii="Times New Roman" w:hAnsi="Times New Roman" w:cs="Times New Roman"/>
          <w:b/>
          <w:bCs/>
          <w:noProof/>
        </w:rPr>
        <w:t>Funahashi S</w:t>
      </w:r>
      <w:r w:rsidRPr="00FD4986">
        <w:rPr>
          <w:rFonts w:ascii="Times New Roman" w:hAnsi="Times New Roman" w:cs="Times New Roman"/>
          <w:noProof/>
        </w:rPr>
        <w:t xml:space="preserve">, </w:t>
      </w:r>
      <w:r w:rsidRPr="00FD4986">
        <w:rPr>
          <w:rFonts w:ascii="Times New Roman" w:hAnsi="Times New Roman" w:cs="Times New Roman"/>
          <w:b/>
          <w:bCs/>
          <w:noProof/>
        </w:rPr>
        <w:t>Shima K</w:t>
      </w:r>
      <w:r w:rsidRPr="00FD4986">
        <w:rPr>
          <w:rFonts w:ascii="Times New Roman" w:hAnsi="Times New Roman" w:cs="Times New Roman"/>
          <w:noProof/>
        </w:rPr>
        <w:t xml:space="preserve">, </w:t>
      </w:r>
      <w:r w:rsidRPr="00FD4986">
        <w:rPr>
          <w:rFonts w:ascii="Times New Roman" w:hAnsi="Times New Roman" w:cs="Times New Roman"/>
          <w:b/>
          <w:bCs/>
          <w:noProof/>
        </w:rPr>
        <w:t>Mushiake H</w:t>
      </w:r>
      <w:r w:rsidRPr="00FD4986">
        <w:rPr>
          <w:rFonts w:ascii="Times New Roman" w:hAnsi="Times New Roman" w:cs="Times New Roman"/>
          <w:noProof/>
        </w:rPr>
        <w:t xml:space="preserve">, </w:t>
      </w:r>
      <w:r w:rsidRPr="00FD4986">
        <w:rPr>
          <w:rFonts w:ascii="Times New Roman" w:hAnsi="Times New Roman" w:cs="Times New Roman"/>
          <w:b/>
          <w:bCs/>
          <w:noProof/>
        </w:rPr>
        <w:t>Yamane Y</w:t>
      </w:r>
      <w:r w:rsidRPr="00FD4986">
        <w:rPr>
          <w:rFonts w:ascii="Times New Roman" w:hAnsi="Times New Roman" w:cs="Times New Roman"/>
          <w:noProof/>
        </w:rPr>
        <w:t xml:space="preserve">, </w:t>
      </w:r>
      <w:r w:rsidRPr="00FD4986">
        <w:rPr>
          <w:rFonts w:ascii="Times New Roman" w:hAnsi="Times New Roman" w:cs="Times New Roman"/>
          <w:b/>
          <w:bCs/>
          <w:noProof/>
        </w:rPr>
        <w:t>Tamura H</w:t>
      </w:r>
      <w:r w:rsidRPr="00FD4986">
        <w:rPr>
          <w:rFonts w:ascii="Times New Roman" w:hAnsi="Times New Roman" w:cs="Times New Roman"/>
          <w:noProof/>
        </w:rPr>
        <w:t xml:space="preserve">, </w:t>
      </w:r>
      <w:r w:rsidRPr="00FD4986">
        <w:rPr>
          <w:rFonts w:ascii="Times New Roman" w:hAnsi="Times New Roman" w:cs="Times New Roman"/>
          <w:b/>
          <w:bCs/>
          <w:noProof/>
        </w:rPr>
        <w:t>Fujita I</w:t>
      </w:r>
      <w:r w:rsidRPr="00FD4986">
        <w:rPr>
          <w:rFonts w:ascii="Times New Roman" w:hAnsi="Times New Roman" w:cs="Times New Roman"/>
          <w:noProof/>
        </w:rPr>
        <w:t xml:space="preserve">, </w:t>
      </w:r>
      <w:r w:rsidRPr="00FD4986">
        <w:rPr>
          <w:rFonts w:ascii="Times New Roman" w:hAnsi="Times New Roman" w:cs="Times New Roman"/>
          <w:b/>
          <w:bCs/>
          <w:noProof/>
        </w:rPr>
        <w:t>Inaba N</w:t>
      </w:r>
      <w:r w:rsidRPr="00FD4986">
        <w:rPr>
          <w:rFonts w:ascii="Times New Roman" w:hAnsi="Times New Roman" w:cs="Times New Roman"/>
          <w:noProof/>
        </w:rPr>
        <w:t xml:space="preserve">, </w:t>
      </w:r>
      <w:r w:rsidRPr="00FD4986">
        <w:rPr>
          <w:rFonts w:ascii="Times New Roman" w:hAnsi="Times New Roman" w:cs="Times New Roman"/>
          <w:b/>
          <w:bCs/>
          <w:noProof/>
        </w:rPr>
        <w:t>Kawano K</w:t>
      </w:r>
      <w:r w:rsidRPr="00FD4986">
        <w:rPr>
          <w:rFonts w:ascii="Times New Roman" w:hAnsi="Times New Roman" w:cs="Times New Roman"/>
          <w:noProof/>
        </w:rPr>
        <w:t xml:space="preserve">, </w:t>
      </w:r>
      <w:r w:rsidRPr="00FD4986">
        <w:rPr>
          <w:rFonts w:ascii="Times New Roman" w:hAnsi="Times New Roman" w:cs="Times New Roman"/>
          <w:b/>
          <w:bCs/>
          <w:noProof/>
        </w:rPr>
        <w:t>Kurkin S</w:t>
      </w:r>
      <w:r w:rsidRPr="00FD4986">
        <w:rPr>
          <w:rFonts w:ascii="Times New Roman" w:hAnsi="Times New Roman" w:cs="Times New Roman"/>
          <w:noProof/>
        </w:rPr>
        <w:t xml:space="preserve">, </w:t>
      </w:r>
      <w:r w:rsidRPr="00FD4986">
        <w:rPr>
          <w:rFonts w:ascii="Times New Roman" w:hAnsi="Times New Roman" w:cs="Times New Roman"/>
          <w:b/>
          <w:bCs/>
          <w:noProof/>
        </w:rPr>
        <w:t>Fukushima K</w:t>
      </w:r>
      <w:r w:rsidRPr="00FD4986">
        <w:rPr>
          <w:rFonts w:ascii="Times New Roman" w:hAnsi="Times New Roman" w:cs="Times New Roman"/>
          <w:noProof/>
        </w:rPr>
        <w:t xml:space="preserve">, </w:t>
      </w:r>
      <w:r w:rsidRPr="00FD4986">
        <w:rPr>
          <w:rFonts w:ascii="Times New Roman" w:hAnsi="Times New Roman" w:cs="Times New Roman"/>
          <w:b/>
          <w:bCs/>
          <w:noProof/>
        </w:rPr>
        <w:t>Kurata K</w:t>
      </w:r>
      <w:r w:rsidRPr="00FD4986">
        <w:rPr>
          <w:rFonts w:ascii="Times New Roman" w:hAnsi="Times New Roman" w:cs="Times New Roman"/>
          <w:noProof/>
        </w:rPr>
        <w:t xml:space="preserve">, </w:t>
      </w:r>
      <w:r w:rsidRPr="00FD4986">
        <w:rPr>
          <w:rFonts w:ascii="Times New Roman" w:hAnsi="Times New Roman" w:cs="Times New Roman"/>
          <w:b/>
          <w:bCs/>
          <w:noProof/>
        </w:rPr>
        <w:t>Taira M</w:t>
      </w:r>
      <w:r w:rsidRPr="00FD4986">
        <w:rPr>
          <w:rFonts w:ascii="Times New Roman" w:hAnsi="Times New Roman" w:cs="Times New Roman"/>
          <w:noProof/>
        </w:rPr>
        <w:t xml:space="preserve">, </w:t>
      </w:r>
      <w:r w:rsidRPr="00FD4986">
        <w:rPr>
          <w:rFonts w:ascii="Times New Roman" w:hAnsi="Times New Roman" w:cs="Times New Roman"/>
          <w:b/>
          <w:bCs/>
          <w:noProof/>
        </w:rPr>
        <w:t>Tsutsui KI</w:t>
      </w:r>
      <w:r w:rsidRPr="00FD4986">
        <w:rPr>
          <w:rFonts w:ascii="Times New Roman" w:hAnsi="Times New Roman" w:cs="Times New Roman"/>
          <w:noProof/>
        </w:rPr>
        <w:t xml:space="preserve">, </w:t>
      </w:r>
      <w:r w:rsidRPr="00FD4986">
        <w:rPr>
          <w:rFonts w:ascii="Times New Roman" w:hAnsi="Times New Roman" w:cs="Times New Roman"/>
          <w:b/>
          <w:bCs/>
          <w:noProof/>
        </w:rPr>
        <w:t>Ogawa T</w:t>
      </w:r>
      <w:r w:rsidRPr="00FD4986">
        <w:rPr>
          <w:rFonts w:ascii="Times New Roman" w:hAnsi="Times New Roman" w:cs="Times New Roman"/>
          <w:noProof/>
        </w:rPr>
        <w:t xml:space="preserve">, </w:t>
      </w:r>
      <w:r w:rsidRPr="00FD4986">
        <w:rPr>
          <w:rFonts w:ascii="Times New Roman" w:hAnsi="Times New Roman" w:cs="Times New Roman"/>
          <w:b/>
          <w:bCs/>
          <w:noProof/>
        </w:rPr>
        <w:t>Komatsu H</w:t>
      </w:r>
      <w:r w:rsidRPr="00FD4986">
        <w:rPr>
          <w:rFonts w:ascii="Times New Roman" w:hAnsi="Times New Roman" w:cs="Times New Roman"/>
          <w:noProof/>
        </w:rPr>
        <w:t xml:space="preserve">, </w:t>
      </w:r>
      <w:r w:rsidRPr="00FD4986">
        <w:rPr>
          <w:rFonts w:ascii="Times New Roman" w:hAnsi="Times New Roman" w:cs="Times New Roman"/>
          <w:b/>
          <w:bCs/>
          <w:noProof/>
        </w:rPr>
        <w:t>Koida K</w:t>
      </w:r>
      <w:r w:rsidRPr="00FD4986">
        <w:rPr>
          <w:rFonts w:ascii="Times New Roman" w:hAnsi="Times New Roman" w:cs="Times New Roman"/>
          <w:noProof/>
        </w:rPr>
        <w:t xml:space="preserve">, </w:t>
      </w:r>
      <w:r w:rsidRPr="00FD4986">
        <w:rPr>
          <w:rFonts w:ascii="Times New Roman" w:hAnsi="Times New Roman" w:cs="Times New Roman"/>
          <w:b/>
          <w:bCs/>
          <w:noProof/>
        </w:rPr>
        <w:t>Toyama K</w:t>
      </w:r>
      <w:r w:rsidRPr="00FD4986">
        <w:rPr>
          <w:rFonts w:ascii="Times New Roman" w:hAnsi="Times New Roman" w:cs="Times New Roman"/>
          <w:noProof/>
        </w:rPr>
        <w:t xml:space="preserve">, </w:t>
      </w:r>
      <w:r w:rsidRPr="00FD4986">
        <w:rPr>
          <w:rFonts w:ascii="Times New Roman" w:hAnsi="Times New Roman" w:cs="Times New Roman"/>
          <w:b/>
          <w:bCs/>
          <w:noProof/>
        </w:rPr>
        <w:t>Richmond BJ</w:t>
      </w:r>
      <w:r w:rsidRPr="00FD4986">
        <w:rPr>
          <w:rFonts w:ascii="Times New Roman" w:hAnsi="Times New Roman" w:cs="Times New Roman"/>
          <w:noProof/>
        </w:rPr>
        <w:t xml:space="preserve">, </w:t>
      </w:r>
      <w:r w:rsidRPr="00FD4986">
        <w:rPr>
          <w:rFonts w:ascii="Times New Roman" w:hAnsi="Times New Roman" w:cs="Times New Roman"/>
          <w:b/>
          <w:bCs/>
          <w:noProof/>
        </w:rPr>
        <w:t>Shinomoto S</w:t>
      </w:r>
      <w:r w:rsidRPr="00FD4986">
        <w:rPr>
          <w:rFonts w:ascii="Times New Roman" w:hAnsi="Times New Roman" w:cs="Times New Roman"/>
          <w:noProof/>
        </w:rPr>
        <w:t xml:space="preserve">. Similarity in Neuronal Firing Regimes across Mammalian Species. </w:t>
      </w:r>
      <w:r w:rsidRPr="00FD4986">
        <w:rPr>
          <w:rFonts w:ascii="Times New Roman" w:hAnsi="Times New Roman" w:cs="Times New Roman"/>
          <w:i/>
          <w:iCs/>
          <w:noProof/>
        </w:rPr>
        <w:t>J Neurosci</w:t>
      </w:r>
      <w:r w:rsidRPr="00FD4986">
        <w:rPr>
          <w:rFonts w:ascii="Times New Roman" w:hAnsi="Times New Roman" w:cs="Times New Roman"/>
          <w:noProof/>
        </w:rPr>
        <w:t xml:space="preserve"> 36: 5736–5747, 2016.</w:t>
      </w:r>
    </w:p>
    <w:p w14:paraId="6B1FF41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Paninski L</w:t>
      </w:r>
      <w:r w:rsidRPr="00FD4986">
        <w:rPr>
          <w:rFonts w:ascii="Times New Roman" w:hAnsi="Times New Roman" w:cs="Times New Roman"/>
          <w:noProof/>
        </w:rPr>
        <w:t xml:space="preserve">, </w:t>
      </w:r>
      <w:r w:rsidRPr="00FD4986">
        <w:rPr>
          <w:rFonts w:ascii="Times New Roman" w:hAnsi="Times New Roman" w:cs="Times New Roman"/>
          <w:b/>
          <w:bCs/>
          <w:noProof/>
        </w:rPr>
        <w:t>Ahmadian Y</w:t>
      </w:r>
      <w:r w:rsidRPr="00FD4986">
        <w:rPr>
          <w:rFonts w:ascii="Times New Roman" w:hAnsi="Times New Roman" w:cs="Times New Roman"/>
          <w:noProof/>
        </w:rPr>
        <w:t xml:space="preserve">, </w:t>
      </w:r>
      <w:r w:rsidRPr="00FD4986">
        <w:rPr>
          <w:rFonts w:ascii="Times New Roman" w:hAnsi="Times New Roman" w:cs="Times New Roman"/>
          <w:b/>
          <w:bCs/>
          <w:noProof/>
        </w:rPr>
        <w:t>Ferreira DG</w:t>
      </w:r>
      <w:r w:rsidRPr="00FD4986">
        <w:rPr>
          <w:rFonts w:ascii="Times New Roman" w:hAnsi="Times New Roman" w:cs="Times New Roman"/>
          <w:noProof/>
        </w:rPr>
        <w:t xml:space="preserve">, </w:t>
      </w:r>
      <w:r w:rsidRPr="00FD4986">
        <w:rPr>
          <w:rFonts w:ascii="Times New Roman" w:hAnsi="Times New Roman" w:cs="Times New Roman"/>
          <w:b/>
          <w:bCs/>
          <w:noProof/>
        </w:rPr>
        <w:t>Koyama S</w:t>
      </w:r>
      <w:r w:rsidRPr="00FD4986">
        <w:rPr>
          <w:rFonts w:ascii="Times New Roman" w:hAnsi="Times New Roman" w:cs="Times New Roman"/>
          <w:noProof/>
        </w:rPr>
        <w:t xml:space="preserve">, </w:t>
      </w:r>
      <w:r w:rsidRPr="00FD4986">
        <w:rPr>
          <w:rFonts w:ascii="Times New Roman" w:hAnsi="Times New Roman" w:cs="Times New Roman"/>
          <w:b/>
          <w:bCs/>
          <w:noProof/>
        </w:rPr>
        <w:t>Rahnama Rad K</w:t>
      </w:r>
      <w:r w:rsidRPr="00FD4986">
        <w:rPr>
          <w:rFonts w:ascii="Times New Roman" w:hAnsi="Times New Roman" w:cs="Times New Roman"/>
          <w:noProof/>
        </w:rPr>
        <w:t xml:space="preserve">, </w:t>
      </w:r>
      <w:r w:rsidRPr="00FD4986">
        <w:rPr>
          <w:rFonts w:ascii="Times New Roman" w:hAnsi="Times New Roman" w:cs="Times New Roman"/>
          <w:b/>
          <w:bCs/>
          <w:noProof/>
        </w:rPr>
        <w:t>Vidne M</w:t>
      </w:r>
      <w:r w:rsidRPr="00FD4986">
        <w:rPr>
          <w:rFonts w:ascii="Times New Roman" w:hAnsi="Times New Roman" w:cs="Times New Roman"/>
          <w:noProof/>
        </w:rPr>
        <w:t xml:space="preserve">, </w:t>
      </w:r>
      <w:r w:rsidRPr="00FD4986">
        <w:rPr>
          <w:rFonts w:ascii="Times New Roman" w:hAnsi="Times New Roman" w:cs="Times New Roman"/>
          <w:b/>
          <w:bCs/>
          <w:noProof/>
        </w:rPr>
        <w:t>Vogelstein J</w:t>
      </w:r>
      <w:r w:rsidRPr="00FD4986">
        <w:rPr>
          <w:rFonts w:ascii="Times New Roman" w:hAnsi="Times New Roman" w:cs="Times New Roman"/>
          <w:noProof/>
        </w:rPr>
        <w:t xml:space="preserve">, </w:t>
      </w:r>
      <w:r w:rsidRPr="00FD4986">
        <w:rPr>
          <w:rFonts w:ascii="Times New Roman" w:hAnsi="Times New Roman" w:cs="Times New Roman"/>
          <w:b/>
          <w:bCs/>
          <w:noProof/>
        </w:rPr>
        <w:t>Wu W</w:t>
      </w:r>
      <w:r w:rsidRPr="00FD4986">
        <w:rPr>
          <w:rFonts w:ascii="Times New Roman" w:hAnsi="Times New Roman" w:cs="Times New Roman"/>
          <w:noProof/>
        </w:rPr>
        <w:t xml:space="preserve">. A new look at state-space models for neural data.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29Springer: 107–126, 2010.</w:t>
      </w:r>
    </w:p>
    <w:p w14:paraId="43E37084"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Pillow JW</w:t>
      </w:r>
      <w:r w:rsidRPr="00FD4986">
        <w:rPr>
          <w:rFonts w:ascii="Times New Roman" w:hAnsi="Times New Roman" w:cs="Times New Roman"/>
          <w:noProof/>
        </w:rPr>
        <w:t xml:space="preserve">, </w:t>
      </w:r>
      <w:r w:rsidRPr="00FD4986">
        <w:rPr>
          <w:rFonts w:ascii="Times New Roman" w:hAnsi="Times New Roman" w:cs="Times New Roman"/>
          <w:b/>
          <w:bCs/>
          <w:noProof/>
        </w:rPr>
        <w:t>Scott JG</w:t>
      </w:r>
      <w:r w:rsidRPr="00FD4986">
        <w:rPr>
          <w:rFonts w:ascii="Times New Roman" w:hAnsi="Times New Roman" w:cs="Times New Roman"/>
          <w:noProof/>
        </w:rPr>
        <w:t xml:space="preserve">. </w:t>
      </w:r>
      <w:r w:rsidRPr="00FD4986">
        <w:rPr>
          <w:rFonts w:ascii="Times New Roman" w:hAnsi="Times New Roman" w:cs="Times New Roman"/>
          <w:i/>
          <w:iCs/>
          <w:noProof/>
        </w:rPr>
        <w:t>Fully Bayesian inference for neural models with negative-binomial spiking</w:t>
      </w:r>
      <w:r w:rsidRPr="00FD4986">
        <w:rPr>
          <w:rFonts w:ascii="Times New Roman" w:hAnsi="Times New Roman" w:cs="Times New Roman"/>
          <w:noProof/>
        </w:rPr>
        <w:t>. 2012.</w:t>
      </w:r>
    </w:p>
    <w:p w14:paraId="07605C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Rauch HE</w:t>
      </w:r>
      <w:r w:rsidRPr="00FD4986">
        <w:rPr>
          <w:rFonts w:ascii="Times New Roman" w:hAnsi="Times New Roman" w:cs="Times New Roman"/>
          <w:noProof/>
        </w:rPr>
        <w:t xml:space="preserve">, </w:t>
      </w:r>
      <w:r w:rsidRPr="00FD4986">
        <w:rPr>
          <w:rFonts w:ascii="Times New Roman" w:hAnsi="Times New Roman" w:cs="Times New Roman"/>
          <w:b/>
          <w:bCs/>
          <w:noProof/>
        </w:rPr>
        <w:t>Tung F</w:t>
      </w:r>
      <w:r w:rsidRPr="00FD4986">
        <w:rPr>
          <w:rFonts w:ascii="Times New Roman" w:hAnsi="Times New Roman" w:cs="Times New Roman"/>
          <w:noProof/>
        </w:rPr>
        <w:t xml:space="preserve">, </w:t>
      </w:r>
      <w:r w:rsidRPr="00FD4986">
        <w:rPr>
          <w:rFonts w:ascii="Times New Roman" w:hAnsi="Times New Roman" w:cs="Times New Roman"/>
          <w:b/>
          <w:bCs/>
          <w:noProof/>
        </w:rPr>
        <w:t>Striebel CT</w:t>
      </w:r>
      <w:r w:rsidRPr="00FD4986">
        <w:rPr>
          <w:rFonts w:ascii="Times New Roman" w:hAnsi="Times New Roman" w:cs="Times New Roman"/>
          <w:noProof/>
        </w:rPr>
        <w:t xml:space="preserve">. Maximum likelihood estimates of linear dynamic systems. </w:t>
      </w:r>
      <w:r w:rsidRPr="00FD4986">
        <w:rPr>
          <w:rFonts w:ascii="Times New Roman" w:hAnsi="Times New Roman" w:cs="Times New Roman"/>
          <w:i/>
          <w:iCs/>
          <w:noProof/>
        </w:rPr>
        <w:t>AIAA J</w:t>
      </w:r>
      <w:r w:rsidRPr="00FD4986">
        <w:rPr>
          <w:rFonts w:ascii="Times New Roman" w:hAnsi="Times New Roman" w:cs="Times New Roman"/>
          <w:noProof/>
        </w:rPr>
        <w:t xml:space="preserve"> 3: 1445–1450, 1965.</w:t>
      </w:r>
    </w:p>
    <w:p w14:paraId="16C1185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Rokni U</w:t>
      </w:r>
      <w:r w:rsidRPr="00FD4986">
        <w:rPr>
          <w:rFonts w:ascii="Times New Roman" w:hAnsi="Times New Roman" w:cs="Times New Roman"/>
          <w:noProof/>
        </w:rPr>
        <w:t xml:space="preserve">, </w:t>
      </w:r>
      <w:r w:rsidRPr="00FD4986">
        <w:rPr>
          <w:rFonts w:ascii="Times New Roman" w:hAnsi="Times New Roman" w:cs="Times New Roman"/>
          <w:b/>
          <w:bCs/>
          <w:noProof/>
        </w:rPr>
        <w:t>Richardson AG</w:t>
      </w:r>
      <w:r w:rsidRPr="00FD4986">
        <w:rPr>
          <w:rFonts w:ascii="Times New Roman" w:hAnsi="Times New Roman" w:cs="Times New Roman"/>
          <w:noProof/>
        </w:rPr>
        <w:t xml:space="preserve">, </w:t>
      </w:r>
      <w:r w:rsidRPr="00FD4986">
        <w:rPr>
          <w:rFonts w:ascii="Times New Roman" w:hAnsi="Times New Roman" w:cs="Times New Roman"/>
          <w:b/>
          <w:bCs/>
          <w:noProof/>
        </w:rPr>
        <w:t>Bizzi E</w:t>
      </w:r>
      <w:r w:rsidRPr="00FD4986">
        <w:rPr>
          <w:rFonts w:ascii="Times New Roman" w:hAnsi="Times New Roman" w:cs="Times New Roman"/>
          <w:noProof/>
        </w:rPr>
        <w:t xml:space="preserve">, </w:t>
      </w:r>
      <w:r w:rsidRPr="00FD4986">
        <w:rPr>
          <w:rFonts w:ascii="Times New Roman" w:hAnsi="Times New Roman" w:cs="Times New Roman"/>
          <w:b/>
          <w:bCs/>
          <w:noProof/>
        </w:rPr>
        <w:t>Seung HS</w:t>
      </w:r>
      <w:r w:rsidRPr="00FD4986">
        <w:rPr>
          <w:rFonts w:ascii="Times New Roman" w:hAnsi="Times New Roman" w:cs="Times New Roman"/>
          <w:noProof/>
        </w:rPr>
        <w:t xml:space="preserve">. Motor learning with unstable neural representations. </w:t>
      </w:r>
      <w:r w:rsidRPr="00FD4986">
        <w:rPr>
          <w:rFonts w:ascii="Times New Roman" w:hAnsi="Times New Roman" w:cs="Times New Roman"/>
          <w:i/>
          <w:iCs/>
          <w:noProof/>
        </w:rPr>
        <w:t>Neuron</w:t>
      </w:r>
      <w:r w:rsidRPr="00FD4986">
        <w:rPr>
          <w:rFonts w:ascii="Times New Roman" w:hAnsi="Times New Roman" w:cs="Times New Roman"/>
          <w:noProof/>
        </w:rPr>
        <w:t xml:space="preserve"> 54: 653–666, 2007.</w:t>
      </w:r>
    </w:p>
    <w:p w14:paraId="08CE8CF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Rossant C</w:t>
      </w:r>
      <w:r w:rsidRPr="00FD4986">
        <w:rPr>
          <w:rFonts w:ascii="Times New Roman" w:hAnsi="Times New Roman" w:cs="Times New Roman"/>
          <w:noProof/>
        </w:rPr>
        <w:t xml:space="preserve">, </w:t>
      </w:r>
      <w:r w:rsidRPr="00FD4986">
        <w:rPr>
          <w:rFonts w:ascii="Times New Roman" w:hAnsi="Times New Roman" w:cs="Times New Roman"/>
          <w:b/>
          <w:bCs/>
          <w:noProof/>
        </w:rPr>
        <w:t>Kadir SN</w:t>
      </w:r>
      <w:r w:rsidRPr="00FD4986">
        <w:rPr>
          <w:rFonts w:ascii="Times New Roman" w:hAnsi="Times New Roman" w:cs="Times New Roman"/>
          <w:noProof/>
        </w:rPr>
        <w:t xml:space="preserve">, </w:t>
      </w:r>
      <w:r w:rsidRPr="00FD4986">
        <w:rPr>
          <w:rFonts w:ascii="Times New Roman" w:hAnsi="Times New Roman" w:cs="Times New Roman"/>
          <w:b/>
          <w:bCs/>
          <w:noProof/>
        </w:rPr>
        <w:t>Goodman DFM</w:t>
      </w:r>
      <w:r w:rsidRPr="00FD4986">
        <w:rPr>
          <w:rFonts w:ascii="Times New Roman" w:hAnsi="Times New Roman" w:cs="Times New Roman"/>
          <w:noProof/>
        </w:rPr>
        <w:t xml:space="preserve">, </w:t>
      </w:r>
      <w:r w:rsidRPr="00FD4986">
        <w:rPr>
          <w:rFonts w:ascii="Times New Roman" w:hAnsi="Times New Roman" w:cs="Times New Roman"/>
          <w:b/>
          <w:bCs/>
          <w:noProof/>
        </w:rPr>
        <w:t>Schulman J</w:t>
      </w:r>
      <w:r w:rsidRPr="00FD4986">
        <w:rPr>
          <w:rFonts w:ascii="Times New Roman" w:hAnsi="Times New Roman" w:cs="Times New Roman"/>
          <w:noProof/>
        </w:rPr>
        <w:t xml:space="preserve">, </w:t>
      </w:r>
      <w:r w:rsidRPr="00FD4986">
        <w:rPr>
          <w:rFonts w:ascii="Times New Roman" w:hAnsi="Times New Roman" w:cs="Times New Roman"/>
          <w:b/>
          <w:bCs/>
          <w:noProof/>
        </w:rPr>
        <w:t>Hunter MLD</w:t>
      </w:r>
      <w:r w:rsidRPr="00FD4986">
        <w:rPr>
          <w:rFonts w:ascii="Times New Roman" w:hAnsi="Times New Roman" w:cs="Times New Roman"/>
          <w:noProof/>
        </w:rPr>
        <w:t xml:space="preserve">, </w:t>
      </w:r>
      <w:r w:rsidRPr="00FD4986">
        <w:rPr>
          <w:rFonts w:ascii="Times New Roman" w:hAnsi="Times New Roman" w:cs="Times New Roman"/>
          <w:b/>
          <w:bCs/>
          <w:noProof/>
        </w:rPr>
        <w:t>Saleem AB</w:t>
      </w:r>
      <w:r w:rsidRPr="00FD4986">
        <w:rPr>
          <w:rFonts w:ascii="Times New Roman" w:hAnsi="Times New Roman" w:cs="Times New Roman"/>
          <w:noProof/>
        </w:rPr>
        <w:t xml:space="preserve">, </w:t>
      </w:r>
      <w:r w:rsidRPr="00FD4986">
        <w:rPr>
          <w:rFonts w:ascii="Times New Roman" w:hAnsi="Times New Roman" w:cs="Times New Roman"/>
          <w:b/>
          <w:bCs/>
          <w:noProof/>
        </w:rPr>
        <w:t>Grosmark A</w:t>
      </w:r>
      <w:r w:rsidRPr="00FD4986">
        <w:rPr>
          <w:rFonts w:ascii="Times New Roman" w:hAnsi="Times New Roman" w:cs="Times New Roman"/>
          <w:noProof/>
        </w:rPr>
        <w:t xml:space="preserve">, </w:t>
      </w:r>
      <w:r w:rsidRPr="00FD4986">
        <w:rPr>
          <w:rFonts w:ascii="Times New Roman" w:hAnsi="Times New Roman" w:cs="Times New Roman"/>
          <w:b/>
          <w:bCs/>
          <w:noProof/>
        </w:rPr>
        <w:t>Belluscio M</w:t>
      </w:r>
      <w:r w:rsidRPr="00FD4986">
        <w:rPr>
          <w:rFonts w:ascii="Times New Roman" w:hAnsi="Times New Roman" w:cs="Times New Roman"/>
          <w:noProof/>
        </w:rPr>
        <w:t xml:space="preserve">, </w:t>
      </w:r>
      <w:r w:rsidRPr="00FD4986">
        <w:rPr>
          <w:rFonts w:ascii="Times New Roman" w:hAnsi="Times New Roman" w:cs="Times New Roman"/>
          <w:b/>
          <w:bCs/>
          <w:noProof/>
        </w:rPr>
        <w:t>Denfield GH</w:t>
      </w:r>
      <w:r w:rsidRPr="00FD4986">
        <w:rPr>
          <w:rFonts w:ascii="Times New Roman" w:hAnsi="Times New Roman" w:cs="Times New Roman"/>
          <w:noProof/>
        </w:rPr>
        <w:t xml:space="preserve">, </w:t>
      </w:r>
      <w:r w:rsidRPr="00FD4986">
        <w:rPr>
          <w:rFonts w:ascii="Times New Roman" w:hAnsi="Times New Roman" w:cs="Times New Roman"/>
          <w:b/>
          <w:bCs/>
          <w:noProof/>
        </w:rPr>
        <w:t>Ecker AS</w:t>
      </w:r>
      <w:r w:rsidRPr="00FD4986">
        <w:rPr>
          <w:rFonts w:ascii="Times New Roman" w:hAnsi="Times New Roman" w:cs="Times New Roman"/>
          <w:noProof/>
        </w:rPr>
        <w:t xml:space="preserve">, </w:t>
      </w:r>
      <w:r w:rsidRPr="00FD4986">
        <w:rPr>
          <w:rFonts w:ascii="Times New Roman" w:hAnsi="Times New Roman" w:cs="Times New Roman"/>
          <w:b/>
          <w:bCs/>
          <w:noProof/>
        </w:rPr>
        <w:t>Tolias AS</w:t>
      </w:r>
      <w:r w:rsidRPr="00FD4986">
        <w:rPr>
          <w:rFonts w:ascii="Times New Roman" w:hAnsi="Times New Roman" w:cs="Times New Roman"/>
          <w:noProof/>
        </w:rPr>
        <w:t xml:space="preserve">, </w:t>
      </w:r>
      <w:r w:rsidRPr="00FD4986">
        <w:rPr>
          <w:rFonts w:ascii="Times New Roman" w:hAnsi="Times New Roman" w:cs="Times New Roman"/>
          <w:b/>
          <w:bCs/>
          <w:noProof/>
        </w:rPr>
        <w:t>Solomon S</w:t>
      </w:r>
      <w:r w:rsidRPr="00FD4986">
        <w:rPr>
          <w:rFonts w:ascii="Times New Roman" w:hAnsi="Times New Roman" w:cs="Times New Roman"/>
          <w:noProof/>
        </w:rPr>
        <w:t xml:space="preserve">, </w:t>
      </w:r>
      <w:r w:rsidRPr="00FD4986">
        <w:rPr>
          <w:rFonts w:ascii="Times New Roman" w:hAnsi="Times New Roman" w:cs="Times New Roman"/>
          <w:b/>
          <w:bCs/>
          <w:noProof/>
        </w:rPr>
        <w:t>Buzski G</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Spike sorting for large, dense electrode arrays. </w:t>
      </w:r>
      <w:r w:rsidRPr="00FD4986">
        <w:rPr>
          <w:rFonts w:ascii="Times New Roman" w:hAnsi="Times New Roman" w:cs="Times New Roman"/>
          <w:i/>
          <w:iCs/>
          <w:noProof/>
        </w:rPr>
        <w:t>Nat Neurosci 2016 194</w:t>
      </w:r>
      <w:r w:rsidRPr="00FD4986">
        <w:rPr>
          <w:rFonts w:ascii="Times New Roman" w:hAnsi="Times New Roman" w:cs="Times New Roman"/>
          <w:noProof/>
        </w:rPr>
        <w:t xml:space="preserve"> 19: 634–641, 2016.</w:t>
      </w:r>
    </w:p>
    <w:p w14:paraId="770248F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Rule ME</w:t>
      </w:r>
      <w:r w:rsidRPr="00FD4986">
        <w:rPr>
          <w:rFonts w:ascii="Times New Roman" w:hAnsi="Times New Roman" w:cs="Times New Roman"/>
          <w:noProof/>
        </w:rPr>
        <w:t xml:space="preserve">, </w:t>
      </w:r>
      <w:r w:rsidRPr="00FD4986">
        <w:rPr>
          <w:rFonts w:ascii="Times New Roman" w:hAnsi="Times New Roman" w:cs="Times New Roman"/>
          <w:b/>
          <w:bCs/>
          <w:noProof/>
        </w:rPr>
        <w:t>O’Leary T</w:t>
      </w:r>
      <w:r w:rsidRPr="00FD4986">
        <w:rPr>
          <w:rFonts w:ascii="Times New Roman" w:hAnsi="Times New Roman" w:cs="Times New Roman"/>
          <w:noProof/>
        </w:rPr>
        <w:t xml:space="preserve">, </w:t>
      </w:r>
      <w:r w:rsidRPr="00FD4986">
        <w:rPr>
          <w:rFonts w:ascii="Times New Roman" w:hAnsi="Times New Roman" w:cs="Times New Roman"/>
          <w:b/>
          <w:bCs/>
          <w:noProof/>
        </w:rPr>
        <w:t>Harvey CD</w:t>
      </w:r>
      <w:r w:rsidRPr="00FD4986">
        <w:rPr>
          <w:rFonts w:ascii="Times New Roman" w:hAnsi="Times New Roman" w:cs="Times New Roman"/>
          <w:noProof/>
        </w:rPr>
        <w:t xml:space="preserve">. Causes and consequences of representational drift. </w:t>
      </w:r>
      <w:r w:rsidRPr="00FD4986">
        <w:rPr>
          <w:rFonts w:ascii="Times New Roman" w:hAnsi="Times New Roman" w:cs="Times New Roman"/>
          <w:i/>
          <w:iCs/>
          <w:noProof/>
        </w:rPr>
        <w:t>Curr Opin Neurobiol</w:t>
      </w:r>
      <w:r w:rsidRPr="00FD4986">
        <w:rPr>
          <w:rFonts w:ascii="Times New Roman" w:hAnsi="Times New Roman" w:cs="Times New Roman"/>
          <w:noProof/>
        </w:rPr>
        <w:t xml:space="preserve"> 58: 141–147, 2019.</w:t>
      </w:r>
    </w:p>
    <w:p w14:paraId="2DB58A1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Sellers KF</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A flexible regression model for count data. </w:t>
      </w:r>
      <w:r w:rsidRPr="00FD4986">
        <w:rPr>
          <w:rFonts w:ascii="Times New Roman" w:hAnsi="Times New Roman" w:cs="Times New Roman"/>
          <w:i/>
          <w:iCs/>
          <w:noProof/>
        </w:rPr>
        <w:t>https://doi.org/101214/09-AOAS306</w:t>
      </w:r>
      <w:r w:rsidRPr="00FD4986">
        <w:rPr>
          <w:rFonts w:ascii="Times New Roman" w:hAnsi="Times New Roman" w:cs="Times New Roman"/>
          <w:noProof/>
        </w:rPr>
        <w:t xml:space="preserve"> 4: 943–961, 2010.</w:t>
      </w:r>
    </w:p>
    <w:p w14:paraId="287F58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Shmueli G</w:t>
      </w:r>
      <w:r w:rsidRPr="00FD4986">
        <w:rPr>
          <w:rFonts w:ascii="Times New Roman" w:hAnsi="Times New Roman" w:cs="Times New Roman"/>
          <w:noProof/>
        </w:rPr>
        <w:t xml:space="preserve">, </w:t>
      </w:r>
      <w:r w:rsidRPr="00FD4986">
        <w:rPr>
          <w:rFonts w:ascii="Times New Roman" w:hAnsi="Times New Roman" w:cs="Times New Roman"/>
          <w:b/>
          <w:bCs/>
          <w:noProof/>
        </w:rPr>
        <w:t>Minka TP</w:t>
      </w:r>
      <w:r w:rsidRPr="00FD4986">
        <w:rPr>
          <w:rFonts w:ascii="Times New Roman" w:hAnsi="Times New Roman" w:cs="Times New Roman"/>
          <w:noProof/>
        </w:rPr>
        <w:t xml:space="preserve">, </w:t>
      </w:r>
      <w:r w:rsidRPr="00FD4986">
        <w:rPr>
          <w:rFonts w:ascii="Times New Roman" w:hAnsi="Times New Roman" w:cs="Times New Roman"/>
          <w:b/>
          <w:bCs/>
          <w:noProof/>
        </w:rPr>
        <w:t>Kadane JB</w:t>
      </w:r>
      <w:r w:rsidRPr="00FD4986">
        <w:rPr>
          <w:rFonts w:ascii="Times New Roman" w:hAnsi="Times New Roman" w:cs="Times New Roman"/>
          <w:noProof/>
        </w:rPr>
        <w:t xml:space="preserve">, </w:t>
      </w:r>
      <w:r w:rsidRPr="00FD4986">
        <w:rPr>
          <w:rFonts w:ascii="Times New Roman" w:hAnsi="Times New Roman" w:cs="Times New Roman"/>
          <w:b/>
          <w:bCs/>
          <w:noProof/>
        </w:rPr>
        <w:t>Borle S</w:t>
      </w:r>
      <w:r w:rsidRPr="00FD4986">
        <w:rPr>
          <w:rFonts w:ascii="Times New Roman" w:hAnsi="Times New Roman" w:cs="Times New Roman"/>
          <w:noProof/>
        </w:rPr>
        <w:t xml:space="preserve">, </w:t>
      </w:r>
      <w:r w:rsidRPr="00FD4986">
        <w:rPr>
          <w:rFonts w:ascii="Times New Roman" w:hAnsi="Times New Roman" w:cs="Times New Roman"/>
          <w:b/>
          <w:bCs/>
          <w:noProof/>
        </w:rPr>
        <w:t>Boatwright P</w:t>
      </w:r>
      <w:r w:rsidRPr="00FD4986">
        <w:rPr>
          <w:rFonts w:ascii="Times New Roman" w:hAnsi="Times New Roman" w:cs="Times New Roman"/>
          <w:noProof/>
        </w:rPr>
        <w:t xml:space="preserve">. A useful distribution for fitting discrete data: revival of the Conway–Maxwell–Poisson distribution. </w:t>
      </w:r>
      <w:r w:rsidRPr="00FD4986">
        <w:rPr>
          <w:rFonts w:ascii="Times New Roman" w:hAnsi="Times New Roman" w:cs="Times New Roman"/>
          <w:i/>
          <w:iCs/>
          <w:noProof/>
        </w:rPr>
        <w:t>J R Stat Soc Ser C (Applied Stat</w:t>
      </w:r>
      <w:r w:rsidRPr="00FD4986">
        <w:rPr>
          <w:rFonts w:ascii="Times New Roman" w:hAnsi="Times New Roman" w:cs="Times New Roman"/>
          <w:noProof/>
        </w:rPr>
        <w:t xml:space="preserve"> 54: 127–142, 2005.</w:t>
      </w:r>
    </w:p>
    <w:p w14:paraId="3882EA9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Shoham S</w:t>
      </w:r>
      <w:r w:rsidRPr="00FD4986">
        <w:rPr>
          <w:rFonts w:ascii="Times New Roman" w:hAnsi="Times New Roman" w:cs="Times New Roman"/>
          <w:noProof/>
        </w:rPr>
        <w:t xml:space="preserve">, </w:t>
      </w:r>
      <w:r w:rsidRPr="00FD4986">
        <w:rPr>
          <w:rFonts w:ascii="Times New Roman" w:hAnsi="Times New Roman" w:cs="Times New Roman"/>
          <w:b/>
          <w:bCs/>
          <w:noProof/>
        </w:rPr>
        <w:t>Fellows MR</w:t>
      </w:r>
      <w:r w:rsidRPr="00FD4986">
        <w:rPr>
          <w:rFonts w:ascii="Times New Roman" w:hAnsi="Times New Roman" w:cs="Times New Roman"/>
          <w:noProof/>
        </w:rPr>
        <w:t xml:space="preserve">, </w:t>
      </w:r>
      <w:r w:rsidRPr="00FD4986">
        <w:rPr>
          <w:rFonts w:ascii="Times New Roman" w:hAnsi="Times New Roman" w:cs="Times New Roman"/>
          <w:b/>
          <w:bCs/>
          <w:noProof/>
        </w:rPr>
        <w:t>Normann RA</w:t>
      </w:r>
      <w:r w:rsidRPr="00FD4986">
        <w:rPr>
          <w:rFonts w:ascii="Times New Roman" w:hAnsi="Times New Roman" w:cs="Times New Roman"/>
          <w:noProof/>
        </w:rPr>
        <w:t xml:space="preserve">. Robust, automatic spike sorting using mixtures of multivariate t-distributions.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127: 111–122, 2003.</w:t>
      </w:r>
    </w:p>
    <w:p w14:paraId="116D833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AC</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Estimating a state-space model from point process observations. </w:t>
      </w:r>
      <w:r w:rsidRPr="00FD4986">
        <w:rPr>
          <w:rFonts w:ascii="Times New Roman" w:hAnsi="Times New Roman" w:cs="Times New Roman"/>
          <w:i/>
          <w:iCs/>
          <w:noProof/>
        </w:rPr>
        <w:t>Neural Comput</w:t>
      </w:r>
      <w:r w:rsidRPr="00FD4986">
        <w:rPr>
          <w:rFonts w:ascii="Times New Roman" w:hAnsi="Times New Roman" w:cs="Times New Roman"/>
          <w:noProof/>
        </w:rPr>
        <w:t xml:space="preserve"> 15: 965–991, 2003.</w:t>
      </w:r>
    </w:p>
    <w:p w14:paraId="314E78F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Spatial and temporal scales of neuronal correlation in primary visual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28: 12591–12603, 2008.</w:t>
      </w:r>
    </w:p>
    <w:p w14:paraId="2A8476B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Steinmetz NA</w:t>
      </w:r>
      <w:r w:rsidRPr="00FD4986">
        <w:rPr>
          <w:rFonts w:ascii="Times New Roman" w:hAnsi="Times New Roman" w:cs="Times New Roman"/>
          <w:noProof/>
        </w:rPr>
        <w:t xml:space="preserve">, </w:t>
      </w:r>
      <w:r w:rsidRPr="00FD4986">
        <w:rPr>
          <w:rFonts w:ascii="Times New Roman" w:hAnsi="Times New Roman" w:cs="Times New Roman"/>
          <w:b/>
          <w:bCs/>
          <w:noProof/>
        </w:rPr>
        <w:t>Aydin C</w:t>
      </w:r>
      <w:r w:rsidRPr="00FD4986">
        <w:rPr>
          <w:rFonts w:ascii="Times New Roman" w:hAnsi="Times New Roman" w:cs="Times New Roman"/>
          <w:noProof/>
        </w:rPr>
        <w:t xml:space="preserve">, </w:t>
      </w:r>
      <w:r w:rsidRPr="00FD4986">
        <w:rPr>
          <w:rFonts w:ascii="Times New Roman" w:hAnsi="Times New Roman" w:cs="Times New Roman"/>
          <w:b/>
          <w:bCs/>
          <w:noProof/>
        </w:rPr>
        <w:t>Lebedeva A</w:t>
      </w:r>
      <w:r w:rsidRPr="00FD4986">
        <w:rPr>
          <w:rFonts w:ascii="Times New Roman" w:hAnsi="Times New Roman" w:cs="Times New Roman"/>
          <w:noProof/>
        </w:rPr>
        <w:t xml:space="preserve">, </w:t>
      </w:r>
      <w:r w:rsidRPr="00FD4986">
        <w:rPr>
          <w:rFonts w:ascii="Times New Roman" w:hAnsi="Times New Roman" w:cs="Times New Roman"/>
          <w:b/>
          <w:bCs/>
          <w:noProof/>
        </w:rPr>
        <w:t>Okun M</w:t>
      </w:r>
      <w:r w:rsidRPr="00FD4986">
        <w:rPr>
          <w:rFonts w:ascii="Times New Roman" w:hAnsi="Times New Roman" w:cs="Times New Roman"/>
          <w:noProof/>
        </w:rPr>
        <w:t xml:space="preserve">, </w:t>
      </w:r>
      <w:r w:rsidRPr="00FD4986">
        <w:rPr>
          <w:rFonts w:ascii="Times New Roman" w:hAnsi="Times New Roman" w:cs="Times New Roman"/>
          <w:b/>
          <w:bCs/>
          <w:noProof/>
        </w:rPr>
        <w:t>Pachitariu M</w:t>
      </w:r>
      <w:r w:rsidRPr="00FD4986">
        <w:rPr>
          <w:rFonts w:ascii="Times New Roman" w:hAnsi="Times New Roman" w:cs="Times New Roman"/>
          <w:noProof/>
        </w:rPr>
        <w:t xml:space="preserve">, </w:t>
      </w:r>
      <w:r w:rsidRPr="00FD4986">
        <w:rPr>
          <w:rFonts w:ascii="Times New Roman" w:hAnsi="Times New Roman" w:cs="Times New Roman"/>
          <w:b/>
          <w:bCs/>
          <w:noProof/>
        </w:rPr>
        <w:t>Bauza M</w:t>
      </w:r>
      <w:r w:rsidRPr="00FD4986">
        <w:rPr>
          <w:rFonts w:ascii="Times New Roman" w:hAnsi="Times New Roman" w:cs="Times New Roman"/>
          <w:noProof/>
        </w:rPr>
        <w:t xml:space="preserve">, </w:t>
      </w:r>
      <w:r w:rsidRPr="00FD4986">
        <w:rPr>
          <w:rFonts w:ascii="Times New Roman" w:hAnsi="Times New Roman" w:cs="Times New Roman"/>
          <w:b/>
          <w:bCs/>
          <w:noProof/>
        </w:rPr>
        <w:t>Beau M</w:t>
      </w:r>
      <w:r w:rsidRPr="00FD4986">
        <w:rPr>
          <w:rFonts w:ascii="Times New Roman" w:hAnsi="Times New Roman" w:cs="Times New Roman"/>
          <w:noProof/>
        </w:rPr>
        <w:t xml:space="preserve">, </w:t>
      </w:r>
      <w:r w:rsidRPr="00FD4986">
        <w:rPr>
          <w:rFonts w:ascii="Times New Roman" w:hAnsi="Times New Roman" w:cs="Times New Roman"/>
          <w:b/>
          <w:bCs/>
          <w:noProof/>
        </w:rPr>
        <w:t>Bhagat J</w:t>
      </w:r>
      <w:r w:rsidRPr="00FD4986">
        <w:rPr>
          <w:rFonts w:ascii="Times New Roman" w:hAnsi="Times New Roman" w:cs="Times New Roman"/>
          <w:noProof/>
        </w:rPr>
        <w:t xml:space="preserve">, </w:t>
      </w:r>
      <w:r w:rsidRPr="00FD4986">
        <w:rPr>
          <w:rFonts w:ascii="Times New Roman" w:hAnsi="Times New Roman" w:cs="Times New Roman"/>
          <w:b/>
          <w:bCs/>
          <w:noProof/>
        </w:rPr>
        <w:t>Böhm C</w:t>
      </w:r>
      <w:r w:rsidRPr="00FD4986">
        <w:rPr>
          <w:rFonts w:ascii="Times New Roman" w:hAnsi="Times New Roman" w:cs="Times New Roman"/>
          <w:noProof/>
        </w:rPr>
        <w:t xml:space="preserve">, </w:t>
      </w:r>
      <w:r w:rsidRPr="00FD4986">
        <w:rPr>
          <w:rFonts w:ascii="Times New Roman" w:hAnsi="Times New Roman" w:cs="Times New Roman"/>
          <w:b/>
          <w:bCs/>
          <w:noProof/>
        </w:rPr>
        <w:t>Broux M</w:t>
      </w:r>
      <w:r w:rsidRPr="00FD4986">
        <w:rPr>
          <w:rFonts w:ascii="Times New Roman" w:hAnsi="Times New Roman" w:cs="Times New Roman"/>
          <w:noProof/>
        </w:rPr>
        <w:t xml:space="preserve">, </w:t>
      </w:r>
      <w:r w:rsidRPr="00FD4986">
        <w:rPr>
          <w:rFonts w:ascii="Times New Roman" w:hAnsi="Times New Roman" w:cs="Times New Roman"/>
          <w:b/>
          <w:bCs/>
          <w:noProof/>
        </w:rPr>
        <w:t>Chen S</w:t>
      </w:r>
      <w:r w:rsidRPr="00FD4986">
        <w:rPr>
          <w:rFonts w:ascii="Times New Roman" w:hAnsi="Times New Roman" w:cs="Times New Roman"/>
          <w:noProof/>
        </w:rPr>
        <w:t xml:space="preserve">, </w:t>
      </w:r>
      <w:r w:rsidRPr="00FD4986">
        <w:rPr>
          <w:rFonts w:ascii="Times New Roman" w:hAnsi="Times New Roman" w:cs="Times New Roman"/>
          <w:b/>
          <w:bCs/>
          <w:noProof/>
        </w:rPr>
        <w:t>Colonell J</w:t>
      </w:r>
      <w:r w:rsidRPr="00FD4986">
        <w:rPr>
          <w:rFonts w:ascii="Times New Roman" w:hAnsi="Times New Roman" w:cs="Times New Roman"/>
          <w:noProof/>
        </w:rPr>
        <w:t xml:space="preserve">, </w:t>
      </w:r>
      <w:r w:rsidRPr="00FD4986">
        <w:rPr>
          <w:rFonts w:ascii="Times New Roman" w:hAnsi="Times New Roman" w:cs="Times New Roman"/>
          <w:b/>
          <w:bCs/>
          <w:noProof/>
        </w:rPr>
        <w:t>Gardner RJ</w:t>
      </w:r>
      <w:r w:rsidRPr="00FD4986">
        <w:rPr>
          <w:rFonts w:ascii="Times New Roman" w:hAnsi="Times New Roman" w:cs="Times New Roman"/>
          <w:noProof/>
        </w:rPr>
        <w:t xml:space="preserve">, </w:t>
      </w:r>
      <w:r w:rsidRPr="00FD4986">
        <w:rPr>
          <w:rFonts w:ascii="Times New Roman" w:hAnsi="Times New Roman" w:cs="Times New Roman"/>
          <w:b/>
          <w:bCs/>
          <w:noProof/>
        </w:rPr>
        <w:t>Karsh B</w:t>
      </w:r>
      <w:r w:rsidRPr="00FD4986">
        <w:rPr>
          <w:rFonts w:ascii="Times New Roman" w:hAnsi="Times New Roman" w:cs="Times New Roman"/>
          <w:noProof/>
        </w:rPr>
        <w:t xml:space="preserve">, </w:t>
      </w:r>
      <w:r w:rsidRPr="00FD4986">
        <w:rPr>
          <w:rFonts w:ascii="Times New Roman" w:hAnsi="Times New Roman" w:cs="Times New Roman"/>
          <w:b/>
          <w:bCs/>
          <w:noProof/>
        </w:rPr>
        <w:t>Kloosterman F</w:t>
      </w:r>
      <w:r w:rsidRPr="00FD4986">
        <w:rPr>
          <w:rFonts w:ascii="Times New Roman" w:hAnsi="Times New Roman" w:cs="Times New Roman"/>
          <w:noProof/>
        </w:rPr>
        <w:t xml:space="preserve">, </w:t>
      </w:r>
      <w:r w:rsidRPr="00FD4986">
        <w:rPr>
          <w:rFonts w:ascii="Times New Roman" w:hAnsi="Times New Roman" w:cs="Times New Roman"/>
          <w:b/>
          <w:bCs/>
          <w:noProof/>
        </w:rPr>
        <w:t>Kostadinov D</w:t>
      </w:r>
      <w:r w:rsidRPr="00FD4986">
        <w:rPr>
          <w:rFonts w:ascii="Times New Roman" w:hAnsi="Times New Roman" w:cs="Times New Roman"/>
          <w:noProof/>
        </w:rPr>
        <w:t xml:space="preserve">, </w:t>
      </w:r>
      <w:r w:rsidRPr="00FD4986">
        <w:rPr>
          <w:rFonts w:ascii="Times New Roman" w:hAnsi="Times New Roman" w:cs="Times New Roman"/>
          <w:b/>
          <w:bCs/>
          <w:noProof/>
        </w:rPr>
        <w:t>Mora-Lopez C</w:t>
      </w:r>
      <w:r w:rsidRPr="00FD4986">
        <w:rPr>
          <w:rFonts w:ascii="Times New Roman" w:hAnsi="Times New Roman" w:cs="Times New Roman"/>
          <w:noProof/>
        </w:rPr>
        <w:t xml:space="preserve">, </w:t>
      </w:r>
      <w:r w:rsidRPr="00FD4986">
        <w:rPr>
          <w:rFonts w:ascii="Times New Roman" w:hAnsi="Times New Roman" w:cs="Times New Roman"/>
          <w:b/>
          <w:bCs/>
          <w:noProof/>
        </w:rPr>
        <w:t>O’Callaghan J</w:t>
      </w:r>
      <w:r w:rsidRPr="00FD4986">
        <w:rPr>
          <w:rFonts w:ascii="Times New Roman" w:hAnsi="Times New Roman" w:cs="Times New Roman"/>
          <w:noProof/>
        </w:rPr>
        <w:t xml:space="preserve">, </w:t>
      </w:r>
      <w:r w:rsidRPr="00FD4986">
        <w:rPr>
          <w:rFonts w:ascii="Times New Roman" w:hAnsi="Times New Roman" w:cs="Times New Roman"/>
          <w:b/>
          <w:bCs/>
          <w:noProof/>
        </w:rPr>
        <w:t>Park J</w:t>
      </w:r>
      <w:r w:rsidRPr="00FD4986">
        <w:rPr>
          <w:rFonts w:ascii="Times New Roman" w:hAnsi="Times New Roman" w:cs="Times New Roman"/>
          <w:noProof/>
        </w:rPr>
        <w:t xml:space="preserve">, </w:t>
      </w:r>
      <w:r w:rsidRPr="00FD4986">
        <w:rPr>
          <w:rFonts w:ascii="Times New Roman" w:hAnsi="Times New Roman" w:cs="Times New Roman"/>
          <w:b/>
          <w:bCs/>
          <w:noProof/>
        </w:rPr>
        <w:t>Putzeys J</w:t>
      </w:r>
      <w:r w:rsidRPr="00FD4986">
        <w:rPr>
          <w:rFonts w:ascii="Times New Roman" w:hAnsi="Times New Roman" w:cs="Times New Roman"/>
          <w:noProof/>
        </w:rPr>
        <w:t xml:space="preserve">, </w:t>
      </w:r>
      <w:r w:rsidRPr="00FD4986">
        <w:rPr>
          <w:rFonts w:ascii="Times New Roman" w:hAnsi="Times New Roman" w:cs="Times New Roman"/>
          <w:b/>
          <w:bCs/>
          <w:noProof/>
        </w:rPr>
        <w:t>Sauerbrei B</w:t>
      </w:r>
      <w:r w:rsidRPr="00FD4986">
        <w:rPr>
          <w:rFonts w:ascii="Times New Roman" w:hAnsi="Times New Roman" w:cs="Times New Roman"/>
          <w:noProof/>
        </w:rPr>
        <w:t xml:space="preserve">, </w:t>
      </w:r>
      <w:r w:rsidRPr="00FD4986">
        <w:rPr>
          <w:rFonts w:ascii="Times New Roman" w:hAnsi="Times New Roman" w:cs="Times New Roman"/>
          <w:b/>
          <w:bCs/>
          <w:noProof/>
        </w:rPr>
        <w:t>van Daal RJJ</w:t>
      </w:r>
      <w:r w:rsidRPr="00FD4986">
        <w:rPr>
          <w:rFonts w:ascii="Times New Roman" w:hAnsi="Times New Roman" w:cs="Times New Roman"/>
          <w:noProof/>
        </w:rPr>
        <w:t xml:space="preserve">, </w:t>
      </w:r>
      <w:r w:rsidRPr="00FD4986">
        <w:rPr>
          <w:rFonts w:ascii="Times New Roman" w:hAnsi="Times New Roman" w:cs="Times New Roman"/>
          <w:b/>
          <w:bCs/>
          <w:noProof/>
        </w:rPr>
        <w:t>Vollan AZ</w:t>
      </w:r>
      <w:r w:rsidRPr="00FD4986">
        <w:rPr>
          <w:rFonts w:ascii="Times New Roman" w:hAnsi="Times New Roman" w:cs="Times New Roman"/>
          <w:noProof/>
        </w:rPr>
        <w:t xml:space="preserve">, </w:t>
      </w:r>
      <w:r w:rsidRPr="00FD4986">
        <w:rPr>
          <w:rFonts w:ascii="Times New Roman" w:hAnsi="Times New Roman" w:cs="Times New Roman"/>
          <w:b/>
          <w:bCs/>
          <w:noProof/>
        </w:rPr>
        <w:t>Wang S</w:t>
      </w:r>
      <w:r w:rsidRPr="00FD4986">
        <w:rPr>
          <w:rFonts w:ascii="Times New Roman" w:hAnsi="Times New Roman" w:cs="Times New Roman"/>
          <w:noProof/>
        </w:rPr>
        <w:t xml:space="preserve">, </w:t>
      </w:r>
      <w:r w:rsidRPr="00FD4986">
        <w:rPr>
          <w:rFonts w:ascii="Times New Roman" w:hAnsi="Times New Roman" w:cs="Times New Roman"/>
          <w:b/>
          <w:bCs/>
          <w:noProof/>
        </w:rPr>
        <w:t>Welkenhuysen M</w:t>
      </w:r>
      <w:r w:rsidRPr="00FD4986">
        <w:rPr>
          <w:rFonts w:ascii="Times New Roman" w:hAnsi="Times New Roman" w:cs="Times New Roman"/>
          <w:noProof/>
        </w:rPr>
        <w:t xml:space="preserve">, </w:t>
      </w:r>
      <w:r w:rsidRPr="00FD4986">
        <w:rPr>
          <w:rFonts w:ascii="Times New Roman" w:hAnsi="Times New Roman" w:cs="Times New Roman"/>
          <w:b/>
          <w:bCs/>
          <w:noProof/>
        </w:rPr>
        <w:t>Ye Z</w:t>
      </w:r>
      <w:r w:rsidRPr="00FD4986">
        <w:rPr>
          <w:rFonts w:ascii="Times New Roman" w:hAnsi="Times New Roman" w:cs="Times New Roman"/>
          <w:noProof/>
        </w:rPr>
        <w:t xml:space="preserve">, </w:t>
      </w:r>
      <w:r w:rsidRPr="00FD4986">
        <w:rPr>
          <w:rFonts w:ascii="Times New Roman" w:hAnsi="Times New Roman" w:cs="Times New Roman"/>
          <w:b/>
          <w:bCs/>
          <w:noProof/>
        </w:rPr>
        <w:t>Dudman JT</w:t>
      </w:r>
      <w:r w:rsidRPr="00FD4986">
        <w:rPr>
          <w:rFonts w:ascii="Times New Roman" w:hAnsi="Times New Roman" w:cs="Times New Roman"/>
          <w:noProof/>
        </w:rPr>
        <w:t xml:space="preserve">, </w:t>
      </w:r>
      <w:r w:rsidRPr="00FD4986">
        <w:rPr>
          <w:rFonts w:ascii="Times New Roman" w:hAnsi="Times New Roman" w:cs="Times New Roman"/>
          <w:b/>
          <w:bCs/>
          <w:noProof/>
        </w:rPr>
        <w:t>Dutta B</w:t>
      </w:r>
      <w:r w:rsidRPr="00FD4986">
        <w:rPr>
          <w:rFonts w:ascii="Times New Roman" w:hAnsi="Times New Roman" w:cs="Times New Roman"/>
          <w:noProof/>
        </w:rPr>
        <w:t xml:space="preserve">, </w:t>
      </w:r>
      <w:r w:rsidRPr="00FD4986">
        <w:rPr>
          <w:rFonts w:ascii="Times New Roman" w:hAnsi="Times New Roman" w:cs="Times New Roman"/>
          <w:b/>
          <w:bCs/>
          <w:noProof/>
        </w:rPr>
        <w:t>Hantman AW</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w:t>
      </w:r>
      <w:r w:rsidRPr="00FD4986">
        <w:rPr>
          <w:rFonts w:ascii="Times New Roman" w:hAnsi="Times New Roman" w:cs="Times New Roman"/>
          <w:b/>
          <w:bCs/>
          <w:noProof/>
        </w:rPr>
        <w:t>Lee AK</w:t>
      </w:r>
      <w:r w:rsidRPr="00FD4986">
        <w:rPr>
          <w:rFonts w:ascii="Times New Roman" w:hAnsi="Times New Roman" w:cs="Times New Roman"/>
          <w:noProof/>
        </w:rPr>
        <w:t xml:space="preserve">, </w:t>
      </w:r>
      <w:r w:rsidRPr="00FD4986">
        <w:rPr>
          <w:rFonts w:ascii="Times New Roman" w:hAnsi="Times New Roman" w:cs="Times New Roman"/>
          <w:b/>
          <w:bCs/>
          <w:noProof/>
        </w:rPr>
        <w:t>Moser EI</w:t>
      </w:r>
      <w:r w:rsidRPr="00FD4986">
        <w:rPr>
          <w:rFonts w:ascii="Times New Roman" w:hAnsi="Times New Roman" w:cs="Times New Roman"/>
          <w:noProof/>
        </w:rPr>
        <w:t xml:space="preserve">, </w:t>
      </w:r>
      <w:r w:rsidRPr="00FD4986">
        <w:rPr>
          <w:rFonts w:ascii="Times New Roman" w:hAnsi="Times New Roman" w:cs="Times New Roman"/>
          <w:b/>
          <w:bCs/>
          <w:noProof/>
        </w:rPr>
        <w:t>O’Keefe J</w:t>
      </w:r>
      <w:r w:rsidRPr="00FD4986">
        <w:rPr>
          <w:rFonts w:ascii="Times New Roman" w:hAnsi="Times New Roman" w:cs="Times New Roman"/>
          <w:noProof/>
        </w:rPr>
        <w:t xml:space="preserve">, </w:t>
      </w:r>
      <w:r w:rsidRPr="00FD4986">
        <w:rPr>
          <w:rFonts w:ascii="Times New Roman" w:hAnsi="Times New Roman" w:cs="Times New Roman"/>
          <w:b/>
          <w:bCs/>
          <w:noProof/>
        </w:rPr>
        <w:t>Renart A</w:t>
      </w:r>
      <w:r w:rsidRPr="00FD4986">
        <w:rPr>
          <w:rFonts w:ascii="Times New Roman" w:hAnsi="Times New Roman" w:cs="Times New Roman"/>
          <w:noProof/>
        </w:rPr>
        <w:t xml:space="preserve">, </w:t>
      </w:r>
      <w:r w:rsidRPr="00FD4986">
        <w:rPr>
          <w:rFonts w:ascii="Times New Roman" w:hAnsi="Times New Roman" w:cs="Times New Roman"/>
          <w:b/>
          <w:bCs/>
          <w:noProof/>
        </w:rPr>
        <w:t>Svoboda K</w:t>
      </w:r>
      <w:r w:rsidRPr="00FD4986">
        <w:rPr>
          <w:rFonts w:ascii="Times New Roman" w:hAnsi="Times New Roman" w:cs="Times New Roman"/>
          <w:noProof/>
        </w:rPr>
        <w:t xml:space="preserve">, </w:t>
      </w:r>
      <w:r w:rsidRPr="00FD4986">
        <w:rPr>
          <w:rFonts w:ascii="Times New Roman" w:hAnsi="Times New Roman" w:cs="Times New Roman"/>
          <w:b/>
          <w:bCs/>
          <w:noProof/>
        </w:rPr>
        <w:t>Häusser M</w:t>
      </w:r>
      <w:r w:rsidRPr="00FD4986">
        <w:rPr>
          <w:rFonts w:ascii="Times New Roman" w:hAnsi="Times New Roman" w:cs="Times New Roman"/>
          <w:noProof/>
        </w:rPr>
        <w:t xml:space="preserve">, </w:t>
      </w:r>
      <w:r w:rsidRPr="00FD4986">
        <w:rPr>
          <w:rFonts w:ascii="Times New Roman" w:hAnsi="Times New Roman" w:cs="Times New Roman"/>
          <w:b/>
          <w:bCs/>
          <w:noProof/>
        </w:rPr>
        <w:t>Haesler S</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TD</w:t>
      </w:r>
      <w:r w:rsidRPr="00FD4986">
        <w:rPr>
          <w:rFonts w:ascii="Times New Roman" w:hAnsi="Times New Roman" w:cs="Times New Roman"/>
          <w:noProof/>
        </w:rPr>
        <w:t xml:space="preserve">. Neuropixels 2.0: A miniaturized high-density probe for stable, long-term brain recordings. </w:t>
      </w:r>
      <w:r w:rsidRPr="00FD4986">
        <w:rPr>
          <w:rFonts w:ascii="Times New Roman" w:hAnsi="Times New Roman" w:cs="Times New Roman"/>
          <w:i/>
          <w:iCs/>
          <w:noProof/>
        </w:rPr>
        <w:t>Science (80- )</w:t>
      </w:r>
      <w:r w:rsidRPr="00FD4986">
        <w:rPr>
          <w:rFonts w:ascii="Times New Roman" w:hAnsi="Times New Roman" w:cs="Times New Roman"/>
          <w:noProof/>
        </w:rPr>
        <w:t xml:space="preserve"> 372, 2021.</w:t>
      </w:r>
    </w:p>
    <w:p w14:paraId="36CB77D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Flexible models for spike count data with both over- and under- dispersion.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41: 29–43, 2016.</w:t>
      </w:r>
    </w:p>
    <w:p w14:paraId="36C23F4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Omitted Variable Bias in GLMs of Neural Spiking Activity. </w:t>
      </w:r>
      <w:r w:rsidRPr="00FD4986">
        <w:rPr>
          <w:rFonts w:ascii="Times New Roman" w:hAnsi="Times New Roman" w:cs="Times New Roman"/>
          <w:i/>
          <w:iCs/>
          <w:noProof/>
        </w:rPr>
        <w:t>Neural Comput</w:t>
      </w:r>
      <w:r w:rsidRPr="00FD4986">
        <w:rPr>
          <w:rFonts w:ascii="Times New Roman" w:hAnsi="Times New Roman" w:cs="Times New Roman"/>
          <w:noProof/>
        </w:rPr>
        <w:t xml:space="preserve"> 30: 3227–3258, 2018.</w:t>
      </w:r>
    </w:p>
    <w:p w14:paraId="5501CF5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w:t>
      </w:r>
      <w:r w:rsidRPr="00FD4986">
        <w:rPr>
          <w:rFonts w:ascii="Times New Roman" w:hAnsi="Times New Roman" w:cs="Times New Roman"/>
          <w:b/>
          <w:bCs/>
          <w:noProof/>
        </w:rPr>
        <w:t>Cherian A</w:t>
      </w:r>
      <w:r w:rsidRPr="00FD4986">
        <w:rPr>
          <w:rFonts w:ascii="Times New Roman" w:hAnsi="Times New Roman" w:cs="Times New Roman"/>
          <w:noProof/>
        </w:rPr>
        <w:t xml:space="preserve">, </w:t>
      </w:r>
      <w:r w:rsidRPr="00FD4986">
        <w:rPr>
          <w:rFonts w:ascii="Times New Roman" w:hAnsi="Times New Roman" w:cs="Times New Roman"/>
          <w:b/>
          <w:bCs/>
          <w:noProof/>
        </w:rPr>
        <w:t>London BM</w:t>
      </w:r>
      <w:r w:rsidRPr="00FD4986">
        <w:rPr>
          <w:rFonts w:ascii="Times New Roman" w:hAnsi="Times New Roman" w:cs="Times New Roman"/>
          <w:noProof/>
        </w:rPr>
        <w:t xml:space="preserve">, </w:t>
      </w:r>
      <w:r w:rsidRPr="00FD4986">
        <w:rPr>
          <w:rFonts w:ascii="Times New Roman" w:hAnsi="Times New Roman" w:cs="Times New Roman"/>
          <w:b/>
          <w:bCs/>
          <w:noProof/>
        </w:rPr>
        <w:t>Sachs NA</w:t>
      </w:r>
      <w:r w:rsidRPr="00FD4986">
        <w:rPr>
          <w:rFonts w:ascii="Times New Roman" w:hAnsi="Times New Roman" w:cs="Times New Roman"/>
          <w:noProof/>
        </w:rPr>
        <w:t xml:space="preserve">, </w:t>
      </w:r>
      <w:r w:rsidRPr="00FD4986">
        <w:rPr>
          <w:rFonts w:ascii="Times New Roman" w:hAnsi="Times New Roman" w:cs="Times New Roman"/>
          <w:b/>
          <w:bCs/>
          <w:noProof/>
        </w:rPr>
        <w:t>Lindberg E</w:t>
      </w:r>
      <w:r w:rsidRPr="00FD4986">
        <w:rPr>
          <w:rFonts w:ascii="Times New Roman" w:hAnsi="Times New Roman" w:cs="Times New Roman"/>
          <w:noProof/>
        </w:rPr>
        <w:t xml:space="preserve">, </w:t>
      </w:r>
      <w:r w:rsidRPr="00FD4986">
        <w:rPr>
          <w:rFonts w:ascii="Times New Roman" w:hAnsi="Times New Roman" w:cs="Times New Roman"/>
          <w:b/>
          <w:bCs/>
          <w:noProof/>
        </w:rPr>
        <w:t>Reimer J</w:t>
      </w:r>
      <w:r w:rsidRPr="00FD4986">
        <w:rPr>
          <w:rFonts w:ascii="Times New Roman" w:hAnsi="Times New Roman" w:cs="Times New Roman"/>
          <w:noProof/>
        </w:rPr>
        <w:t xml:space="preserve">, </w:t>
      </w:r>
      <w:r w:rsidRPr="00FD4986">
        <w:rPr>
          <w:rFonts w:ascii="Times New Roman" w:hAnsi="Times New Roman" w:cs="Times New Roman"/>
          <w:b/>
          <w:bCs/>
          <w:noProof/>
        </w:rPr>
        <w:t>Slutzky MW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Miller LE</w:t>
      </w:r>
      <w:r w:rsidRPr="00FD4986">
        <w:rPr>
          <w:rFonts w:ascii="Times New Roman" w:hAnsi="Times New Roman" w:cs="Times New Roman"/>
          <w:noProof/>
        </w:rPr>
        <w:t xml:space="preserve">, </w:t>
      </w:r>
      <w:r w:rsidRPr="00FD4986">
        <w:rPr>
          <w:rFonts w:ascii="Times New Roman" w:hAnsi="Times New Roman" w:cs="Times New Roman"/>
          <w:b/>
          <w:bCs/>
          <w:noProof/>
        </w:rPr>
        <w:t>Kording KP</w:t>
      </w:r>
      <w:r w:rsidRPr="00FD4986">
        <w:rPr>
          <w:rFonts w:ascii="Times New Roman" w:hAnsi="Times New Roman" w:cs="Times New Roman"/>
          <w:noProof/>
        </w:rPr>
        <w:t xml:space="preserve">. Statistical assessment of the stability of neural movement representations.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106: 764–774, 2011.</w:t>
      </w:r>
    </w:p>
    <w:p w14:paraId="417C53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Taouali W</w:t>
      </w:r>
      <w:r w:rsidRPr="00FD4986">
        <w:rPr>
          <w:rFonts w:ascii="Times New Roman" w:hAnsi="Times New Roman" w:cs="Times New Roman"/>
          <w:noProof/>
        </w:rPr>
        <w:t xml:space="preserve">, </w:t>
      </w:r>
      <w:r w:rsidRPr="00FD4986">
        <w:rPr>
          <w:rFonts w:ascii="Times New Roman" w:hAnsi="Times New Roman" w:cs="Times New Roman"/>
          <w:b/>
          <w:bCs/>
          <w:noProof/>
        </w:rPr>
        <w:t>Benvenuti G</w:t>
      </w:r>
      <w:r w:rsidRPr="00FD4986">
        <w:rPr>
          <w:rFonts w:ascii="Times New Roman" w:hAnsi="Times New Roman" w:cs="Times New Roman"/>
          <w:noProof/>
        </w:rPr>
        <w:t xml:space="preserve">, </w:t>
      </w:r>
      <w:r w:rsidRPr="00FD4986">
        <w:rPr>
          <w:rFonts w:ascii="Times New Roman" w:hAnsi="Times New Roman" w:cs="Times New Roman"/>
          <w:b/>
          <w:bCs/>
          <w:noProof/>
        </w:rPr>
        <w:t>Wallisch P</w:t>
      </w:r>
      <w:r w:rsidRPr="00FD4986">
        <w:rPr>
          <w:rFonts w:ascii="Times New Roman" w:hAnsi="Times New Roman" w:cs="Times New Roman"/>
          <w:noProof/>
        </w:rPr>
        <w:t xml:space="preserve">, </w:t>
      </w:r>
      <w:r w:rsidRPr="00FD4986">
        <w:rPr>
          <w:rFonts w:ascii="Times New Roman" w:hAnsi="Times New Roman" w:cs="Times New Roman"/>
          <w:b/>
          <w:bCs/>
          <w:noProof/>
        </w:rPr>
        <w:t>Chavane F</w:t>
      </w:r>
      <w:r w:rsidRPr="00FD4986">
        <w:rPr>
          <w:rFonts w:ascii="Times New Roman" w:hAnsi="Times New Roman" w:cs="Times New Roman"/>
          <w:noProof/>
        </w:rPr>
        <w:t xml:space="preserve">, </w:t>
      </w:r>
      <w:r w:rsidRPr="00FD4986">
        <w:rPr>
          <w:rFonts w:ascii="Times New Roman" w:hAnsi="Times New Roman" w:cs="Times New Roman"/>
          <w:b/>
          <w:bCs/>
          <w:noProof/>
        </w:rPr>
        <w:t>Perrinet LU</w:t>
      </w:r>
      <w:r w:rsidRPr="00FD4986">
        <w:rPr>
          <w:rFonts w:ascii="Times New Roman" w:hAnsi="Times New Roman" w:cs="Times New Roman"/>
          <w:noProof/>
        </w:rPr>
        <w:t xml:space="preserve">. Testing the odds of inherent vs. observed overdispersion in neural spike counts. </w:t>
      </w:r>
      <w:r w:rsidRPr="00FD4986">
        <w:rPr>
          <w:rFonts w:ascii="Times New Roman" w:hAnsi="Times New Roman" w:cs="Times New Roman"/>
          <w:i/>
          <w:iCs/>
          <w:noProof/>
        </w:rPr>
        <w:t>J Neurophysiol</w:t>
      </w:r>
      <w:r w:rsidRPr="00FD4986">
        <w:rPr>
          <w:rFonts w:ascii="Times New Roman" w:hAnsi="Times New Roman" w:cs="Times New Roman"/>
          <w:noProof/>
        </w:rPr>
        <w:t xml:space="preserve"> 115: 434–44, 2016.</w:t>
      </w:r>
    </w:p>
    <w:p w14:paraId="5993FC1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Tomko GJ</w:t>
      </w:r>
      <w:r w:rsidRPr="00FD4986">
        <w:rPr>
          <w:rFonts w:ascii="Times New Roman" w:hAnsi="Times New Roman" w:cs="Times New Roman"/>
          <w:noProof/>
        </w:rPr>
        <w:t xml:space="preserve">, </w:t>
      </w:r>
      <w:r w:rsidRPr="00FD4986">
        <w:rPr>
          <w:rFonts w:ascii="Times New Roman" w:hAnsi="Times New Roman" w:cs="Times New Roman"/>
          <w:b/>
          <w:bCs/>
          <w:noProof/>
        </w:rPr>
        <w:t>Crapper DR</w:t>
      </w:r>
      <w:r w:rsidRPr="00FD4986">
        <w:rPr>
          <w:rFonts w:ascii="Times New Roman" w:hAnsi="Times New Roman" w:cs="Times New Roman"/>
          <w:noProof/>
        </w:rPr>
        <w:t xml:space="preserve">. Neuronal Variability - Nonstationary Responses to Identical Visual-Stimuli. </w:t>
      </w:r>
      <w:r w:rsidRPr="00FD4986">
        <w:rPr>
          <w:rFonts w:ascii="Times New Roman" w:hAnsi="Times New Roman" w:cs="Times New Roman"/>
          <w:i/>
          <w:iCs/>
          <w:noProof/>
        </w:rPr>
        <w:t>Brain Res</w:t>
      </w:r>
      <w:r w:rsidRPr="00FD4986">
        <w:rPr>
          <w:rFonts w:ascii="Times New Roman" w:hAnsi="Times New Roman" w:cs="Times New Roman"/>
          <w:noProof/>
        </w:rPr>
        <w:t xml:space="preserve"> 79: 405–418, 1974.</w:t>
      </w:r>
    </w:p>
    <w:p w14:paraId="1D3A359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Uzzell VJ</w:t>
      </w:r>
      <w:r w:rsidRPr="00FD4986">
        <w:rPr>
          <w:rFonts w:ascii="Times New Roman" w:hAnsi="Times New Roman" w:cs="Times New Roman"/>
          <w:noProof/>
        </w:rPr>
        <w:t xml:space="preserve">, </w:t>
      </w:r>
      <w:r w:rsidRPr="00FD4986">
        <w:rPr>
          <w:rFonts w:ascii="Times New Roman" w:hAnsi="Times New Roman" w:cs="Times New Roman"/>
          <w:b/>
          <w:bCs/>
          <w:noProof/>
        </w:rPr>
        <w:t>Chichilnisky EJ</w:t>
      </w:r>
      <w:r w:rsidRPr="00FD4986">
        <w:rPr>
          <w:rFonts w:ascii="Times New Roman" w:hAnsi="Times New Roman" w:cs="Times New Roman"/>
          <w:noProof/>
        </w:rPr>
        <w:t xml:space="preserve">. Precision of spike trains in primate retinal ganglion cells.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780–789, 2004.</w:t>
      </w:r>
    </w:p>
    <w:p w14:paraId="5D27207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Wei G</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Tracking Fast and Slow Changes in Synaptic Weights From Simultaneously Observed Pre- and Postsynaptic Spiking. </w:t>
      </w:r>
      <w:r w:rsidRPr="00FD4986">
        <w:rPr>
          <w:rFonts w:ascii="Times New Roman" w:hAnsi="Times New Roman" w:cs="Times New Roman"/>
          <w:i/>
          <w:iCs/>
          <w:noProof/>
        </w:rPr>
        <w:t>Neural Comput</w:t>
      </w:r>
      <w:r w:rsidRPr="00FD4986">
        <w:rPr>
          <w:rFonts w:ascii="Times New Roman" w:hAnsi="Times New Roman" w:cs="Times New Roman"/>
          <w:noProof/>
        </w:rPr>
        <w:t xml:space="preserve"> 33: 2682–2709, 2021.</w:t>
      </w:r>
    </w:p>
    <w:p w14:paraId="41159F6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Wu 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Real-time decoding of nonstationary neural activity in motor cortex. </w:t>
      </w:r>
      <w:r w:rsidRPr="00FD4986">
        <w:rPr>
          <w:rFonts w:ascii="Times New Roman" w:hAnsi="Times New Roman" w:cs="Times New Roman"/>
          <w:i/>
          <w:iCs/>
          <w:noProof/>
        </w:rPr>
        <w:t>Neural Syst Rehabil Eng IEEE Trans</w:t>
      </w:r>
      <w:r w:rsidRPr="00FD498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7110A39D" w14:textId="7E5656F2" w:rsidR="00BD7A4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785B80">
        <w:rPr>
          <w:bCs/>
        </w:rPr>
        <w:t xml:space="preserve"> where, for </w:t>
      </w:r>
      <m:oMath>
        <m:r>
          <m:rPr>
            <m:sty m:val="bi"/>
          </m:rPr>
          <w:rPr>
            <w:rFonts w:ascii="Cambria Math" w:hAnsi="Cambria Math"/>
          </w:rPr>
          <m:t>a</m:t>
        </m:r>
        <m:r>
          <w:rPr>
            <w:rFonts w:ascii="Cambria Math" w:hAnsi="Cambria Math"/>
          </w:rPr>
          <m:t>=</m:t>
        </m:r>
        <m:r>
          <m:rPr>
            <m:sty m:val="bi"/>
          </m:rPr>
          <w:rPr>
            <w:rFonts w:ascii="Cambria Math" w:hAnsi="Cambria Math"/>
          </w:rPr>
          <m:t>Zμ</m:t>
        </m:r>
      </m:oMath>
      <w:r w:rsidR="00785B80">
        <w:rPr>
          <w:bCs/>
        </w:rPr>
        <w:t xml:space="preserve"> and </w:t>
      </w:r>
      <m:oMath>
        <m:r>
          <m:rPr>
            <m:sty m:val="bi"/>
          </m:rPr>
          <w:rPr>
            <w:rFonts w:ascii="Cambria Math" w:hAnsi="Cambria Math"/>
          </w:rPr>
          <m:t>S</m:t>
        </m:r>
        <m:r>
          <w:rPr>
            <w:rFonts w:ascii="Cambria Math" w:hAnsi="Cambria Math"/>
          </w:rPr>
          <m:t>=</m:t>
        </m:r>
        <m:r>
          <m:rPr>
            <m:sty m:val="bi"/>
          </m:rPr>
          <w:rPr>
            <w:rFonts w:ascii="Cambria Math" w:hAnsi="Cambria Math"/>
          </w:rPr>
          <m:t>Z</m:t>
        </m:r>
        <m:r>
          <m:rPr>
            <m:sty m:val="b"/>
          </m:rPr>
          <w:rPr>
            <w:rFonts w:ascii="Cambria Math" w:hAnsi="Cambria Math"/>
          </w:rPr>
          <m:t>ΣZ</m:t>
        </m:r>
        <m:r>
          <m:rPr>
            <m:sty m:val="p"/>
          </m:rPr>
          <w:rPr>
            <w:rFonts w:ascii="Cambria Math" w:hAnsi="Cambria Math"/>
          </w:rPr>
          <m:t>'</m:t>
        </m:r>
      </m:oMath>
      <w:r w:rsidR="00785B80">
        <w:rPr>
          <w:bCs/>
        </w:rPr>
        <w:t>,</w:t>
      </w:r>
      <w:r w:rsidR="00942B5B">
        <w:rPr>
          <w:bCs/>
        </w:rPr>
        <w:t xml:space="preserve"> </w:t>
      </w:r>
      <m:oMath>
        <m:sSub>
          <m:sSubPr>
            <m:ctrlPr>
              <w:rPr>
                <w:rFonts w:ascii="Cambria Math" w:hAnsi="Cambria Math"/>
                <w:bCs/>
                <w:i/>
              </w:rPr>
            </m:ctrlPr>
          </m:sSubPr>
          <m:e>
            <m:d>
              <m:dPr>
                <m:begChr m:val="["/>
                <m:endChr m:val="]"/>
                <m:ctrlPr>
                  <w:rPr>
                    <w:rFonts w:ascii="Cambria Math" w:hAnsi="Cambria Math"/>
                    <w:bCs/>
                    <w:i/>
                  </w:rPr>
                </m:ctrlPr>
              </m:dPr>
              <m:e>
                <m:r>
                  <m:rPr>
                    <m:sty m:val="bi"/>
                  </m:rPr>
                  <w:rPr>
                    <w:rFonts w:ascii="Cambria Math" w:hAnsi="Cambria Math"/>
                  </w:rPr>
                  <m:t>V</m:t>
                </m:r>
              </m:e>
            </m:d>
          </m:e>
          <m:sub>
            <m:r>
              <w:rPr>
                <w:rFonts w:ascii="Cambria Math" w:hAnsi="Cambria Math"/>
              </w:rPr>
              <m:t>mn</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mm</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nn</m:t>
                    </m:r>
                  </m:sub>
                </m:sSub>
              </m:e>
            </m:d>
          </m:sup>
        </m:sSup>
        <m:d>
          <m:dPr>
            <m:ctrlPr>
              <w:rPr>
                <w:rFonts w:ascii="Cambria Math" w:hAnsi="Cambria Math"/>
                <w:bCs/>
                <w:i/>
              </w:rPr>
            </m:ctrlPr>
          </m:dPr>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S</m:t>
                    </m:r>
                  </m:e>
                  <m:sub>
                    <m:r>
                      <w:rPr>
                        <w:rFonts w:ascii="Cambria Math" w:hAnsi="Cambria Math"/>
                      </w:rPr>
                      <m:t>mn</m:t>
                    </m:r>
                  </m:sub>
                </m:sSub>
              </m:sup>
            </m:sSup>
            <m:r>
              <w:rPr>
                <w:rFonts w:ascii="Cambria Math" w:hAnsi="Cambria Math"/>
              </w:rPr>
              <m:t>-1</m:t>
            </m:r>
          </m:e>
        </m:d>
      </m:oMath>
      <w:r w:rsidR="00BD7A41">
        <w:rPr>
          <w:bCs/>
        </w:rPr>
        <w:t xml:space="preserve">. </w:t>
      </w:r>
    </w:p>
    <w:p w14:paraId="143026B7" w14:textId="01E4A705"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2C07C4"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r w:rsidRPr="005713EA">
        <w:t>Moments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60E049BD"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w:t>
      </w:r>
      <w:r w:rsidR="00297C7A">
        <w:t xml:space="preserve"> </w:t>
      </w:r>
      <w:r w:rsidR="00297C7A">
        <w:fldChar w:fldCharType="begin" w:fldLock="1"/>
      </w:r>
      <w:r w:rsidR="00E161A1">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model","type":"article-journal","volume":"121"},"uris":["http://www.mendeley.com/documents/?uuid=f4e1492c-a86b-3681-982c-11b1055eb33e"]},{"id":"ITEM-2","itemData":{"DOI":"10.1007/s10463-017-0629-6","abstract":"The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w:instrText>
      </w:r>
      <w:r w:rsidR="00E161A1">
        <w:rPr>
          <w:rFonts w:hint="eastAsia"/>
        </w:rPr>
        <w:instrText>finite series that in general has no closed form, although several papers have derived approximations for this sum. In this work, we start by using probabilistic argument to obtain the leading term in the asymptotic expansion of Z (</w:instrText>
      </w:r>
      <w:r w:rsidR="00E161A1">
        <w:rPr>
          <w:rFonts w:hint="eastAsia"/>
        </w:rPr>
        <w:instrText>λ</w:instrText>
      </w:r>
      <w:r w:rsidR="00E161A1">
        <w:rPr>
          <w:rFonts w:hint="eastAsia"/>
        </w:rPr>
        <w:instrText xml:space="preserve">, </w:instrText>
      </w:r>
      <w:r w:rsidR="00E161A1">
        <w:rPr>
          <w:rFonts w:hint="eastAsia"/>
        </w:rPr>
        <w:instrText>ν</w:instrText>
      </w:r>
      <w:r w:rsidR="00E161A1">
        <w:rPr>
          <w:rFonts w:hint="eastAsia"/>
        </w:rPr>
        <w:instrText xml:space="preserve">) in the limit </w:instrText>
      </w:r>
      <w:r w:rsidR="00E161A1">
        <w:rPr>
          <w:rFonts w:hint="eastAsia"/>
        </w:rPr>
        <w:instrText>λ</w:instrText>
      </w:r>
      <w:r w:rsidR="00E161A1">
        <w:rPr>
          <w:rFonts w:hint="eastAsia"/>
        </w:rPr>
        <w:instrText xml:space="preserve"> </w:instrText>
      </w:r>
      <w:r w:rsidR="00E161A1">
        <w:rPr>
          <w:rFonts w:hint="eastAsia"/>
        </w:rPr>
        <w:instrText>→</w:instrText>
      </w:r>
      <w:r w:rsidR="00E161A1">
        <w:rPr>
          <w:rFonts w:hint="eastAsia"/>
        </w:rPr>
        <w:instrText xml:space="preserve"> </w:instrText>
      </w:r>
      <w:r w:rsidR="00E161A1">
        <w:rPr>
          <w:rFonts w:hint="eastAsia"/>
        </w:rPr>
        <w:instrText>∞</w:instrText>
      </w:r>
      <w:r w:rsidR="00E161A1">
        <w:rPr>
          <w:rFonts w:hint="eastAsia"/>
        </w:rPr>
        <w:instrText xml:space="preserve"> that holds for all </w:instrText>
      </w:r>
      <w:r w:rsidR="00E161A1">
        <w:rPr>
          <w:rFonts w:hint="eastAsia"/>
        </w:rPr>
        <w:instrText>ν</w:instrText>
      </w:r>
      <w:r w:rsidR="00E161A1">
        <w:rPr>
          <w:rFonts w:hint="eastAsia"/>
        </w:rPr>
        <w:instrText xml:space="preserve"> &gt; 0. We then use an integral representation to obtain the entire asymptotic series and give explicit formulas for the first eight coefficients. We apply this asymptotic series to obtain approximations for the mean, variance, cumulan</w:instrText>
      </w:r>
      <w:r w:rsidR="00E161A1">
        <w:instrText>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Math","id":"ITEM-2","issued":{"date-parts":[["2019"]]},"page":"163-180","title":"An asymptotic expansion for the normalizing constant of the Conway-Maxwell-Poisson distribution","type":"article-journal","volume":"71"},"uris":["http://www.mendeley.com/documents/?uuid=2522355f-c10e-3b15-ad94-8efd9f30b730"]}],"mendeley":{"formattedCitation":"(Chatla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97C7A">
        <w:fldChar w:fldCharType="separate"/>
      </w:r>
      <w:r w:rsidR="00297C7A" w:rsidRPr="00297C7A">
        <w:rPr>
          <w:noProof/>
        </w:rPr>
        <w:t>(Chatla and Shmueli 2018; Gaunt et al. 2019)</w:t>
      </w:r>
      <w:r w:rsidR="00297C7A">
        <w:fldChar w:fldCharType="end"/>
      </w:r>
      <w:r w:rsidRPr="00940C2D">
        <w:t xml:space="preserve">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34FD4DA4" w:rsidR="00DF0933" w:rsidRDefault="00DF0933" w:rsidP="00A85603">
      <w:pPr>
        <w:spacing w:line="240" w:lineRule="auto"/>
      </w:pPr>
      <w:r>
        <w:t>Then the moments</w:t>
      </w:r>
      <w:r w:rsidR="00C71914">
        <w:t xml:space="preserve"> can be calculated as </w:t>
      </w:r>
      <w:r w:rsidR="00297C7A">
        <w:t>follows</w:t>
      </w:r>
      <w:r w:rsidR="00C71914">
        <w:t>:</w:t>
      </w:r>
    </w:p>
    <w:p w14:paraId="4C7AF020" w14:textId="30C7A8F4" w:rsidR="00DF0933" w:rsidRDefault="00AC455B" w:rsidP="00A85603">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Y</m:t>
              </m:r>
            </m:e>
          </m:d>
          <m:r>
            <m:rPr>
              <m:aln/>
            </m:rPr>
            <w:rPr>
              <w:rFonts w:ascii="Cambria Math" w:hAnsi="Cambria Math"/>
            </w:rPr>
            <m:t>=α-</m:t>
          </m:r>
          <m:f>
            <m:fPr>
              <m:ctrlPr>
                <w:rPr>
                  <w:rFonts w:ascii="Cambria Math" w:hAnsi="Cambria Math"/>
                  <w:i/>
                </w:rPr>
              </m:ctrlPr>
            </m:fPr>
            <m:num>
              <m:r>
                <w:rPr>
                  <w:rFonts w:ascii="Cambria Math" w:hAnsi="Cambria Math"/>
                </w:rPr>
                <m:t>ν-1</m:t>
              </m:r>
            </m:num>
            <m:den>
              <m:r>
                <w:rPr>
                  <w:rFonts w:ascii="Cambria Math" w:hAnsi="Cambria Math"/>
                </w:rPr>
                <m:t>2ν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2</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m:rPr>
              <m:aln/>
            </m:rP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ν</m:t>
                  </m:r>
                </m:e>
                <m:sup>
                  <m:r>
                    <w:rPr>
                      <w:rFonts w:ascii="Cambria Math" w:hAnsi="Cambria Math"/>
                    </w:rPr>
                    <m:t>4</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5</m:t>
                  </m:r>
                </m:sup>
              </m:sSup>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+4ν</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6</m:t>
                  </m:r>
                </m:sup>
              </m:sSup>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-2ν</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t>The gradient</w:t>
      </w:r>
      <w:r w:rsidR="00940C2D">
        <w:t xml:space="preserve"> is</w:t>
      </w:r>
      <w:r>
        <w:t>:</w:t>
      </w:r>
    </w:p>
    <w:p w14:paraId="01A22906" w14:textId="5AA02C7B" w:rsidR="00AC455B" w:rsidRPr="00BF3887" w:rsidRDefault="002C07C4"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where</w:t>
      </w:r>
    </w:p>
    <w:p w14:paraId="78CCF8AF" w14:textId="0D69C8AA" w:rsidR="00940C2D" w:rsidRDefault="002C07C4"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2C07C4"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7A9A" w14:textId="77777777" w:rsidR="002C07C4" w:rsidRDefault="002C07C4" w:rsidP="009B10EC">
      <w:pPr>
        <w:spacing w:line="240" w:lineRule="auto"/>
      </w:pPr>
      <w:r>
        <w:separator/>
      </w:r>
    </w:p>
  </w:endnote>
  <w:endnote w:type="continuationSeparator" w:id="0">
    <w:p w14:paraId="2403A641" w14:textId="77777777" w:rsidR="002C07C4" w:rsidRDefault="002C07C4"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0AD4" w14:textId="77777777" w:rsidR="002C07C4" w:rsidRDefault="002C07C4" w:rsidP="009B10EC">
      <w:pPr>
        <w:spacing w:line="240" w:lineRule="auto"/>
      </w:pPr>
      <w:r>
        <w:separator/>
      </w:r>
    </w:p>
  </w:footnote>
  <w:footnote w:type="continuationSeparator" w:id="0">
    <w:p w14:paraId="607B9EB8" w14:textId="77777777" w:rsidR="002C07C4" w:rsidRDefault="002C07C4"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01E9"/>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227E"/>
    <w:rsid w:val="000335A0"/>
    <w:rsid w:val="000440BB"/>
    <w:rsid w:val="00050A61"/>
    <w:rsid w:val="0005220C"/>
    <w:rsid w:val="00052A6C"/>
    <w:rsid w:val="00052D7B"/>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0195"/>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0C44"/>
    <w:rsid w:val="00162431"/>
    <w:rsid w:val="00162C3C"/>
    <w:rsid w:val="001675A7"/>
    <w:rsid w:val="00173A7E"/>
    <w:rsid w:val="00177D99"/>
    <w:rsid w:val="001806E5"/>
    <w:rsid w:val="001843DA"/>
    <w:rsid w:val="00185594"/>
    <w:rsid w:val="00194D7D"/>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808"/>
    <w:rsid w:val="001D3F7C"/>
    <w:rsid w:val="001D5E31"/>
    <w:rsid w:val="001D7913"/>
    <w:rsid w:val="001E1726"/>
    <w:rsid w:val="001E4623"/>
    <w:rsid w:val="001E4DA9"/>
    <w:rsid w:val="001E569C"/>
    <w:rsid w:val="001E6D28"/>
    <w:rsid w:val="001E6EAF"/>
    <w:rsid w:val="001F0231"/>
    <w:rsid w:val="001F0DC5"/>
    <w:rsid w:val="001F1891"/>
    <w:rsid w:val="001F3FD6"/>
    <w:rsid w:val="001F6135"/>
    <w:rsid w:val="0020650E"/>
    <w:rsid w:val="00206642"/>
    <w:rsid w:val="00215DCE"/>
    <w:rsid w:val="002163FA"/>
    <w:rsid w:val="002179B0"/>
    <w:rsid w:val="00220F3F"/>
    <w:rsid w:val="0022469B"/>
    <w:rsid w:val="00231D36"/>
    <w:rsid w:val="0023354F"/>
    <w:rsid w:val="00235D32"/>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97C7A"/>
    <w:rsid w:val="002A5267"/>
    <w:rsid w:val="002A5F9B"/>
    <w:rsid w:val="002B0AB7"/>
    <w:rsid w:val="002B1076"/>
    <w:rsid w:val="002B2D79"/>
    <w:rsid w:val="002B71AF"/>
    <w:rsid w:val="002C07C4"/>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27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7E6"/>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502F"/>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4A17"/>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A76FF"/>
    <w:rsid w:val="006B0351"/>
    <w:rsid w:val="006B0847"/>
    <w:rsid w:val="006B24FE"/>
    <w:rsid w:val="006B3C17"/>
    <w:rsid w:val="006B4AA2"/>
    <w:rsid w:val="006C0592"/>
    <w:rsid w:val="006C07EE"/>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7F30FF"/>
    <w:rsid w:val="008024F1"/>
    <w:rsid w:val="0080306A"/>
    <w:rsid w:val="00804EE2"/>
    <w:rsid w:val="00816911"/>
    <w:rsid w:val="00816E04"/>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2FDD"/>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2C0"/>
    <w:rsid w:val="009D07DC"/>
    <w:rsid w:val="009D0B4C"/>
    <w:rsid w:val="009D1475"/>
    <w:rsid w:val="009D27B9"/>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0B5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2C50"/>
    <w:rsid w:val="00AB4515"/>
    <w:rsid w:val="00AB5731"/>
    <w:rsid w:val="00AC16A0"/>
    <w:rsid w:val="00AC455B"/>
    <w:rsid w:val="00AD06D8"/>
    <w:rsid w:val="00AD359C"/>
    <w:rsid w:val="00AD414D"/>
    <w:rsid w:val="00AD4F7B"/>
    <w:rsid w:val="00AD5C48"/>
    <w:rsid w:val="00AD6BAA"/>
    <w:rsid w:val="00AE1557"/>
    <w:rsid w:val="00AE3875"/>
    <w:rsid w:val="00AE4031"/>
    <w:rsid w:val="00AE5074"/>
    <w:rsid w:val="00AF2098"/>
    <w:rsid w:val="00B04342"/>
    <w:rsid w:val="00B05195"/>
    <w:rsid w:val="00B11B24"/>
    <w:rsid w:val="00B13365"/>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A5444"/>
    <w:rsid w:val="00BB029C"/>
    <w:rsid w:val="00BB570A"/>
    <w:rsid w:val="00BC5AEF"/>
    <w:rsid w:val="00BC6174"/>
    <w:rsid w:val="00BD35A0"/>
    <w:rsid w:val="00BD4765"/>
    <w:rsid w:val="00BD7A41"/>
    <w:rsid w:val="00BE0CCE"/>
    <w:rsid w:val="00BE2EE2"/>
    <w:rsid w:val="00BE461A"/>
    <w:rsid w:val="00BE6663"/>
    <w:rsid w:val="00BE7D30"/>
    <w:rsid w:val="00BF025E"/>
    <w:rsid w:val="00BF14B1"/>
    <w:rsid w:val="00BF2C08"/>
    <w:rsid w:val="00BF3887"/>
    <w:rsid w:val="00C009AE"/>
    <w:rsid w:val="00C058E4"/>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0B66"/>
    <w:rsid w:val="00C71914"/>
    <w:rsid w:val="00C71C1E"/>
    <w:rsid w:val="00C756EE"/>
    <w:rsid w:val="00C75989"/>
    <w:rsid w:val="00C80F49"/>
    <w:rsid w:val="00C8327E"/>
    <w:rsid w:val="00C862F8"/>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79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D7563"/>
    <w:rsid w:val="00DE0B6D"/>
    <w:rsid w:val="00DE39F2"/>
    <w:rsid w:val="00DE6A97"/>
    <w:rsid w:val="00DF0933"/>
    <w:rsid w:val="00DF2D31"/>
    <w:rsid w:val="00DF3AB8"/>
    <w:rsid w:val="00DF6835"/>
    <w:rsid w:val="00DF72E4"/>
    <w:rsid w:val="00DF7E21"/>
    <w:rsid w:val="00E06C0A"/>
    <w:rsid w:val="00E10417"/>
    <w:rsid w:val="00E127B0"/>
    <w:rsid w:val="00E161A1"/>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C6F3F"/>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2F17"/>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A79F8"/>
    <w:rsid w:val="00FB1F06"/>
    <w:rsid w:val="00FB373E"/>
    <w:rsid w:val="00FB5B78"/>
    <w:rsid w:val="00FB7416"/>
    <w:rsid w:val="00FC0364"/>
    <w:rsid w:val="00FD2241"/>
    <w:rsid w:val="00FD4520"/>
    <w:rsid w:val="00FD4986"/>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gcdsb/COM_POISS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31894</Words>
  <Characters>181802</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8</cp:revision>
  <dcterms:created xsi:type="dcterms:W3CDTF">2022-04-25T18:10:00Z</dcterms:created>
  <dcterms:modified xsi:type="dcterms:W3CDTF">2022-04-26T11:55:00Z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