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B63E" w14:textId="1B58E007" w:rsidR="00827291" w:rsidRDefault="00BA121F">
      <w:r>
        <w:t>Clustering Neural Populations by Poisson Dynamic Factor Model</w:t>
      </w:r>
    </w:p>
    <w:p w14:paraId="3B97244A" w14:textId="30580A1E" w:rsidR="00BA121F" w:rsidRDefault="00BA121F"/>
    <w:p w14:paraId="3C88F591" w14:textId="7D714EE4" w:rsidR="00BA121F" w:rsidRDefault="00BA121F" w:rsidP="00A00171">
      <w:pPr>
        <w:pStyle w:val="Heading1"/>
      </w:pPr>
      <w:r>
        <w:t>Abstract</w:t>
      </w:r>
    </w:p>
    <w:p w14:paraId="7EEC7EDB" w14:textId="51CB857A" w:rsidR="00BA121F" w:rsidRDefault="00BA121F"/>
    <w:p w14:paraId="07CC8525" w14:textId="02939E10" w:rsidR="00BA121F" w:rsidRDefault="00BA121F" w:rsidP="00A00171">
      <w:pPr>
        <w:pStyle w:val="Heading1"/>
      </w:pPr>
      <w:r>
        <w:t>Introduction</w:t>
      </w:r>
    </w:p>
    <w:p w14:paraId="74236D74" w14:textId="0E2AEA57" w:rsidR="00BA121F" w:rsidRDefault="00BA121F"/>
    <w:p w14:paraId="1F6CC514" w14:textId="2AD14FF5" w:rsidR="00BA121F" w:rsidRDefault="00BA121F"/>
    <w:p w14:paraId="3AF52C9E" w14:textId="6ABD6F3B" w:rsidR="00BA121F" w:rsidRDefault="00BA121F"/>
    <w:p w14:paraId="00610F5E" w14:textId="08E8A09E" w:rsidR="00BA121F" w:rsidRDefault="00BA121F" w:rsidP="00A00171">
      <w:pPr>
        <w:pStyle w:val="Heading1"/>
      </w:pPr>
      <w:r>
        <w:t>Method</w:t>
      </w:r>
    </w:p>
    <w:p w14:paraId="5F668C90" w14:textId="5CB8DE12" w:rsidR="00BA121F" w:rsidRDefault="00BA121F" w:rsidP="00A00171">
      <w:pPr>
        <w:pStyle w:val="Heading2"/>
      </w:pPr>
      <w:r>
        <w:t>Poisson Dynamic Factor Model</w:t>
      </w:r>
    </w:p>
    <w:p w14:paraId="3B2C421D" w14:textId="3ECDAECF" w:rsidR="00BA121F" w:rsidRDefault="00BE17CC">
      <w:r>
        <w:t xml:space="preserve">Denote the observed spike-count of neuron </w:t>
      </w:r>
      <m:oMath>
        <m:r>
          <w:rPr>
            <w:rFonts w:ascii="Cambria Math" w:hAnsi="Cambria Math"/>
          </w:rPr>
          <m:t>i∈{1,…,N}</m:t>
        </m:r>
      </m:oMath>
      <w:r>
        <w:t xml:space="preserve"> at time bin </w:t>
      </w:r>
      <m:oMath>
        <m:r>
          <w:rPr>
            <w:rFonts w:ascii="Cambria Math" w:hAnsi="Cambria Math"/>
          </w:rPr>
          <m:t>t∈{1,…,T}</m:t>
        </m:r>
      </m:oMath>
      <w:r>
        <w:t xml:space="preserve"> as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≥0</m:t>
            </m:r>
          </m:sub>
        </m:sSub>
      </m:oMath>
      <w:r>
        <w:t xml:space="preserve">, and let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e>
            </m:d>
          </m:e>
          <m:sup>
            <m:r>
              <w:rPr>
                <w:rFonts w:ascii="Cambria Math" w:hAnsi="Cambria Math"/>
              </w:rPr>
              <m:t>'</m:t>
            </m:r>
          </m:sup>
        </m:sSup>
      </m:oMath>
      <w:r>
        <w:t xml:space="preserve">. </w:t>
      </w:r>
      <w:r w:rsidR="00AF0860">
        <w:t xml:space="preserve">Further, let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oMath>
      <w:r w:rsidR="00AF0860">
        <w:t xml:space="preserve"> denote the cluster indicator of neuron </w:t>
      </w:r>
      <m:oMath>
        <m:r>
          <w:rPr>
            <w:rFonts w:ascii="Cambria Math" w:hAnsi="Cambria Math"/>
          </w:rPr>
          <m:t>i</m:t>
        </m:r>
      </m:oMath>
      <w:r w:rsidR="00AF0860">
        <w:t xml:space="preserve">. </w:t>
      </w:r>
      <w:r w:rsidR="0000790A">
        <w:t>To facilitate clustering, we reparametrize the regular</w:t>
      </w:r>
      <w:r w:rsidR="00EE26C2">
        <w:t xml:space="preserve"> Poisson</w:t>
      </w:r>
      <w:r w:rsidR="0000790A">
        <w:t xml:space="preserve"> </w:t>
      </w:r>
      <w:r w:rsidR="00EE26C2">
        <w:t xml:space="preserve">linear dynamical system (PLDS) model to separate the mean log-firing-rate out. </w:t>
      </w:r>
      <w:r w:rsidR="00AF0860">
        <w:t>Assume neurons are independently Poisson distributed, conditional on</w:t>
      </w:r>
      <w:r w:rsidR="0000790A">
        <w:t xml:space="preserve"> the low-dimensional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EE26C2">
        <w:t xml:space="preserve"> as follows:</w:t>
      </w:r>
    </w:p>
    <w:p w14:paraId="73B823A5" w14:textId="2110086E" w:rsidR="00EE26C2" w:rsidRDefault="000E07A6">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∼Poi</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oMath>
      </m:oMathPara>
    </w:p>
    <w:p w14:paraId="6A3FF5F7" w14:textId="77777777" w:rsidR="00CD3D9F" w:rsidRDefault="00CD3D9F">
      <w:r>
        <w:t xml:space="preserve">, with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t xml:space="preserve">. We further assume the intercept </w:t>
      </w:r>
      <m:oMath>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oMath>
      <w:r>
        <w:t xml:space="preserve"> and the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oMath>
      <w:r>
        <w:t xml:space="preserve"> progress linearly with Gaussian noise as </w:t>
      </w:r>
    </w:p>
    <w:p w14:paraId="3435BD9B" w14:textId="4F15DB4E" w:rsidR="00CD3D9F" w:rsidRPr="00CD3D9F" w:rsidRDefault="000E07A6" w:rsidP="00CD3D9F">
      <w:pPr>
        <w:divId w:val="1062949579"/>
        <w:rPr>
          <w:rFonts w:ascii="Cambria Math" w:hAnsi="Cambria Math"/>
          <w:i/>
        </w:rPr>
      </w:pPr>
      <m:oMathPara>
        <m:oMath>
          <m:sSubSup>
            <m:sSubSupPr>
              <m:ctrlPr>
                <w:rPr>
                  <w:rFonts w:ascii="Cambria Math" w:hAnsi="Cambria Math"/>
                  <w:i/>
                  <w:iCs/>
                </w:rPr>
              </m:ctrlPr>
            </m:sSubSupPr>
            <m:e>
              <m:r>
                <w:rPr>
                  <w:rFonts w:ascii="Cambria Math" w:hAnsi="Cambria Math"/>
                </w:rPr>
                <m:t>μ</m:t>
              </m:r>
            </m:e>
            <m:sub>
              <m:r>
                <w:rPr>
                  <w:rFonts w:ascii="Cambria Math" w:hAnsi="Cambria Math"/>
                </w:rPr>
                <m:t>1</m:t>
              </m:r>
            </m:sub>
            <m:sup>
              <m:d>
                <m:dPr>
                  <m:ctrlPr>
                    <w:rPr>
                      <w:rFonts w:ascii="Cambria Math" w:hAnsi="Cambria Math"/>
                      <w:i/>
                      <w:iCs/>
                    </w:rPr>
                  </m:ctrlPr>
                </m:dPr>
                <m:e>
                  <m:r>
                    <w:rPr>
                      <w:rFonts w:ascii="Cambria Math" w:hAnsi="Cambria Math"/>
                    </w:rPr>
                    <m:t>j</m:t>
                  </m:r>
                </m:e>
              </m:d>
            </m:sup>
          </m:sSubSup>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i/>
                  <w:iCs/>
                </w:rPr>
              </m:ctrlPr>
            </m:sSubSupPr>
            <m:e>
              <m:r>
                <w:rPr>
                  <w:rFonts w:ascii="Cambria Math" w:hAnsi="Cambria Math"/>
                </w:rPr>
                <m:t>μ</m:t>
              </m:r>
            </m:e>
            <m:sub>
              <m:r>
                <w:rPr>
                  <w:rFonts w:ascii="Cambria Math" w:hAnsi="Cambria Math"/>
                </w:rPr>
                <m:t>t+1</m:t>
              </m:r>
            </m:sub>
            <m:sup>
              <m:d>
                <m:dPr>
                  <m:ctrlPr>
                    <w:rPr>
                      <w:rFonts w:ascii="Cambria Math" w:hAnsi="Cambria Math"/>
                      <w:i/>
                      <w:iCs/>
                    </w:rPr>
                  </m:ctrlPr>
                </m:dPr>
                <m:e>
                  <m:r>
                    <w:rPr>
                      <w:rFonts w:ascii="Cambria Math" w:hAnsi="Cambria Math"/>
                    </w:rPr>
                    <m:t>j</m:t>
                  </m:r>
                </m:e>
              </m:d>
            </m:sup>
          </m:sSubSup>
          <m:r>
            <w:rPr>
              <w:rFonts w:ascii="Cambria Math" w:hAnsi="Cambria Math"/>
            </w:rPr>
            <m:t>∼N</m:t>
          </m:r>
          <m:d>
            <m:dPr>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 </m:t>
              </m:r>
              <m:sSup>
                <m:sSupPr>
                  <m:ctrlPr>
                    <w:rPr>
                      <w:rFonts w:ascii="Cambria Math" w:hAnsi="Cambria Math"/>
                      <w:i/>
                      <w:iCs/>
                    </w:rPr>
                  </m:ctrlPr>
                </m:sSupPr>
                <m:e>
                  <m:r>
                    <w:rPr>
                      <w:rFonts w:ascii="Cambria Math" w:hAnsi="Cambria Math"/>
                    </w:rPr>
                    <m:t>Σ</m:t>
                  </m:r>
                </m:e>
                <m:sup>
                  <m:d>
                    <m:dPr>
                      <m:ctrlPr>
                        <w:rPr>
                          <w:rFonts w:ascii="Cambria Math" w:hAnsi="Cambria Math"/>
                          <w:i/>
                          <w:iCs/>
                        </w:rPr>
                      </m:ctrlPr>
                    </m:dPr>
                    <m:e>
                      <m:r>
                        <w:rPr>
                          <w:rFonts w:ascii="Cambria Math" w:hAnsi="Cambria Math"/>
                        </w:rPr>
                        <m:t>j</m:t>
                      </m:r>
                    </m:e>
                  </m:d>
                </m:sup>
              </m:sSup>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x</m:t>
                  </m:r>
                </m:e>
                <m:sub>
                  <m:r>
                    <w:rPr>
                      <w:rFonts w:ascii="Cambria Math" w:hAnsi="Cambria Math"/>
                    </w:rPr>
                    <m:t>0</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 </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r>
            <m:rPr>
              <m:sty m:val="bi"/>
            </m:rPr>
            <w:rPr>
              <w:rFonts w:ascii="Cambria Math" w:hAnsi="Cambria Math"/>
            </w:rPr>
            <m:t>)</m:t>
          </m:r>
        </m:oMath>
      </m:oMathPara>
    </w:p>
    <w:p w14:paraId="3DA0B2D3" w14:textId="1000E9A9" w:rsidR="00E14A24" w:rsidRDefault="00E14A24">
      <w:pPr>
        <w:rPr>
          <w:iCs/>
        </w:rPr>
      </w:pPr>
      <w:r>
        <w:t>If we denote</w:t>
      </w:r>
      <m:oMath>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e>
            </m:d>
          </m:e>
          <m:sup>
            <m:r>
              <w:rPr>
                <w:rFonts w:ascii="Cambria Math" w:hAnsi="Cambria Math"/>
              </w:rPr>
              <m:t>'</m:t>
            </m:r>
          </m:sup>
        </m:sSup>
      </m:oMath>
      <w:r w:rsidR="007E4683">
        <w:t>,</w:t>
      </w:r>
      <w:r>
        <w:t xml:space="preserve"> </w:t>
      </w:r>
      <m:oMath>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Sup>
                  <m:sSubSupPr>
                    <m:ctrlPr>
                      <w:rPr>
                        <w:rFonts w:ascii="Cambria Math" w:hAnsi="Cambria Math"/>
                        <w:i/>
                        <w:iCs/>
                      </w:rPr>
                    </m:ctrlPr>
                  </m:sSubSupPr>
                  <m:e>
                    <m:r>
                      <w:rPr>
                        <w:rFonts w:ascii="Cambria Math" w:hAnsi="Cambria Math"/>
                      </w:rPr>
                      <m:t>μ</m:t>
                    </m:r>
                  </m:e>
                  <m:sub>
                    <m:r>
                      <w:rPr>
                        <w:rFonts w:ascii="Cambria Math" w:hAnsi="Cambria Math"/>
                      </w:rPr>
                      <m:t>1</m:t>
                    </m:r>
                  </m:sub>
                  <m:sup>
                    <m:r>
                      <w:rPr>
                        <w:rFonts w:ascii="Cambria Math" w:hAnsi="Cambria Math"/>
                      </w:rPr>
                      <m:t>(j)</m:t>
                    </m:r>
                  </m:sup>
                </m:sSubSup>
                <m:r>
                  <m:rPr>
                    <m:sty m:val="bi"/>
                  </m:rPr>
                  <w:rPr>
                    <w:rFonts w:ascii="Cambria Math" w:hAnsi="Cambria Math"/>
                  </w:rPr>
                  <m:t>,…,</m:t>
                </m:r>
                <m:sSubSup>
                  <m:sSubSupPr>
                    <m:ctrlPr>
                      <w:rPr>
                        <w:rFonts w:ascii="Cambria Math" w:hAnsi="Cambria Math"/>
                        <w:i/>
                        <w:iCs/>
                      </w:rPr>
                    </m:ctrlPr>
                  </m:sSubSupPr>
                  <m:e>
                    <m:r>
                      <w:rPr>
                        <w:rFonts w:ascii="Cambria Math" w:hAnsi="Cambria Math"/>
                      </w:rPr>
                      <m:t>μ</m:t>
                    </m:r>
                  </m:e>
                  <m:sub>
                    <m:r>
                      <w:rPr>
                        <w:rFonts w:ascii="Cambria Math" w:hAnsi="Cambria Math"/>
                      </w:rPr>
                      <m:t>T</m:t>
                    </m:r>
                  </m:sub>
                  <m:sup>
                    <m:r>
                      <m:rPr>
                        <m:sty m:val="bi"/>
                      </m:rPr>
                      <w:rPr>
                        <w:rFonts w:ascii="Cambria Math" w:hAnsi="Cambria Math"/>
                      </w:rPr>
                      <m:t>(</m:t>
                    </m:r>
                    <m:r>
                      <w:rPr>
                        <w:rFonts w:ascii="Cambria Math" w:hAnsi="Cambria Math"/>
                      </w:rPr>
                      <m:t>j</m:t>
                    </m:r>
                    <m:r>
                      <m:rPr>
                        <m:sty m:val="bi"/>
                      </m:rPr>
                      <w:rPr>
                        <w:rFonts w:ascii="Cambria Math" w:hAnsi="Cambria Math"/>
                      </w:rPr>
                      <m:t>)</m:t>
                    </m:r>
                  </m:sup>
                </m:sSubSup>
              </m:e>
            </m:d>
          </m:e>
          <m:sup>
            <m:r>
              <m:rPr>
                <m:sty m:val="bi"/>
              </m:rPr>
              <w:rPr>
                <w:rFonts w:ascii="Cambria Math" w:hAnsi="Cambria Math"/>
              </w:rPr>
              <m:t>'</m:t>
            </m:r>
          </m:sup>
        </m:sSup>
      </m:oMath>
      <w:r w:rsidR="007E4683">
        <w:rPr>
          <w:iCs/>
        </w:rPr>
        <w:t xml:space="preserve"> </w:t>
      </w:r>
      <w:r w:rsidR="007E4683">
        <w:t xml:space="preserve">and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e>
          <m:sup>
            <m:r>
              <w:rPr>
                <w:rFonts w:ascii="Cambria Math" w:hAnsi="Cambria Math"/>
              </w:rPr>
              <m:t>'</m:t>
            </m:r>
          </m:sup>
        </m:sSup>
      </m:oMath>
      <w:r w:rsidR="007E4683">
        <w:rPr>
          <w:iCs/>
        </w:rPr>
        <w:t xml:space="preserve">, the model can be equivalently written as </w:t>
      </w:r>
      <w:r w:rsidR="00EA3225">
        <w:rPr>
          <w:iCs/>
        </w:rPr>
        <w:t>regular Poisson factor model as</w:t>
      </w:r>
    </w:p>
    <w:p w14:paraId="4CFAE597" w14:textId="7372CF43" w:rsidR="00E14A24" w:rsidRDefault="000E07A6">
      <m:oMathPara>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∼Poi</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func>
          <m:r>
            <w:rPr>
              <w:rFonts w:ascii="Cambria Math" w:hAnsi="Cambria Math"/>
            </w:rPr>
            <m:t>=</m:t>
          </m:r>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sSub>
            <m:sSubPr>
              <m:ctrlPr>
                <w:rPr>
                  <w:rFonts w:ascii="Cambria Math" w:hAnsi="Cambria Math"/>
                  <w:i/>
                </w:rPr>
              </m:ctrlPr>
            </m:sSubPr>
            <m:e>
              <m:r>
                <m:rPr>
                  <m:sty m:val="bi"/>
                </m:rPr>
                <w:rPr>
                  <w:rFonts w:ascii="Cambria Math" w:hAnsi="Cambria Math"/>
                </w:rPr>
                <m:t>c</m:t>
              </m:r>
            </m:e>
            <m:sub>
              <m:r>
                <w:rPr>
                  <w:rFonts w:ascii="Cambria Math" w:hAnsi="Cambria Math"/>
                </w:rPr>
                <m:t>i</m:t>
              </m:r>
            </m:sub>
          </m:sSub>
        </m:oMath>
      </m:oMathPara>
    </w:p>
    <w:p w14:paraId="5DDB9512" w14:textId="439C6139" w:rsidR="00BA121F" w:rsidRDefault="00EA3225">
      <w:pPr>
        <w:rPr>
          <w:iCs/>
        </w:rPr>
      </w:pPr>
      <w:r>
        <w:t>However, since</w:t>
      </w:r>
      <w:r w:rsidR="00311808">
        <w:t xml:space="preserve"> the condition </w:t>
      </w:r>
      <m:oMath>
        <m:r>
          <w:rPr>
            <w:rFonts w:ascii="Cambria Math" w:hAnsi="Cambria Math"/>
          </w:rPr>
          <m:t>T/N→0</m:t>
        </m:r>
      </m:oMath>
      <w:r w:rsidR="00311808">
        <w:t xml:space="preserve"> doesn’t hold, the latent state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311808">
        <w:rPr>
          <w:b/>
          <w:bCs/>
          <w:iCs/>
        </w:rPr>
        <w:t xml:space="preserve"> </w:t>
      </w:r>
      <w:r w:rsidR="00311808">
        <w:rPr>
          <w:iCs/>
        </w:rPr>
        <w:t xml:space="preserve">cannot be consistently estimated, and </w:t>
      </w:r>
      <w:r w:rsidR="0079555B">
        <w:rPr>
          <w:iCs/>
        </w:rPr>
        <w:t xml:space="preserve">assuming linear dynamics of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79555B">
        <w:rPr>
          <w:b/>
          <w:bCs/>
          <w:iCs/>
        </w:rPr>
        <w:t xml:space="preserve"> </w:t>
      </w:r>
      <w:r w:rsidR="0079555B">
        <w:rPr>
          <w:iCs/>
        </w:rPr>
        <w:t xml:space="preserve">resolves the problem. </w:t>
      </w:r>
      <w:r w:rsidR="00E14A24">
        <w:t xml:space="preserve">Note that when </w:t>
      </w:r>
      <m:oMath>
        <m:r>
          <w:rPr>
            <w:rFonts w:ascii="Cambria Math" w:hAnsi="Cambria Math"/>
          </w:rPr>
          <m:t>p&gt;1</m:t>
        </m:r>
      </m:oMath>
      <w:r w:rsidR="00E14A24">
        <w:t xml:space="preserve">, </w:t>
      </w:r>
      <w:r w:rsidR="00EC57BA">
        <w:t>the model is not unique</w:t>
      </w:r>
      <w:r w:rsidR="00E14A24">
        <w:t xml:space="preserve">, since </w:t>
      </w:r>
      <m:oMath>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X</m:t>
                </m:r>
              </m:e>
            </m:acc>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P</m:t>
        </m:r>
      </m:oMath>
      <w:r w:rsidR="007E4683">
        <w:rPr>
          <w:b/>
          <w:bCs/>
          <w:iCs/>
        </w:rPr>
        <w:t xml:space="preserve"> </w:t>
      </w:r>
      <w:r w:rsidR="007E4683">
        <w:rPr>
          <w:iCs/>
        </w:rPr>
        <w:t xml:space="preserve">also satisfies the </w:t>
      </w:r>
      <w:r w:rsidR="00EC57BA">
        <w:rPr>
          <w:iCs/>
        </w:rPr>
        <w:t xml:space="preserve">equation for any orthogonal matrix </w:t>
      </w:r>
      <m:oMath>
        <m:r>
          <w:rPr>
            <w:rFonts w:ascii="Cambria Math" w:hAnsi="Cambria Math"/>
          </w:rPr>
          <m:t>P</m:t>
        </m:r>
      </m:oMath>
      <w:r w:rsidR="00EC57BA">
        <w:rPr>
          <w:iCs/>
        </w:rPr>
        <w:t xml:space="preserve"> of order </w:t>
      </w:r>
      <m:oMath>
        <m:r>
          <w:rPr>
            <w:rFonts w:ascii="Cambria Math" w:hAnsi="Cambria Math"/>
          </w:rPr>
          <m:t>p</m:t>
        </m:r>
      </m:oMath>
      <w:r w:rsidR="00EC57BA">
        <w:rPr>
          <w:iCs/>
        </w:rPr>
        <w:t>. To ensure the model indefinab</w:t>
      </w:r>
      <w:proofErr w:type="spellStart"/>
      <w:r w:rsidR="00EC57BA">
        <w:rPr>
          <w:iCs/>
        </w:rPr>
        <w:t>ility</w:t>
      </w:r>
      <w:proofErr w:type="spellEnd"/>
      <w:r w:rsidR="00EC57BA">
        <w:rPr>
          <w:iCs/>
        </w:rPr>
        <w:t xml:space="preserve">, we simply assume </w:t>
      </w:r>
      <m:oMath>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oMath>
      <w:r w:rsidR="00EC57BA">
        <w:rPr>
          <w:iCs/>
        </w:rPr>
        <w:t xml:space="preserve"> and </w:t>
      </w:r>
      <m:oMath>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oMath>
      <w:r w:rsidR="00EC57BA">
        <w:rPr>
          <w:b/>
          <w:bCs/>
          <w:iCs/>
        </w:rPr>
        <w:t xml:space="preserve"> </w:t>
      </w:r>
      <w:r w:rsidR="00EC57BA">
        <w:rPr>
          <w:iCs/>
        </w:rPr>
        <w:t xml:space="preserve">are both diagonal for convenience. </w:t>
      </w:r>
      <w:r>
        <w:rPr>
          <w:iCs/>
        </w:rPr>
        <w:t>See more detailed discussions of the constraints in discussion.</w:t>
      </w:r>
      <w:r w:rsidR="00EC57BA">
        <w:rPr>
          <w:iCs/>
        </w:rPr>
        <w:t xml:space="preserve"> </w:t>
      </w:r>
      <w:r w:rsidR="004E68F9">
        <w:rPr>
          <w:iCs/>
        </w:rPr>
        <w:t>Overall</w:t>
      </w:r>
      <w:r w:rsidR="00B007F9">
        <w:rPr>
          <w:iCs/>
        </w:rPr>
        <w:t xml:space="preserve">, </w:t>
      </w:r>
      <w:r w:rsidR="004E68F9">
        <w:rPr>
          <w:iCs/>
        </w:rPr>
        <w:t>denote</w:t>
      </w:r>
      <w:r w:rsidR="00B007F9">
        <w:rPr>
          <w:iCs/>
        </w:rPr>
        <w:t xml:space="preserve"> the cluster-</w:t>
      </w:r>
      <w:r w:rsidR="00B007F9">
        <w:rPr>
          <w:iCs/>
        </w:rPr>
        <w:lastRenderedPageBreak/>
        <w:t xml:space="preserve">related parameters of cluster </w:t>
      </w:r>
      <m:oMath>
        <m:r>
          <w:rPr>
            <w:rFonts w:ascii="Cambria Math" w:hAnsi="Cambria Math"/>
          </w:rPr>
          <m:t>j</m:t>
        </m:r>
      </m:oMath>
      <w:r w:rsidR="00B007F9">
        <w:rPr>
          <w:iCs/>
        </w:rPr>
        <w:t xml:space="preserve"> </w:t>
      </w:r>
      <w:r w:rsidR="004E68F9">
        <w:rPr>
          <w:iCs/>
        </w:rPr>
        <w:t>as</w:t>
      </w:r>
      <w:r w:rsidR="00B007F9">
        <w:rPr>
          <w:iCs/>
        </w:rPr>
        <w:t xml:space="preserve">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r>
          <w:rPr>
            <w:rFonts w:ascii="Cambria Math" w:hAnsi="Cambria Math"/>
          </w:rPr>
          <m:t>=</m:t>
        </m:r>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μ</m:t>
                </m:r>
              </m:e>
              <m:sup>
                <m:r>
                  <w:rPr>
                    <w:rFonts w:ascii="Cambria Math" w:hAnsi="Cambria Math"/>
                  </w:rPr>
                  <m:t>(j)</m:t>
                </m:r>
              </m:sup>
            </m:sSup>
            <m:r>
              <w:rPr>
                <w:rFonts w:ascii="Cambria Math" w:hAnsi="Cambria Math"/>
              </w:rPr>
              <m:t>, </m:t>
            </m:r>
            <m:sSup>
              <m:sSupPr>
                <m:ctrlPr>
                  <w:rPr>
                    <w:rFonts w:ascii="Cambria Math" w:hAnsi="Cambria Math"/>
                    <w:i/>
                    <w:iCs/>
                  </w:rPr>
                </m:ctrlPr>
              </m:sSupPr>
              <m:e>
                <m:r>
                  <m:rPr>
                    <m:sty m:val="bi"/>
                  </m:rP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4E68F9">
        <w:t xml:space="preserve"> and the spike counts of neuron </w:t>
      </w:r>
      <m:oMath>
        <m:r>
          <w:rPr>
            <w:rFonts w:ascii="Cambria Math" w:hAnsi="Cambria Math"/>
          </w:rPr>
          <m:t>i</m:t>
        </m:r>
      </m:oMath>
      <w:r w:rsidR="004E68F9">
        <w:t xml:space="preserve"> is generated by Poisson dynamic factor model (PDFM) as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∼PDFM(</m:t>
        </m:r>
        <m:sSup>
          <m:sSupPr>
            <m:ctrlPr>
              <w:rPr>
                <w:rFonts w:ascii="Cambria Math" w:hAnsi="Cambria Math"/>
                <w:i/>
                <w:iCs/>
              </w:rPr>
            </m:ctrlPr>
          </m:sSupPr>
          <m:e>
            <m:r>
              <m:rPr>
                <m:sty m:val="bi"/>
              </m:rPr>
              <w:rPr>
                <w:rFonts w:ascii="Cambria Math" w:hAnsi="Cambria Math"/>
              </w:rPr>
              <m:t>θ</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p>
        <m:r>
          <w:rPr>
            <w:rFonts w:ascii="Cambria Math" w:hAnsi="Cambria Math"/>
          </w:rPr>
          <m:t>)</m:t>
        </m:r>
      </m:oMath>
      <w:r w:rsidR="004E68F9">
        <w:t xml:space="preserve">, with prior of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oMath>
      <w:r w:rsidR="004E68F9">
        <w:rPr>
          <w:iCs/>
        </w:rPr>
        <w:t xml:space="preserve"> as </w:t>
      </w:r>
      <m:oMath>
        <m:r>
          <m:rPr>
            <m:sty m:val="bi"/>
          </m:rPr>
          <w:rPr>
            <w:rFonts w:ascii="Cambria Math" w:hAnsi="Cambria Math"/>
          </w:rPr>
          <m:t>H</m:t>
        </m:r>
      </m:oMath>
      <w:r w:rsidR="004E68F9">
        <w:rPr>
          <w:iCs/>
        </w:rPr>
        <w:t>.</w:t>
      </w:r>
      <w:r w:rsidR="00157640">
        <w:rPr>
          <w:iCs/>
        </w:rPr>
        <w:t xml:space="preserve"> The priors for </w:t>
      </w:r>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157640">
        <w:rPr>
          <w:iCs/>
        </w:rPr>
        <w:t xml:space="preserve"> are regular non-informative normal and inverse-gamma distribution.</w:t>
      </w:r>
    </w:p>
    <w:p w14:paraId="4C2407BE" w14:textId="7BE978E3" w:rsidR="00CD3D9F" w:rsidRDefault="0079555B">
      <w:r>
        <w:t>The marginal likelihood</w:t>
      </w:r>
      <w:r w:rsidR="003D14AE">
        <w:t xml:space="preserve"> of neuron </w:t>
      </w:r>
      <m:oMath>
        <m:r>
          <w:rPr>
            <w:rFonts w:ascii="Cambria Math" w:hAnsi="Cambria Math"/>
          </w:rPr>
          <m:t>i</m:t>
        </m:r>
      </m:oMath>
      <w:r w:rsidR="003D14AE">
        <w:t xml:space="preserve"> is</w:t>
      </w:r>
    </w:p>
    <w:p w14:paraId="10E3B36D" w14:textId="4E6B8D8F" w:rsidR="003D14AE" w:rsidRDefault="000E07A6">
      <m:oMathPara>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e>
          </m:nary>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r>
            <m:rPr>
              <m:sty m:val="bi"/>
            </m:rPr>
            <w:rPr>
              <w:rFonts w:ascii="Cambria Math" w:hAnsi="Cambria Math"/>
            </w:rPr>
            <m:t>d</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oMath>
      </m:oMathPara>
    </w:p>
    <w:p w14:paraId="2F7BEC8D" w14:textId="06F84BEF" w:rsidR="00CE7755" w:rsidRDefault="005E521E">
      <w:r>
        <w:t>The</w:t>
      </w:r>
      <w:r w:rsidR="00D66C4D">
        <w:t xml:space="preserve"> marginal likelihood has no closed form and will be used for clustering. To help with fast clustering, instead of doing the Laplace approximation, we choose to make use of the Poisson-Gamma conjugacy</w:t>
      </w:r>
      <w:r w:rsidR="00CE7755">
        <w:t xml:space="preserve"> [reference]</w:t>
      </w:r>
      <w:r w:rsidR="00D66C4D">
        <w:t xml:space="preserve">. This leads to the closed form approximation. </w:t>
      </w:r>
      <w:r w:rsidR="00C34BDA">
        <w:t>By</w:t>
      </w:r>
      <w:r w:rsidR="009B0E3D">
        <w:t xml:space="preserve"> the conditional independency assumption, </w:t>
      </w:r>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nary>
          <m:naryPr>
            <m:chr m:val="∏"/>
            <m:ctrlPr>
              <w:rPr>
                <w:rFonts w:ascii="Cambria Math" w:hAnsi="Cambria Math"/>
                <w:i/>
                <w:iCs/>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e>
        </m:nary>
      </m:oMath>
      <w:r w:rsidR="00C34BDA">
        <w:rPr>
          <w:iCs/>
        </w:rPr>
        <w:t xml:space="preserve">. Since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rsidR="00C34BDA">
        <w:t xml:space="preserve">, </w:t>
      </w:r>
      <m:oMath>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e>
        </m:func>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oMath>
      <w:r>
        <w:t>.</w:t>
      </w:r>
      <w:r w:rsidR="00D66C4D">
        <w:t xml:space="preserve"> Approximate the lognormal distribution by Gamma distribution</w:t>
      </w:r>
      <w:r w:rsidR="00CE7755">
        <w:t>:</w:t>
      </w:r>
    </w:p>
    <w:p w14:paraId="3CBD0340" w14:textId="38B6752C" w:rsidR="0079555B" w:rsidRDefault="00CE7755">
      <m:oMathPara>
        <m:oMath>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r>
            <w:rPr>
              <w:rFonts w:ascii="Cambria Math" w:hAnsi="Cambria Math"/>
            </w:rPr>
            <m:t>≈Gamma(</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m:oMathPara>
    </w:p>
    <w:p w14:paraId="3DD86055" w14:textId="0D8BEA44" w:rsidR="0079555B" w:rsidRDefault="00CE7755">
      <w:pPr>
        <w:rPr>
          <w:iCs/>
        </w:rPr>
      </w:pPr>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e>
            </m:d>
          </m:e>
          <m:sup>
            <m:r>
              <w:rPr>
                <w:rFonts w:ascii="Cambria Math" w:hAnsi="Cambria Math"/>
              </w:rPr>
              <m:t>-1</m:t>
            </m:r>
          </m:sup>
        </m:sSup>
      </m:oMath>
      <w:r>
        <w:rPr>
          <w:iCs/>
        </w:rPr>
        <w:t xml:space="preserve"> and </w:t>
      </w:r>
      <m:oMath>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e</m:t>
            </m:r>
          </m:e>
          <m: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sup>
        </m:sSup>
      </m:oMath>
      <w:r>
        <w:rPr>
          <w:iCs/>
        </w:rPr>
        <w:t>. Then, by Poisson-Gamma conjugacy,</w:t>
      </w:r>
    </w:p>
    <w:p w14:paraId="147FB20F" w14:textId="52C84DAC" w:rsidR="00CE7755" w:rsidRDefault="00CE7755">
      <m:oMathPara>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
                    <m:sSubPr>
                      <m:ctrlPr>
                        <w:rPr>
                          <w:rFonts w:ascii="Cambria Math" w:hAnsi="Cambria Math"/>
                          <w:i/>
                          <w:iCs/>
                        </w:rPr>
                      </m:ctrlPr>
                    </m:sSubPr>
                    <m:e>
                      <m:r>
                        <w:rPr>
                          <w:rFonts w:ascii="Cambria Math" w:hAnsi="Cambria Math"/>
                        </w:rPr>
                        <m:t>λ</m:t>
                      </m:r>
                    </m:e>
                    <m:sub>
                      <m:r>
                        <w:rPr>
                          <w:rFonts w:ascii="Cambria Math" w:hAnsi="Cambria Math"/>
                        </w:rPr>
                        <m:t>it</m:t>
                      </m:r>
                    </m:sub>
                  </m:sSub>
                </m:e>
              </m:d>
            </m:e>
          </m:nary>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=NB</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d>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m:t>
          </m:r>
        </m:oMath>
      </m:oMathPara>
    </w:p>
    <w:p w14:paraId="5359ABBA" w14:textId="2E17EF2D" w:rsidR="00CE7755" w:rsidRDefault="00CE7755">
      <w:pPr>
        <w:rPr>
          <w:iCs/>
        </w:rPr>
      </w:pPr>
      <w:r>
        <w:t xml:space="preserve">, with </w:t>
      </w:r>
      <m:oMath>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it</m:t>
            </m:r>
          </m:sub>
        </m:sSub>
      </m:oMath>
      <w:r w:rsidRPr="00CE7755">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=1/(1+</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w:r>
        <w:rPr>
          <w:iCs/>
        </w:rPr>
        <w:t>.</w:t>
      </w:r>
    </w:p>
    <w:p w14:paraId="1CDF5099" w14:textId="3C80EB10" w:rsidR="00B007F9" w:rsidRPr="00B007F9" w:rsidRDefault="002515CA">
      <w:r>
        <w:rPr>
          <w:iCs/>
        </w:rPr>
        <w:t>Another</w:t>
      </w:r>
      <w:r w:rsidR="00013010">
        <w:rPr>
          <w:iCs/>
        </w:rPr>
        <w:t xml:space="preserve"> more general</w:t>
      </w:r>
      <w:r w:rsidR="00077129">
        <w:rPr>
          <w:iCs/>
        </w:rPr>
        <w:t xml:space="preserve"> idea is to approximate the log-likelihood by second-order polynomials, with coefficients determined by </w:t>
      </w:r>
      <w:r w:rsidR="00077129">
        <w:t>Chebyshev polynomial approximation [Refer to PAL]. However, the approximation doesn’t work well</w:t>
      </w:r>
      <w:r w:rsidR="00013010">
        <w:t xml:space="preserve"> in practice, especially when the neural spike counts have a wide range. When doing the integration, we need to exponentiate the log-likelihood and this will exaggerate the approximation error.</w:t>
      </w:r>
      <w:r w:rsidR="00077129">
        <w:t xml:space="preserve"> </w:t>
      </w:r>
    </w:p>
    <w:p w14:paraId="3C3F2261" w14:textId="4DEB1798" w:rsidR="00BA121F" w:rsidRDefault="00BA121F" w:rsidP="00A00171">
      <w:pPr>
        <w:pStyle w:val="Heading2"/>
      </w:pPr>
      <w:r>
        <w:t>Cluster by Mixture of Finite mixture model</w:t>
      </w:r>
    </w:p>
    <w:p w14:paraId="4EF5116A" w14:textId="7CDF7EBB" w:rsidR="00BA121F" w:rsidRDefault="006441DF">
      <w:r>
        <w:t xml:space="preserve">When the label is unknown, we cluster the neurons by mixture models. </w:t>
      </w:r>
      <w:r w:rsidR="001D7706">
        <w:t>In practice, it’s</w:t>
      </w:r>
      <w:r w:rsidR="009B30E6">
        <w:t xml:space="preserve"> usually</w:t>
      </w:r>
      <w:r w:rsidR="001D7706">
        <w:t xml:space="preserve"> impossible to</w:t>
      </w:r>
      <w:r w:rsidR="009B30E6">
        <w:t xml:space="preserve"> know the number of neural population. One potential method is to do clustering by Dirichlet process mixtures (DPM) model. However, this is conceptually incorrect, since the number of neural populations is finite but unknown. Besides the conceptual incorrectness, using </w:t>
      </w:r>
      <w:r w:rsidR="00A02974">
        <w:t xml:space="preserve">DPM is not easy to integrate the field knowledge about the number of neural populations. Here, we choose to </w:t>
      </w:r>
      <w:r w:rsidR="003E30D2">
        <w:t>use the mixture of finite mixtures (MFM) model</w:t>
      </w:r>
      <w:r w:rsidR="001D7706">
        <w:t xml:space="preserve"> </w:t>
      </w:r>
      <w:r w:rsidR="00B007F9">
        <w:t>as follows</w:t>
      </w:r>
    </w:p>
    <w:p w14:paraId="776CDB67" w14:textId="7894B3EA" w:rsidR="00B007F9" w:rsidRPr="00B007F9" w:rsidRDefault="00B007F9" w:rsidP="00B007F9">
      <m:oMath>
        <m:r>
          <w:rPr>
            <w:rFonts w:ascii="Cambria Math" w:hAnsi="Cambria Math"/>
          </w:rPr>
          <m:t>K∼</m:t>
        </m:r>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rPr>
          <w:b/>
          <w:bCs/>
        </w:rPr>
        <w:tab/>
      </w:r>
      <w:r w:rsidRPr="00B007F9">
        <w:rPr>
          <w:b/>
          <w:bCs/>
        </w:rPr>
        <w:tab/>
      </w:r>
      <w:r w:rsidRPr="00B007F9">
        <w:rPr>
          <w:b/>
          <w:bCs/>
        </w:rPr>
        <w:tab/>
      </w:r>
      <w:r w:rsidRPr="00B007F9">
        <w:rPr>
          <w:b/>
          <w:bCs/>
        </w:rPr>
        <w:tab/>
      </w:r>
      <w:r w:rsidRPr="00B007F9">
        <w:rPr>
          <w:b/>
          <w:bCs/>
        </w:rPr>
        <w:tab/>
      </w:r>
      <w:r>
        <w:rPr>
          <w:b/>
          <w:bCs/>
        </w:rPr>
        <w:tab/>
      </w:r>
      <w:r w:rsidRPr="00B007F9">
        <w:t>where</w:t>
      </w:r>
      <w:r w:rsidRPr="00B007F9">
        <w:rPr>
          <w:b/>
          <w:b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t xml:space="preserve">is a </w:t>
      </w:r>
      <w:proofErr w:type="spellStart"/>
      <w:r w:rsidRPr="00B007F9">
        <w:t>p.m.f</w:t>
      </w:r>
      <w:proofErr w:type="spellEnd"/>
      <w:r w:rsidRPr="00B007F9">
        <w:t xml:space="preserve">. on </w:t>
      </w:r>
      <m:oMath>
        <m:d>
          <m:dPr>
            <m:begChr m:val="{"/>
            <m:endChr m:val="}"/>
            <m:ctrlPr>
              <w:rPr>
                <w:rFonts w:ascii="Cambria Math" w:hAnsi="Cambria Math"/>
                <w:i/>
                <w:iCs/>
              </w:rPr>
            </m:ctrlPr>
          </m:dPr>
          <m:e>
            <m:r>
              <w:rPr>
                <w:rFonts w:ascii="Cambria Math" w:hAnsi="Cambria Math"/>
              </w:rPr>
              <m:t>1,2,…</m:t>
            </m:r>
          </m:e>
        </m:d>
      </m:oMath>
    </w:p>
    <w:p w14:paraId="2629FD0C" w14:textId="017ECD40" w:rsidR="00B007F9" w:rsidRPr="00B007F9" w:rsidRDefault="00B007F9" w:rsidP="00B007F9">
      <m:oMath>
        <m:r>
          <m:rPr>
            <m:sty m:val="bi"/>
          </m:rPr>
          <w:rPr>
            <w:rFonts w:ascii="Cambria Math" w:hAnsi="Cambria Math"/>
          </w:rPr>
          <m:t>π=</m:t>
        </m:r>
        <m:d>
          <m:dPr>
            <m:ctrlPr>
              <w:rPr>
                <w:rFonts w:ascii="Cambria Math" w:hAnsi="Cambria Math"/>
                <w:i/>
                <w:iCs/>
              </w:rPr>
            </m:ctrlPr>
          </m:dPr>
          <m:e>
            <m:sSub>
              <m:sSubPr>
                <m:ctrlPr>
                  <w:rPr>
                    <w:rFonts w:ascii="Cambria Math" w:hAnsi="Cambria Math"/>
                    <w:i/>
                    <w:iCs/>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k</m:t>
                </m:r>
              </m:sub>
            </m:sSub>
          </m:e>
        </m:d>
        <m:r>
          <w:rPr>
            <w:rFonts w:ascii="Cambria Math" w:hAnsi="Cambria Math"/>
          </w:rPr>
          <m:t>∼Dirichile</m:t>
        </m:r>
        <m:sSub>
          <m:sSubPr>
            <m:ctrlPr>
              <w:rPr>
                <w:rFonts w:ascii="Cambria Math" w:hAnsi="Cambria Math"/>
                <w:i/>
                <w:iCs/>
              </w:rPr>
            </m:ctrlPr>
          </m:sSubPr>
          <m:e>
            <m:r>
              <w:rPr>
                <w:rFonts w:ascii="Cambria Math" w:hAnsi="Cambria Math"/>
              </w:rPr>
              <m:t>t</m:t>
            </m:r>
          </m:e>
          <m:sub>
            <m:r>
              <w:rPr>
                <w:rFonts w:ascii="Cambria Math" w:hAnsi="Cambria Math"/>
              </w:rPr>
              <m:t>k</m:t>
            </m:r>
          </m:sub>
        </m:sSub>
        <m:r>
          <w:rPr>
            <w:rFonts w:ascii="Cambria Math" w:hAnsi="Cambria Math"/>
          </w:rPr>
          <m:t>(γ,…,γ)</m:t>
        </m:r>
      </m:oMath>
      <w:r w:rsidRPr="00B007F9">
        <w:rPr>
          <w:b/>
          <w:bCs/>
        </w:rPr>
        <w:t xml:space="preserve"> </w:t>
      </w:r>
      <w:r w:rsidRPr="00B007F9">
        <w:rPr>
          <w:b/>
          <w:bCs/>
        </w:rPr>
        <w:tab/>
      </w:r>
      <w:r>
        <w:rPr>
          <w:b/>
          <w:bCs/>
        </w:rPr>
        <w:tab/>
      </w:r>
      <w:r w:rsidRPr="00B007F9">
        <w:t>given</w:t>
      </w:r>
      <w:r w:rsidRPr="00B007F9">
        <w:rPr>
          <w:b/>
          <w:bCs/>
        </w:rPr>
        <w:t xml:space="preserve"> </w:t>
      </w:r>
      <m:oMath>
        <m:r>
          <w:rPr>
            <w:rFonts w:ascii="Cambria Math" w:hAnsi="Cambria Math"/>
          </w:rPr>
          <m:t>K=k</m:t>
        </m:r>
      </m:oMath>
    </w:p>
    <w:p w14:paraId="33DD8E4D" w14:textId="0DE0BB51" w:rsidR="00B007F9" w:rsidRPr="00B007F9" w:rsidRDefault="000E07A6" w:rsidP="00B007F9">
      <m:oMath>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N</m:t>
            </m:r>
          </m:sub>
        </m:sSub>
        <m:box>
          <m:boxPr>
            <m:ctrlPr>
              <w:rPr>
                <w:rFonts w:ascii="Cambria Math" w:hAnsi="Cambria Math"/>
                <w:i/>
                <w:iCs/>
              </w:rPr>
            </m:ctrlPr>
          </m:boxPr>
          <m:e>
            <m:limUpp>
              <m:limUppPr>
                <m:ctrlPr>
                  <w:rPr>
                    <w:rFonts w:ascii="Cambria Math" w:hAnsi="Cambria Math"/>
                    <w:i/>
                    <w:iCs/>
                  </w:rPr>
                </m:ctrlPr>
              </m:limUppPr>
              <m:e>
                <m:r>
                  <w:rPr>
                    <w:rFonts w:ascii="Cambria Math" w:hAnsi="Cambria Math"/>
                  </w:rPr>
                  <m:t>~</m:t>
                </m:r>
              </m:e>
              <m:lim>
                <m:r>
                  <m:rPr>
                    <m:nor/>
                  </m:rPr>
                  <m:t>i.i.d.</m:t>
                </m:r>
              </m:lim>
            </m:limUpp>
          </m:e>
        </m:box>
        <m:r>
          <w:rPr>
            <w:rFonts w:ascii="Cambria Math" w:hAnsi="Cambria Math"/>
          </w:rPr>
          <m:t>π</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 xml:space="preserve">given </w:t>
      </w:r>
      <m:oMath>
        <m:r>
          <w:rPr>
            <w:rFonts w:ascii="Cambria Math" w:hAnsi="Cambria Math"/>
          </w:rPr>
          <m:t>π</m:t>
        </m:r>
      </m:oMath>
    </w:p>
    <w:p w14:paraId="55A8EAC0" w14:textId="23AF0F0A" w:rsidR="00B007F9" w:rsidRPr="00B007F9" w:rsidRDefault="000E07A6" w:rsidP="00B007F9">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r>
              <w:rPr>
                <w:rFonts w:ascii="Cambria Math" w:hAnsi="Cambria Math"/>
              </w:rPr>
              <m:t>k</m:t>
            </m:r>
          </m:sub>
        </m:sSub>
        <m:limUpp>
          <m:limUppPr>
            <m:ctrlPr>
              <w:rPr>
                <w:rFonts w:ascii="Cambria Math" w:hAnsi="Cambria Math"/>
                <w:b/>
                <w:bCs/>
                <w:i/>
                <w:iCs/>
              </w:rPr>
            </m:ctrlPr>
          </m:limUppPr>
          <m:e>
            <m:r>
              <m:rPr>
                <m:sty m:val="bi"/>
              </m:rPr>
              <w:rPr>
                <w:rFonts w:ascii="Cambria Math" w:hAnsi="Cambria Math"/>
              </w:rPr>
              <m:t>~</m:t>
            </m:r>
          </m:e>
          <m:lim>
            <m:r>
              <m:rPr>
                <m:nor/>
              </m:rPr>
              <m:t>i.i.d</m:t>
            </m:r>
            <m:r>
              <m:rPr>
                <m:nor/>
              </m:rPr>
              <w:rPr>
                <w:b/>
                <w:bCs/>
              </w:rPr>
              <m:t>.</m:t>
            </m:r>
          </m:lim>
        </m:limUpp>
        <m:r>
          <m:rPr>
            <m:sty m:val="bi"/>
          </m:rPr>
          <w:rPr>
            <w:rFonts w:ascii="Cambria Math" w:hAnsi="Cambria Math"/>
          </w:rPr>
          <m:t>H</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given</w:t>
      </w:r>
      <w:r w:rsidR="00B007F9" w:rsidRPr="00B007F9">
        <w:rPr>
          <w:b/>
          <w:bCs/>
        </w:rPr>
        <w:t xml:space="preserve"> </w:t>
      </w:r>
      <m:oMath>
        <m:r>
          <w:rPr>
            <w:rFonts w:ascii="Cambria Math" w:hAnsi="Cambria Math"/>
          </w:rPr>
          <m:t>K=k</m:t>
        </m:r>
      </m:oMath>
    </w:p>
    <w:p w14:paraId="0264766F" w14:textId="56FA8583" w:rsidR="001D7706" w:rsidRDefault="000E07A6" w:rsidP="00B007F9">
      <m:oMath>
        <m:sSub>
          <m:sSubPr>
            <m:ctrlPr>
              <w:rPr>
                <w:rFonts w:ascii="Cambria Math" w:hAnsi="Cambria Math"/>
                <w:b/>
                <w:bCs/>
                <w:i/>
                <w:iCs/>
              </w:rPr>
            </m:ctrlPr>
          </m:sSubPr>
          <m:e>
            <m:r>
              <m:rPr>
                <m:sty m:val="bi"/>
              </m:rPr>
              <w:rPr>
                <w:rFonts w:ascii="Cambria Math" w:hAnsi="Cambria Math"/>
              </w:rPr>
              <m:t>Y</m:t>
            </m:r>
          </m:e>
          <m:sub>
            <m: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w:rPr>
                        <w:rFonts w:ascii="Cambria Math" w:hAnsi="Cambria Math"/>
                      </w:rPr>
                      <m:t>i1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w:rPr>
                        <w:rFonts w:ascii="Cambria Math" w:hAnsi="Cambria Math"/>
                      </w:rPr>
                      <m:t>iT</m:t>
                    </m:r>
                  </m:sub>
                </m:sSub>
              </m:e>
            </m:d>
          </m:e>
          <m:sup>
            <m:r>
              <m:rPr>
                <m:sty m:val="bi"/>
              </m:rPr>
              <w:rPr>
                <w:rFonts w:ascii="Cambria Math" w:hAnsi="Cambria Math"/>
              </w:rPr>
              <m:t>'</m:t>
            </m:r>
          </m:sup>
        </m:sSup>
        <m:r>
          <m:rPr>
            <m:sty m:val="bi"/>
          </m:rPr>
          <w:rPr>
            <w:rFonts w:ascii="Cambria Math" w:hAnsi="Cambria Math"/>
          </w:rPr>
          <m:t>∼</m:t>
        </m:r>
        <m:r>
          <w:rPr>
            <w:rFonts w:ascii="Cambria Math" w:hAnsi="Cambria Math"/>
          </w:rPr>
          <m:t>SSFM</m:t>
        </m:r>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sSub>
              <m:sSubPr>
                <m:ctrlPr>
                  <w:rPr>
                    <w:rFonts w:ascii="Cambria Math" w:hAnsi="Cambria Math"/>
                    <w:i/>
                    <w:iCs/>
                  </w:rPr>
                </m:ctrlPr>
              </m:sSubPr>
              <m:e>
                <m:r>
                  <w:rPr>
                    <w:rFonts w:ascii="Cambria Math" w:hAnsi="Cambria Math"/>
                  </w:rPr>
                  <m:t>z</m:t>
                </m:r>
              </m:e>
              <m:sub>
                <m:r>
                  <w:rPr>
                    <w:rFonts w:ascii="Cambria Math" w:hAnsi="Cambria Math"/>
                  </w:rPr>
                  <m:t>i</m:t>
                </m:r>
              </m:sub>
            </m:sSub>
          </m:sub>
        </m:sSub>
        <m:r>
          <m:rPr>
            <m:sty m:val="bi"/>
          </m:rPr>
          <w:rPr>
            <w:rFonts w:ascii="Cambria Math" w:hAnsi="Cambria Math"/>
          </w:rPr>
          <m:t>)</m:t>
        </m:r>
      </m:oMath>
      <w:r w:rsidR="00B007F9" w:rsidRPr="00B007F9">
        <w:rPr>
          <w:b/>
          <w:bCs/>
        </w:rPr>
        <w:t xml:space="preserve"> </w:t>
      </w:r>
      <w:r w:rsidR="00B007F9" w:rsidRPr="00B007F9">
        <w:rPr>
          <w:b/>
          <w:bCs/>
        </w:rPr>
        <w:tab/>
      </w:r>
      <w:r w:rsidR="00B007F9" w:rsidRPr="00B007F9">
        <w:rPr>
          <w:b/>
          <w:bCs/>
        </w:rPr>
        <w:tab/>
      </w:r>
      <w:r w:rsidR="00B007F9" w:rsidRPr="00B007F9">
        <w:t xml:space="preserve">independently for </w:t>
      </w:r>
      <m:oMath>
        <m:r>
          <w:rPr>
            <w:rFonts w:ascii="Cambria Math" w:hAnsi="Cambria Math"/>
          </w:rPr>
          <m:t>i=1,…,N</m:t>
        </m:r>
      </m:oMath>
      <w:r w:rsidR="00B007F9" w:rsidRPr="00B007F9">
        <w:t xml:space="preserve">, given </w:t>
      </w:r>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1:K</m:t>
            </m:r>
          </m:sub>
        </m:sSub>
      </m:oMath>
      <w:r w:rsidR="00B007F9" w:rsidRPr="00B007F9">
        <w:t xml:space="preserve"> and </w:t>
      </w:r>
      <m:oMath>
        <m:sSub>
          <m:sSubPr>
            <m:ctrlPr>
              <w:rPr>
                <w:rFonts w:ascii="Cambria Math" w:hAnsi="Cambria Math"/>
                <w:b/>
                <w:bCs/>
                <w:i/>
                <w:iCs/>
              </w:rPr>
            </m:ctrlPr>
          </m:sSubPr>
          <m:e>
            <m:r>
              <m:rPr>
                <m:sty m:val="bi"/>
              </m:rPr>
              <w:rPr>
                <w:rFonts w:ascii="Cambria Math" w:hAnsi="Cambria Math"/>
              </w:rPr>
              <m:t>Z</m:t>
            </m:r>
          </m:e>
          <m:sub>
            <m:r>
              <w:rPr>
                <w:rFonts w:ascii="Cambria Math" w:hAnsi="Cambria Math"/>
              </w:rPr>
              <m:t>1:N</m:t>
            </m:r>
          </m:sub>
        </m:sSub>
      </m:oMath>
    </w:p>
    <w:p w14:paraId="37DA63FB" w14:textId="69206F17" w:rsidR="001D7706" w:rsidRDefault="004E68F9">
      <w:r>
        <w:lastRenderedPageBreak/>
        <w:t xml:space="preserve">Besides the conceptual correctness, using MFM model allows us integrate the prior knowledge easily. </w:t>
      </w:r>
      <w:r w:rsidR="000E23FA">
        <w:t>Moreover, compared to DPM, MFM has some better properties for clustering, for example, MFM posterior on number of cluster is more concentrated and consistent, and</w:t>
      </w:r>
      <w:r w:rsidR="0083792C">
        <w:t xml:space="preserve"> MFM tend to give clusters size at the same order of magnitude while DPM may lead to </w:t>
      </w:r>
      <w:r w:rsidR="00C77460">
        <w:t>a few large clusters and many small clusters. See [</w:t>
      </w:r>
      <w:r w:rsidR="00157640">
        <w:t>reference</w:t>
      </w:r>
      <w:r w:rsidR="00C77460">
        <w:t>] for detailed discussion.</w:t>
      </w:r>
      <w:r w:rsidR="000E23FA">
        <w:t xml:space="preserve"> </w:t>
      </w:r>
    </w:p>
    <w:p w14:paraId="544CE2C9" w14:textId="5F653F3B" w:rsidR="00BA121F" w:rsidRDefault="00BA121F" w:rsidP="00A00171">
      <w:pPr>
        <w:pStyle w:val="Heading1"/>
      </w:pPr>
      <w:r>
        <w:t>Inference</w:t>
      </w:r>
    </w:p>
    <w:p w14:paraId="4A37B5FD" w14:textId="68D743A8" w:rsidR="00520999" w:rsidRDefault="00213019" w:rsidP="00F04BA3">
      <w:r>
        <w:t xml:space="preserve">In this paper, we choose to do inference by MCMC. </w:t>
      </w:r>
      <w:r w:rsidR="00610C8A">
        <w:t xml:space="preserve">Because of the Poisson likelihood, the latent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610C8A">
        <w:rPr>
          <w:b/>
          <w:bCs/>
          <w:iCs/>
        </w:rPr>
        <w:t xml:space="preserve"> </w:t>
      </w:r>
      <w:r w:rsidR="00610C8A">
        <w:rPr>
          <w:iCs/>
        </w:rPr>
        <w:t xml:space="preserve">has no closed </w:t>
      </w:r>
      <w:r w:rsidR="00610C8A">
        <w:t xml:space="preserve">full conditional distribution. We can sample the posterior by </w:t>
      </w:r>
      <w:r w:rsidR="00F04BA3">
        <w:t xml:space="preserve">particle MCMC directly, but this can be slow. However, due </w:t>
      </w:r>
      <w:r w:rsidR="00610C8A">
        <w:t>to the Markovian structure of the model, the conditional log-posterior is concave and its Hessian is block-tridiagonal</w:t>
      </w:r>
      <w:r w:rsidR="00F04BA3">
        <w:t xml:space="preserve">. Thus, we can do the global Laplace approximation efficiently in </w:t>
      </w:r>
      <m:oMath>
        <m:r>
          <w:rPr>
            <w:rFonts w:ascii="Cambria Math" w:hAnsi="Cambria Math"/>
          </w:rPr>
          <m:t>O(T)</m:t>
        </m:r>
      </m:oMath>
      <w:r w:rsidR="00F04BA3">
        <w:t>. The cluster index and number of cluster are sampled by the analog of partition-based algorithm in DPM. See details of the MCMC in appendix.</w:t>
      </w:r>
    </w:p>
    <w:p w14:paraId="79EFC8A1" w14:textId="086D56FC" w:rsidR="00520999" w:rsidRDefault="00027DFD">
      <w:r>
        <w:t xml:space="preserve">In practice, using variational Bayes (VB) instead of MCMC may be more favorable. The PLDS can be updated by variational EM. Using the stick-breaking representation of MFM model, we can do VB easily similar to [reference David </w:t>
      </w:r>
      <w:proofErr w:type="spellStart"/>
      <w:r>
        <w:t>Blei</w:t>
      </w:r>
      <w:proofErr w:type="spellEnd"/>
      <w:r>
        <w:t xml:space="preserve"> &amp; Michael I Jordan]. However, checking by the “gold standard” MCMC before doing VB is always a good choice. </w:t>
      </w:r>
    </w:p>
    <w:p w14:paraId="390794C3" w14:textId="7831C82A" w:rsidR="00520999" w:rsidRDefault="00520999" w:rsidP="00BC58FA">
      <w:pPr>
        <w:pStyle w:val="Heading1"/>
      </w:pPr>
      <w:r>
        <w:t>Simulation</w:t>
      </w:r>
    </w:p>
    <w:p w14:paraId="1F3648A8" w14:textId="64A7F57C" w:rsidR="00BC58FA" w:rsidRDefault="00BC58FA" w:rsidP="008D4A65">
      <w:pPr>
        <w:pStyle w:val="Heading2"/>
      </w:pPr>
      <w:r>
        <w:t>Model global non-linearity by clustering</w:t>
      </w:r>
    </w:p>
    <w:p w14:paraId="66059C95" w14:textId="148F5133" w:rsidR="00BC58FA" w:rsidRDefault="002A261F" w:rsidP="002A261F">
      <w:r>
        <w:t>There were a rich research results for single PLDS model, but it provides only a global linear model to represent the data in a lower dimensional subspace</w:t>
      </w:r>
      <w:r w:rsidR="0015697E">
        <w:t>, which makes the application scope limited.</w:t>
      </w:r>
      <w:r w:rsidR="0028202A">
        <w:t xml:space="preserve"> When the input space is nonhomogeneous, a large dimension of latent state is needed and this may lead to the overfitting and poor performance.</w:t>
      </w:r>
      <w:r w:rsidR="006441DF">
        <w:t xml:space="preserve"> Mixture of PLDS/ PDFM</w:t>
      </w:r>
      <w:r w:rsidR="00E310A6">
        <w:t xml:space="preserve"> models</w:t>
      </w:r>
      <w:r w:rsidR="006441DF">
        <w:t xml:space="preserve"> allow us to partition the input space into clusters</w:t>
      </w:r>
      <w:r w:rsidR="00E310A6">
        <w:t xml:space="preserve"> and can therefore capture global nonlinearity by combining local linear models.</w:t>
      </w:r>
    </w:p>
    <w:p w14:paraId="26751B52" w14:textId="646323C7" w:rsidR="00BC58FA" w:rsidRDefault="00E310A6">
      <w:r>
        <w:t xml:space="preserve">We first simulated three neural populations, with 10 neurons in each. We set </w:t>
      </w:r>
      <m:oMath>
        <m:r>
          <w:rPr>
            <w:rFonts w:ascii="Cambria Math" w:hAnsi="Cambria Math"/>
          </w:rPr>
          <m:t>p=1</m:t>
        </m:r>
      </m:oMath>
      <w:r>
        <w:t xml:space="preserve"> for each cluster and the recording length is </w:t>
      </w:r>
      <m:oMath>
        <m:r>
          <w:rPr>
            <w:rFonts w:ascii="Cambria Math" w:hAnsi="Cambria Math"/>
          </w:rPr>
          <m:t>T=1000</m:t>
        </m:r>
      </m:oMath>
      <w:r>
        <w:t>.</w:t>
      </w:r>
      <w:r w:rsidR="00DA3EEE">
        <w:t xml:space="preserve"> [</w:t>
      </w:r>
      <w:r w:rsidR="00DA3EEE" w:rsidRPr="00B465D9">
        <w:rPr>
          <w:color w:val="FF0000"/>
        </w:rPr>
        <w:t>Since this model has been studied thoroughly in neuroscience, I didn’t show the  trace plot</w:t>
      </w:r>
      <w:r w:rsidR="00090D12" w:rsidRPr="00B465D9">
        <w:rPr>
          <w:color w:val="FF0000"/>
        </w:rPr>
        <w:t>s</w:t>
      </w:r>
      <w:r w:rsidR="00B465D9" w:rsidRPr="00B465D9">
        <w:rPr>
          <w:color w:val="FF0000"/>
        </w:rPr>
        <w:t xml:space="preserve"> for all parameters. Maybe I just show the trace plots for log-likelihood?</w:t>
      </w:r>
      <w:r w:rsidR="00B465D9">
        <w:t xml:space="preserve"> </w:t>
      </w:r>
      <w:r w:rsidR="00DA3EEE">
        <w:t>]</w:t>
      </w:r>
      <w:r w:rsidR="00090D12">
        <w:t xml:space="preserve"> After checking the trace plots up to 10,000 iterations, the convergence achieved after several steps. </w:t>
      </w:r>
    </w:p>
    <w:p w14:paraId="12778A52" w14:textId="6C5E5CB1" w:rsidR="00090D12" w:rsidRDefault="00090D12">
      <w:r>
        <w:t xml:space="preserve">The panel A and B in figure 1 show the posterior mean firing rate and fitted latent state, averaging from iteration 500 to 1000. The latent state is transformed into the </w:t>
      </w:r>
      <w:r w:rsidR="00072846">
        <w:t xml:space="preserve">commonly used PLDS model: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m:rPr>
                <m:sty m:val="bi"/>
              </m:rPr>
              <w:rPr>
                <w:rFonts w:ascii="Cambria Math" w:hAnsi="Cambria Math"/>
              </w:rPr>
              <m:t>1</m:t>
            </m:r>
          </m:e>
          <m:sub>
            <m:r>
              <w:rPr>
                <w:rFonts w:ascii="Cambria Math" w:hAnsi="Cambria Math"/>
              </w:rPr>
              <m:t>T</m:t>
            </m:r>
          </m:sub>
        </m:sSub>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(j)</m:t>
            </m:r>
          </m:sup>
        </m:sSup>
        <m:sSub>
          <m:sSubPr>
            <m:ctrlPr>
              <w:rPr>
                <w:rFonts w:ascii="Cambria Math" w:hAnsi="Cambria Math"/>
                <w:i/>
              </w:rPr>
            </m:ctrlPr>
          </m:sSubPr>
          <m:e>
            <m:r>
              <m:rPr>
                <m:sty m:val="bi"/>
              </m:rPr>
              <w:rPr>
                <w:rFonts w:ascii="Cambria Math" w:hAnsi="Cambria Math"/>
              </w:rPr>
              <m:t>d</m:t>
            </m:r>
          </m:e>
          <m:sub>
            <m:r>
              <w:rPr>
                <w:rFonts w:ascii="Cambria Math" w:hAnsi="Cambria Math"/>
              </w:rPr>
              <m:t>i</m:t>
            </m:r>
          </m:sub>
        </m:sSub>
      </m:oMath>
      <w:r w:rsidR="00072846">
        <w:t xml:space="preserve">, where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3B06D1">
        <w:t xml:space="preserve"> which has one more dimension than the parametrization in this paper, i.e. </w:t>
      </w:r>
      <m:oMath>
        <m:r>
          <w:rPr>
            <w:rFonts w:ascii="Cambria Math" w:hAnsi="Cambria Math"/>
          </w:rPr>
          <m:t>p=q+1</m:t>
        </m:r>
      </m:oMath>
      <w:r w:rsidR="003B06D1">
        <w:t xml:space="preserve">. In the figure 1, </w:t>
      </w:r>
      <m:oMath>
        <m:sSup>
          <m:sSupPr>
            <m:ctrlPr>
              <w:rPr>
                <w:rFonts w:ascii="Cambria Math" w:hAnsi="Cambria Math"/>
                <w:i/>
              </w:rPr>
            </m:ctrlPr>
          </m:sSupPr>
          <m:e>
            <m:r>
              <m:rPr>
                <m:sty m:val="bi"/>
              </m:rPr>
              <w:rPr>
                <w:rFonts w:ascii="Cambria Math" w:hAnsi="Cambria Math"/>
              </w:rPr>
              <m:t>G</m:t>
            </m:r>
          </m:e>
          <m:sup>
            <m:r>
              <w:rPr>
                <w:rFonts w:ascii="Cambria Math" w:hAnsi="Cambria Math"/>
              </w:rPr>
              <m:t>(j)</m:t>
            </m:r>
          </m:sup>
        </m:sSup>
      </m:oMath>
      <w:r w:rsidR="003B06D1">
        <w:t xml:space="preserve"> has mean zero columns and is orthogonal.</w:t>
      </w:r>
    </w:p>
    <w:p w14:paraId="7B16E157" w14:textId="37CFCE4D" w:rsidR="003B06D1" w:rsidRDefault="003B06D1"/>
    <w:p w14:paraId="3A2A3804" w14:textId="00B3B558" w:rsidR="003B06D1" w:rsidRDefault="003B06D1"/>
    <w:p w14:paraId="094093D0" w14:textId="399ED488" w:rsidR="003B06D1" w:rsidRDefault="004D35F9">
      <w:r>
        <w:rPr>
          <w:noProof/>
        </w:rPr>
        <w:lastRenderedPageBreak/>
        <w:drawing>
          <wp:inline distT="0" distB="0" distL="0" distR="0" wp14:anchorId="6F3863F8" wp14:editId="53CEFC41">
            <wp:extent cx="2599439" cy="20560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787" cy="2063472"/>
                    </a:xfrm>
                    <a:prstGeom prst="rect">
                      <a:avLst/>
                    </a:prstGeom>
                    <a:noFill/>
                    <a:ln>
                      <a:noFill/>
                    </a:ln>
                  </pic:spPr>
                </pic:pic>
              </a:graphicData>
            </a:graphic>
          </wp:inline>
        </w:drawing>
      </w:r>
      <w:r>
        <w:rPr>
          <w:noProof/>
        </w:rPr>
        <w:drawing>
          <wp:inline distT="0" distB="0" distL="0" distR="0" wp14:anchorId="67F72125" wp14:editId="3814AF43">
            <wp:extent cx="2029651" cy="2054639"/>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271" cy="2065390"/>
                    </a:xfrm>
                    <a:prstGeom prst="rect">
                      <a:avLst/>
                    </a:prstGeom>
                    <a:noFill/>
                    <a:ln>
                      <a:noFill/>
                    </a:ln>
                  </pic:spPr>
                </pic:pic>
              </a:graphicData>
            </a:graphic>
          </wp:inline>
        </w:drawing>
      </w:r>
    </w:p>
    <w:p w14:paraId="4B723A7D" w14:textId="43FD8166" w:rsidR="004D35F9" w:rsidRDefault="000E5F96">
      <w:r>
        <w:rPr>
          <w:noProof/>
        </w:rPr>
        <w:drawing>
          <wp:inline distT="0" distB="0" distL="0" distR="0" wp14:anchorId="3794B79F" wp14:editId="63E32BD8">
            <wp:extent cx="2743200" cy="27432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6C9E7B9" w14:textId="0F754681" w:rsidR="00BC58FA" w:rsidRDefault="004D35F9">
      <w:r>
        <w:t>Then</w:t>
      </w:r>
      <w:r w:rsidR="00087724">
        <w:t xml:space="preserve"> we</w:t>
      </w:r>
      <w:r w:rsidR="00351E05">
        <w:t xml:space="preserve"> held out 1/4 and 1/2 data as test set in a “speckled” pattern, i.e. randomly select subset of data for each neuron as held-out dataset. Then we fit the model with and without clusters, keeping the same latent dimension, i.e. (1) 3 clusters with </w:t>
      </w:r>
      <m:oMath>
        <m:r>
          <w:rPr>
            <w:rFonts w:ascii="Cambria Math" w:hAnsi="Cambria Math"/>
          </w:rPr>
          <m:t>p=1</m:t>
        </m:r>
      </m:oMath>
      <w:r w:rsidR="00351E05">
        <w:t xml:space="preserve"> for each and (2) 1 cluster with </w:t>
      </w:r>
      <m:oMath>
        <m:r>
          <w:rPr>
            <w:rFonts w:ascii="Cambria Math" w:hAnsi="Cambria Math"/>
          </w:rPr>
          <m:t>p=2⋅3-1=5</m:t>
        </m:r>
      </m:oMath>
      <w:r w:rsidR="00351E05">
        <w:t>.</w:t>
      </w:r>
      <w:r w:rsidR="000E5F96">
        <w:t xml:space="preserve"> The procedure is replicated for 100 times for two proportions, and the difference of held-out likelihood per spike between 2 fittings are shown in panel C in figure 1. The difference between (1) and (2) are always positive, and this shows doing the mixture of PDFM performs better than single PDFM. Moreover, </w:t>
      </w:r>
      <w:r w:rsidR="001733CC">
        <w:t>as the proportion of training decrease (less data), the benefit of clustering becomes more significant. This suggests that doing clustering is necessary.</w:t>
      </w:r>
    </w:p>
    <w:p w14:paraId="153C854A" w14:textId="46AC49F8" w:rsidR="00BC58FA" w:rsidRDefault="00BC58FA" w:rsidP="008D4A65">
      <w:pPr>
        <w:pStyle w:val="Heading2"/>
      </w:pPr>
      <w:r>
        <w:t>Clustering</w:t>
      </w:r>
    </w:p>
    <w:p w14:paraId="0183D7B5" w14:textId="2AAF176A" w:rsidR="00520999" w:rsidRDefault="001733CC" w:rsidP="008A6EAC">
      <w:pPr>
        <w:rPr>
          <w:noProof/>
        </w:rPr>
      </w:pPr>
      <w:r>
        <w:t>Then use the same setting, we remove the label</w:t>
      </w:r>
      <w:r w:rsidR="008A6EAC">
        <w:t xml:space="preserve"> and use the mixture model to do the clustering by MFM. The prior of the cluster number is </w:t>
      </w:r>
      <m:oMath>
        <m:r>
          <w:rPr>
            <w:rFonts w:ascii="Cambria Math" w:hAnsi="Cambria Math"/>
          </w:rPr>
          <m:t>K∼Geometric(0.2)</m:t>
        </m:r>
      </m:oMath>
      <w:r w:rsidR="008A6EAC">
        <w:t xml:space="preserve">. The panel A of figure 2 shows the trace </w:t>
      </w:r>
      <w:r w:rsidR="008A6EAC">
        <w:lastRenderedPageBreak/>
        <w:t>of label</w:t>
      </w:r>
      <w:r w:rsidR="00B465D9">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B465D9">
        <w:t xml:space="preserve"> for each neuron for the first 100 iterations.</w:t>
      </w:r>
      <w:r w:rsidR="00B465D9">
        <w:rPr>
          <w:noProof/>
        </w:rPr>
        <w:drawing>
          <wp:inline distT="0" distB="0" distL="0" distR="0" wp14:anchorId="7976ABB1" wp14:editId="69819E77">
            <wp:extent cx="3063217" cy="1839371"/>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309" cy="1842429"/>
                    </a:xfrm>
                    <a:prstGeom prst="rect">
                      <a:avLst/>
                    </a:prstGeom>
                    <a:noFill/>
                    <a:ln>
                      <a:noFill/>
                    </a:ln>
                  </pic:spPr>
                </pic:pic>
              </a:graphicData>
            </a:graphic>
          </wp:inline>
        </w:drawing>
      </w:r>
      <w:r w:rsidR="00737D88" w:rsidRPr="00737D88">
        <w:rPr>
          <w:noProof/>
        </w:rPr>
        <w:t xml:space="preserve"> </w:t>
      </w:r>
      <w:r w:rsidR="00737D88">
        <w:rPr>
          <w:noProof/>
        </w:rPr>
        <w:drawing>
          <wp:inline distT="0" distB="0" distL="0" distR="0" wp14:anchorId="7A4EB819" wp14:editId="0EE724F3">
            <wp:extent cx="2441050" cy="183078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8515" cy="1843887"/>
                    </a:xfrm>
                    <a:prstGeom prst="rect">
                      <a:avLst/>
                    </a:prstGeom>
                    <a:noFill/>
                    <a:ln>
                      <a:noFill/>
                    </a:ln>
                  </pic:spPr>
                </pic:pic>
              </a:graphicData>
            </a:graphic>
          </wp:inline>
        </w:drawing>
      </w:r>
    </w:p>
    <w:p w14:paraId="1A220E35" w14:textId="5EB7FB1F" w:rsidR="00EB3E69" w:rsidRDefault="00EB3E69" w:rsidP="008A6EAC">
      <w:r>
        <w:rPr>
          <w:noProof/>
        </w:rPr>
        <w:drawing>
          <wp:inline distT="0" distB="0" distL="0" distR="0" wp14:anchorId="5311FF9A" wp14:editId="7A5A1380">
            <wp:extent cx="1944094" cy="1944094"/>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386" cy="1950386"/>
                    </a:xfrm>
                    <a:prstGeom prst="rect">
                      <a:avLst/>
                    </a:prstGeom>
                    <a:noFill/>
                    <a:ln>
                      <a:noFill/>
                    </a:ln>
                  </pic:spPr>
                </pic:pic>
              </a:graphicData>
            </a:graphic>
          </wp:inline>
        </w:drawing>
      </w:r>
      <w:r w:rsidR="007047A9" w:rsidRPr="007047A9">
        <w:t xml:space="preserve"> </w:t>
      </w:r>
      <w:r w:rsidR="007047A9">
        <w:rPr>
          <w:noProof/>
        </w:rPr>
        <w:drawing>
          <wp:inline distT="0" distB="0" distL="0" distR="0" wp14:anchorId="05659B9C" wp14:editId="1919C332">
            <wp:extent cx="2526518" cy="1894889"/>
            <wp:effectExtent l="0" t="0" r="762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256" cy="1907443"/>
                    </a:xfrm>
                    <a:prstGeom prst="rect">
                      <a:avLst/>
                    </a:prstGeom>
                    <a:noFill/>
                    <a:ln>
                      <a:noFill/>
                    </a:ln>
                  </pic:spPr>
                </pic:pic>
              </a:graphicData>
            </a:graphic>
          </wp:inline>
        </w:drawing>
      </w:r>
    </w:p>
    <w:p w14:paraId="4F18C61E" w14:textId="77777777" w:rsidR="002A32E3" w:rsidRDefault="00B465D9" w:rsidP="008A6EAC">
      <w:r>
        <w:t xml:space="preserve">In this </w:t>
      </w:r>
      <w:r w:rsidR="00F00CF0">
        <w:t>toy simulation example, the signal is strong and the spiking amplitudes of neurons in each population are similar. This might be too simplified for</w:t>
      </w:r>
      <w:r w:rsidR="00341F66">
        <w:t xml:space="preserve"> real situation. </w:t>
      </w:r>
    </w:p>
    <w:p w14:paraId="5755CCA5" w14:textId="368BD1A3" w:rsidR="00737D88" w:rsidRDefault="002A32E3" w:rsidP="008A6EAC">
      <w:r>
        <w:t xml:space="preserve">In practice, the neural activity is usually sparse and can be recorded in high resolution. Moreover, the </w:t>
      </w:r>
      <w:r w:rsidR="00260AE0">
        <w:t xml:space="preserve">spiking </w:t>
      </w:r>
      <w:r>
        <w:t xml:space="preserve">amplitude </w:t>
      </w:r>
      <w:r w:rsidR="00260AE0">
        <w:t>for neuron in one population vary</w:t>
      </w:r>
      <w:r>
        <w:t xml:space="preserve"> </w:t>
      </w:r>
      <w:r w:rsidR="00260AE0">
        <w:t xml:space="preserve">a lot. Therefore, we simulate another more realistic example. </w:t>
      </w:r>
      <w:r w:rsidR="00737D88">
        <w:t xml:space="preserve">In this simulation, there are 3 clusters and the dimension of latent state is </w:t>
      </w:r>
      <m:oMath>
        <m:r>
          <w:rPr>
            <w:rFonts w:ascii="Cambria Math" w:hAnsi="Cambria Math"/>
          </w:rPr>
          <m:t>p=1</m:t>
        </m:r>
      </m:oMath>
      <w:r w:rsidR="00737D88">
        <w:t xml:space="preserve"> for each. However, there are 20 neurons with wider range but smaller value of loading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737D88">
        <w:t xml:space="preserve">. The simulated firing rate is shown in panel B </w:t>
      </w:r>
      <w:r w:rsidR="00EB3E69">
        <w:t>in</w:t>
      </w:r>
      <w:r w:rsidR="00737D88">
        <w:t xml:space="preserve"> figure 2.</w:t>
      </w:r>
      <w:r w:rsidR="00EB3E69">
        <w:t xml:space="preserve"> The trace plot of number of cluster (panel C in figure 2) shows that the model tend to further split some clusters into sub-population, based on the spiking amplitude. The similarity matrix (panel D in figure 2) of posterior, averaging from iteration 500 to 1000, shows that the </w:t>
      </w:r>
      <w:r w:rsidR="007047A9">
        <w:t>model tend to split cluster 1 and 3 into two</w:t>
      </w:r>
      <w:r w:rsidR="00D50893">
        <w:t xml:space="preserve"> sub-clusters.</w:t>
      </w:r>
      <w:r w:rsidR="00EB3E69">
        <w:t xml:space="preserve"> </w:t>
      </w:r>
    </w:p>
    <w:p w14:paraId="63FC8491" w14:textId="4186C317" w:rsidR="00520999" w:rsidRDefault="00520999" w:rsidP="00D50893">
      <w:pPr>
        <w:pStyle w:val="Heading1"/>
      </w:pPr>
      <w:r>
        <w:t>Application</w:t>
      </w:r>
    </w:p>
    <w:p w14:paraId="4174535F" w14:textId="03CC0713" w:rsidR="00BC58FA" w:rsidRDefault="00BC58FA" w:rsidP="00D00CF7">
      <w:pPr>
        <w:pStyle w:val="Heading2"/>
      </w:pPr>
      <w:proofErr w:type="spellStart"/>
      <w:r>
        <w:t>Neur</w:t>
      </w:r>
      <w:r w:rsidR="00D00CF7">
        <w:t>o</w:t>
      </w:r>
      <w:r>
        <w:t>pixel</w:t>
      </w:r>
      <w:r w:rsidR="00D00CF7">
        <w:t>s</w:t>
      </w:r>
      <w:proofErr w:type="spellEnd"/>
      <w:r>
        <w:t xml:space="preserve"> data</w:t>
      </w:r>
    </w:p>
    <w:p w14:paraId="401AD4BF" w14:textId="285B782C" w:rsidR="008D4A65" w:rsidRDefault="00D00CF7">
      <w:r>
        <w:t xml:space="preserve">TODO: brief introduction of </w:t>
      </w:r>
      <w:proofErr w:type="spellStart"/>
      <w:r>
        <w:t>Neuropixels</w:t>
      </w:r>
      <w:proofErr w:type="spellEnd"/>
      <w:r>
        <w:t xml:space="preserve"> dataset</w:t>
      </w:r>
    </w:p>
    <w:p w14:paraId="2A6F2AF4" w14:textId="77777777" w:rsidR="00C0447C" w:rsidRDefault="00D00CF7">
      <w:r>
        <w:t xml:space="preserve">The </w:t>
      </w:r>
      <w:proofErr w:type="spellStart"/>
      <w:r w:rsidR="00323B5A">
        <w:t>Neuropixels</w:t>
      </w:r>
      <w:proofErr w:type="spellEnd"/>
      <w:r w:rsidR="00323B5A">
        <w:t xml:space="preserve"> dataset contains recording of neural activities in different brain regions, when</w:t>
      </w:r>
      <w:r w:rsidR="00C200D0">
        <w:t xml:space="preserve"> doing the drift-grating experiment. Here, </w:t>
      </w:r>
      <w:r w:rsidR="00657D8B">
        <w:t xml:space="preserve">we only consider neurons with SNR &gt; 3 and the spiking counts &gt; 1000. Then, </w:t>
      </w:r>
      <w:r w:rsidR="00C200D0">
        <w:t>we use the recording activity from</w:t>
      </w:r>
      <w:r w:rsidR="000906ED" w:rsidRPr="000906ED">
        <w:t xml:space="preserve"> Lateral posterior nucleus of the thalamus</w:t>
      </w:r>
      <w:r w:rsidR="00657D8B">
        <w:t xml:space="preserve"> (</w:t>
      </w:r>
      <w:r w:rsidR="000906ED">
        <w:t xml:space="preserve">LP, </w:t>
      </w:r>
      <w:r w:rsidR="00657D8B">
        <w:t xml:space="preserve">20 neurons), </w:t>
      </w:r>
      <w:r w:rsidR="000906ED">
        <w:t>anteromedial visual area (</w:t>
      </w:r>
      <w:proofErr w:type="spellStart"/>
      <w:r w:rsidR="00657D8B">
        <w:t>VISam</w:t>
      </w:r>
      <w:proofErr w:type="spellEnd"/>
      <w:r w:rsidR="000906ED">
        <w:t xml:space="preserve">, </w:t>
      </w:r>
      <w:r w:rsidR="00657D8B">
        <w:t>12 neurons)</w:t>
      </w:r>
      <w:r w:rsidR="00C200D0">
        <w:t xml:space="preserve"> and </w:t>
      </w:r>
      <w:r w:rsidR="000906ED">
        <w:t>ventral posteromedial nucleus of the thalamus (</w:t>
      </w:r>
      <w:r w:rsidR="00C200D0">
        <w:t>VPM</w:t>
      </w:r>
      <w:r w:rsidR="000906ED">
        <w:t>,</w:t>
      </w:r>
      <w:r w:rsidR="00657D8B">
        <w:t xml:space="preserve"> 14 neurons)</w:t>
      </w:r>
      <w:r w:rsidR="00C200D0">
        <w:t xml:space="preserve"> during the spontaneous period. The bin size is 0.1s and truncate the data up to 1000 steps (100s recording) for convenience. </w:t>
      </w:r>
    </w:p>
    <w:p w14:paraId="572989BA" w14:textId="4AE4FE18" w:rsidR="0076004B" w:rsidRDefault="00D448EF">
      <w:r>
        <w:lastRenderedPageBreak/>
        <w:t>Panel A in</w:t>
      </w:r>
      <w:r w:rsidR="00C0447C">
        <w:t xml:space="preserve"> figure 3 shows the spiking counts of these 46 neurons. Here we first fit model</w:t>
      </w:r>
      <w:r w:rsidR="00DE4DA2">
        <w:t xml:space="preserve"> using</w:t>
      </w:r>
      <w:r w:rsidR="00FD1418">
        <w:t xml:space="preserve"> all data, with</w:t>
      </w:r>
      <w:r w:rsidR="00DE4DA2">
        <w:t xml:space="preserve"> </w:t>
      </w:r>
      <m:oMath>
        <m:r>
          <w:rPr>
            <w:rFonts w:ascii="Cambria Math" w:hAnsi="Cambria Math"/>
          </w:rPr>
          <m:t>p=1</m:t>
        </m:r>
      </m:oMath>
      <w:r w:rsidR="00DE4DA2">
        <w:t xml:space="preserve"> and </w:t>
      </w:r>
      <m:oMath>
        <m:r>
          <w:rPr>
            <w:rFonts w:ascii="Cambria Math" w:hAnsi="Cambria Math"/>
          </w:rPr>
          <m:t>K∼Geometric(0.3)</m:t>
        </m:r>
      </m:oMath>
      <w:r w:rsidR="00DE4DA2">
        <w:t xml:space="preserve">. For the number of clusters, </w:t>
      </w:r>
      <w:r w:rsidR="00FD1418">
        <w:t xml:space="preserve">panel B in figure 2 shows </w:t>
      </w:r>
      <w:r w:rsidR="00DE4DA2">
        <w:t xml:space="preserve">the trace plot for the first </w:t>
      </w:r>
      <w:r w:rsidR="00851B5D">
        <w:t>5</w:t>
      </w:r>
      <w:r w:rsidR="00DE4DA2">
        <w:t>000 iterations</w:t>
      </w:r>
      <w:r w:rsidR="00FD1418">
        <w:t xml:space="preserve"> and panel C shows the histogram of iteration </w:t>
      </w:r>
      <w:r w:rsidR="00851B5D">
        <w:t>2</w:t>
      </w:r>
      <w:r w:rsidR="00FD1418">
        <w:t xml:space="preserve">500 to </w:t>
      </w:r>
      <w:r w:rsidR="00851B5D">
        <w:t>5</w:t>
      </w:r>
      <w:r w:rsidR="00FD1418">
        <w:t xml:space="preserve">000. These plots show that these neurons are quite non-homogenous and they tend to </w:t>
      </w:r>
      <w:r w:rsidR="00B037E7">
        <w:t>form many sub-populations. Panel D</w:t>
      </w:r>
      <w:r w:rsidR="00BC3CDC">
        <w:t xml:space="preserve"> (E sorted)</w:t>
      </w:r>
      <w:r w:rsidR="00B037E7">
        <w:t xml:space="preserve"> gives the similarity matrix from posterior (iteration </w:t>
      </w:r>
      <w:r w:rsidR="00851B5D">
        <w:t>2</w:t>
      </w:r>
      <w:r w:rsidR="00B037E7">
        <w:t xml:space="preserve">500 to </w:t>
      </w:r>
      <w:r w:rsidR="00851B5D">
        <w:t>5</w:t>
      </w:r>
      <w:r w:rsidR="00B037E7">
        <w:t>000)</w:t>
      </w:r>
      <w:r w:rsidR="00B45BFC">
        <w:t xml:space="preserve">. </w:t>
      </w:r>
    </w:p>
    <w:p w14:paraId="5610C8F4" w14:textId="7C10CF3A" w:rsidR="0076004B" w:rsidRDefault="00BC3CDC">
      <w:r>
        <w:rPr>
          <w:noProof/>
        </w:rPr>
        <w:drawing>
          <wp:inline distT="0" distB="0" distL="0" distR="0" wp14:anchorId="32BFD727" wp14:editId="5AB77720">
            <wp:extent cx="2374840" cy="1781130"/>
            <wp:effectExtent l="0" t="0" r="698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1690" cy="1786268"/>
                    </a:xfrm>
                    <a:prstGeom prst="rect">
                      <a:avLst/>
                    </a:prstGeom>
                    <a:noFill/>
                    <a:ln>
                      <a:noFill/>
                    </a:ln>
                  </pic:spPr>
                </pic:pic>
              </a:graphicData>
            </a:graphic>
          </wp:inline>
        </w:drawing>
      </w:r>
      <w:r w:rsidRPr="00BC3CDC">
        <w:t xml:space="preserve">   </w:t>
      </w:r>
      <w:r w:rsidR="00851B5D">
        <w:rPr>
          <w:noProof/>
        </w:rPr>
        <w:drawing>
          <wp:inline distT="0" distB="0" distL="0" distR="0" wp14:anchorId="4F613D4A" wp14:editId="0E1CBE47">
            <wp:extent cx="1805050" cy="180505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2516" cy="1812516"/>
                    </a:xfrm>
                    <a:prstGeom prst="rect">
                      <a:avLst/>
                    </a:prstGeom>
                    <a:noFill/>
                    <a:ln>
                      <a:noFill/>
                    </a:ln>
                  </pic:spPr>
                </pic:pic>
              </a:graphicData>
            </a:graphic>
          </wp:inline>
        </w:drawing>
      </w:r>
    </w:p>
    <w:p w14:paraId="2BEAEB9E" w14:textId="53AB6B8D" w:rsidR="00851B5D" w:rsidRDefault="00851B5D">
      <w:r>
        <w:rPr>
          <w:noProof/>
        </w:rPr>
        <w:drawing>
          <wp:inline distT="0" distB="0" distL="0" distR="0" wp14:anchorId="458F9836" wp14:editId="44C5C534">
            <wp:extent cx="2048493" cy="2048493"/>
            <wp:effectExtent l="0" t="0" r="9525" b="952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3062" cy="2053062"/>
                    </a:xfrm>
                    <a:prstGeom prst="rect">
                      <a:avLst/>
                    </a:prstGeom>
                    <a:noFill/>
                    <a:ln>
                      <a:noFill/>
                    </a:ln>
                  </pic:spPr>
                </pic:pic>
              </a:graphicData>
            </a:graphic>
          </wp:inline>
        </w:drawing>
      </w:r>
      <w:r>
        <w:rPr>
          <w:noProof/>
        </w:rPr>
        <w:drawing>
          <wp:inline distT="0" distB="0" distL="0" distR="0" wp14:anchorId="7249F303" wp14:editId="0B9B2FF1">
            <wp:extent cx="2844140" cy="2133105"/>
            <wp:effectExtent l="0" t="0" r="0" b="63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245" cy="2145934"/>
                    </a:xfrm>
                    <a:prstGeom prst="rect">
                      <a:avLst/>
                    </a:prstGeom>
                    <a:noFill/>
                    <a:ln>
                      <a:noFill/>
                    </a:ln>
                  </pic:spPr>
                </pic:pic>
              </a:graphicData>
            </a:graphic>
          </wp:inline>
        </w:drawing>
      </w:r>
    </w:p>
    <w:p w14:paraId="07926274" w14:textId="5CEB8DCA" w:rsidR="00851B5D" w:rsidRDefault="00851B5D"/>
    <w:p w14:paraId="6AB05448" w14:textId="375E6797" w:rsidR="00851B5D" w:rsidRDefault="00851B5D">
      <w:r>
        <w:rPr>
          <w:noProof/>
        </w:rPr>
        <w:drawing>
          <wp:inline distT="0" distB="0" distL="0" distR="0" wp14:anchorId="3F05CA52" wp14:editId="7074A18A">
            <wp:extent cx="2351315" cy="1763486"/>
            <wp:effectExtent l="0" t="0" r="0" b="825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5553" cy="1766664"/>
                    </a:xfrm>
                    <a:prstGeom prst="rect">
                      <a:avLst/>
                    </a:prstGeom>
                    <a:noFill/>
                    <a:ln>
                      <a:noFill/>
                    </a:ln>
                  </pic:spPr>
                </pic:pic>
              </a:graphicData>
            </a:graphic>
          </wp:inline>
        </w:drawing>
      </w:r>
      <w:r>
        <w:rPr>
          <w:noProof/>
        </w:rPr>
        <w:drawing>
          <wp:inline distT="0" distB="0" distL="0" distR="0" wp14:anchorId="3BB8D762" wp14:editId="3AE56423">
            <wp:extent cx="2381003" cy="1785752"/>
            <wp:effectExtent l="0" t="0" r="635" b="5080"/>
            <wp:docPr id="18" name="Picture 1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waterfall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1693" cy="1816269"/>
                    </a:xfrm>
                    <a:prstGeom prst="rect">
                      <a:avLst/>
                    </a:prstGeom>
                    <a:noFill/>
                    <a:ln>
                      <a:noFill/>
                    </a:ln>
                  </pic:spPr>
                </pic:pic>
              </a:graphicData>
            </a:graphic>
          </wp:inline>
        </w:drawing>
      </w:r>
    </w:p>
    <w:p w14:paraId="029E5FF7" w14:textId="23CBCE2C" w:rsidR="00851B5D" w:rsidRDefault="00611A38">
      <w:r>
        <w:t>There are some</w:t>
      </w:r>
      <w:r w:rsidR="009B535D">
        <w:t xml:space="preserve"> tiny</w:t>
      </w:r>
      <w:r>
        <w:t xml:space="preserve"> confusions between </w:t>
      </w:r>
      <w:proofErr w:type="spellStart"/>
      <w:r>
        <w:t>VISam</w:t>
      </w:r>
      <w:proofErr w:type="spellEnd"/>
      <w:r>
        <w:t xml:space="preserve"> &amp; VPM</w:t>
      </w:r>
      <w:r w:rsidR="009B535D">
        <w:t>.</w:t>
      </w:r>
    </w:p>
    <w:p w14:paraId="0BFAEEC9" w14:textId="77777777" w:rsidR="00851B5D" w:rsidRDefault="00851B5D"/>
    <w:p w14:paraId="0075CC6E" w14:textId="77777777" w:rsidR="0076004B" w:rsidRDefault="0076004B"/>
    <w:p w14:paraId="0EE50473" w14:textId="17D9182A" w:rsidR="00DE4DA2" w:rsidRPr="00FC1316" w:rsidRDefault="0076004B">
      <w:pPr>
        <w:rPr>
          <w:color w:val="FF0000"/>
        </w:rPr>
      </w:pPr>
      <w:r w:rsidRPr="00FC1316">
        <w:rPr>
          <w:color w:val="FF0000"/>
        </w:rPr>
        <w:lastRenderedPageBreak/>
        <w:t>I tried to</w:t>
      </w:r>
      <w:r w:rsidR="00B45BFC" w:rsidRPr="00FC1316">
        <w:rPr>
          <w:color w:val="FF0000"/>
        </w:rPr>
        <w:t xml:space="preserve"> held-out half of the data in a speckled pattern and fit the model with clustering on and off (single population). The dimension is selected by held-out likelihood, which is </w:t>
      </w:r>
      <m:oMath>
        <m:r>
          <w:rPr>
            <w:rFonts w:ascii="Cambria Math" w:hAnsi="Cambria Math"/>
            <w:color w:val="FF0000"/>
          </w:rPr>
          <m:t>p=1</m:t>
        </m:r>
      </m:oMath>
      <w:r w:rsidR="00B45BFC" w:rsidRPr="00FC1316">
        <w:rPr>
          <w:color w:val="FF0000"/>
        </w:rPr>
        <w:t xml:space="preserve"> for clustering on and </w:t>
      </w:r>
      <m:oMath>
        <m:r>
          <w:rPr>
            <w:rFonts w:ascii="Cambria Math" w:hAnsi="Cambria Math"/>
            <w:color w:val="FF0000"/>
          </w:rPr>
          <m:t>p=2</m:t>
        </m:r>
      </m:oMath>
      <w:r w:rsidR="00B45BFC" w:rsidRPr="00FC1316">
        <w:rPr>
          <w:color w:val="FF0000"/>
        </w:rPr>
        <w:t xml:space="preserve"> for single population analysis. The trace plots of the held-out log-likelihood per spike (starting from iteration 2) </w:t>
      </w:r>
      <w:r w:rsidRPr="00FC1316">
        <w:rPr>
          <w:color w:val="FF0000"/>
        </w:rPr>
        <w:t>shows that doing clustering doesn’t improve things…</w:t>
      </w:r>
      <w:r w:rsidR="00FC1316">
        <w:rPr>
          <w:color w:val="FF0000"/>
        </w:rPr>
        <w:t xml:space="preserve"> Maybe because “turning clustering on” introduce too much variance… The benefit of clustering will pop out if we use the deterministic algorithm, such as VB mentioned.</w:t>
      </w:r>
    </w:p>
    <w:p w14:paraId="6EB4125B" w14:textId="7564D51F" w:rsidR="00BA121F" w:rsidRDefault="00BC3CDC">
      <w:r>
        <w:rPr>
          <w:noProof/>
        </w:rPr>
        <w:drawing>
          <wp:inline distT="0" distB="0" distL="0" distR="0" wp14:anchorId="46EB2CF8" wp14:editId="2DE30002">
            <wp:extent cx="3657600" cy="27432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47DA3B2" w14:textId="02FD9FB0" w:rsidR="00BA121F" w:rsidRDefault="00BA121F"/>
    <w:p w14:paraId="56E3C301" w14:textId="25BC82EC" w:rsidR="00BA121F" w:rsidRDefault="00F00CF0" w:rsidP="00F00CF0">
      <w:pPr>
        <w:pStyle w:val="Heading1"/>
      </w:pPr>
      <w:r>
        <w:t>Discussion</w:t>
      </w:r>
    </w:p>
    <w:p w14:paraId="4A3CAC32" w14:textId="53C6821E" w:rsidR="00E77201" w:rsidRDefault="00E77201" w:rsidP="00F00CF0">
      <w:pPr>
        <w:rPr>
          <w:iCs/>
        </w:rPr>
      </w:pPr>
      <w:r>
        <w:rPr>
          <w:iCs/>
        </w:rPr>
        <w:t>As mentioned above, the factor model doesn’t have unique solution. Although this issue had been thoroughly discussed in statistics [reference], it has been ignored in some neuroscience research. Since the (P)LDS related model are usually fitted by deterministic algorithms</w:t>
      </w:r>
      <w:r w:rsidR="009F6003">
        <w:rPr>
          <w:iCs/>
        </w:rPr>
        <w:t xml:space="preserve"> such as variants of EM, the issue is kind of hard to detect. And because of the ignorance, there are some problematic comments on linear dynamics </w:t>
      </w:r>
      <m:oMath>
        <m:r>
          <m:rPr>
            <m:sty m:val="bi"/>
          </m:rPr>
          <w:rPr>
            <w:rFonts w:ascii="Cambria Math" w:hAnsi="Cambria Math"/>
          </w:rPr>
          <m:t>A</m:t>
        </m:r>
      </m:oMath>
      <w:r w:rsidR="009F6003">
        <w:rPr>
          <w:iCs/>
        </w:rPr>
        <w:t xml:space="preserve"> and </w:t>
      </w:r>
      <m:oMath>
        <m:r>
          <m:rPr>
            <m:sty m:val="bi"/>
          </m:rPr>
          <w:rPr>
            <w:rFonts w:ascii="Cambria Math" w:hAnsi="Cambria Math"/>
          </w:rPr>
          <m:t>Q</m:t>
        </m:r>
      </m:oMath>
      <w:r w:rsidR="009F6003">
        <w:rPr>
          <w:iCs/>
        </w:rPr>
        <w:t xml:space="preserve"> (</w:t>
      </w:r>
      <w:r w:rsidR="009F6003" w:rsidRPr="009F6003">
        <w:rPr>
          <w:iCs/>
          <w:color w:val="FF0000"/>
        </w:rPr>
        <w:t xml:space="preserve">do I need to refer to any research? Well, I prefer not to do that and it seems too picky… </w:t>
      </w:r>
      <w:r w:rsidR="009F6003">
        <w:rPr>
          <w:iCs/>
        </w:rPr>
        <w:t>) When using the variants of factor model</w:t>
      </w:r>
      <w:r w:rsidR="00E9419E">
        <w:rPr>
          <w:iCs/>
        </w:rPr>
        <w:t>, e.g. (P)LDS and GPFA</w:t>
      </w:r>
      <w:r w:rsidR="009F6003">
        <w:rPr>
          <w:iCs/>
        </w:rPr>
        <w:t>, we should only focus on the “shape” of latent state but not the specific values</w:t>
      </w:r>
      <w:r w:rsidR="00E9419E">
        <w:rPr>
          <w:iCs/>
        </w:rPr>
        <w:t xml:space="preserve"> of them.</w:t>
      </w:r>
    </w:p>
    <w:p w14:paraId="402FFB7A" w14:textId="054BEA1D" w:rsidR="00F172A2" w:rsidRPr="00F172A2" w:rsidRDefault="00E9419E" w:rsidP="00F00CF0">
      <w:pPr>
        <w:rPr>
          <w:iCs/>
        </w:rPr>
      </w:pPr>
      <w:r>
        <w:rPr>
          <w:iCs/>
        </w:rPr>
        <w:t>In this paper, t</w:t>
      </w:r>
      <w:r w:rsidR="0024146A">
        <w:rPr>
          <w:iCs/>
        </w:rPr>
        <w:t>o ensure the unique solution, we put the</w:t>
      </w:r>
      <w:r w:rsidR="0024146A" w:rsidRPr="0024146A">
        <w:rPr>
          <w:iCs/>
        </w:rPr>
        <w:t xml:space="preserve"> </w:t>
      </w:r>
      <w:r w:rsidR="0024146A">
        <w:rPr>
          <w:iCs/>
        </w:rPr>
        <w:t xml:space="preserve">diagonal constraints in </w:t>
      </w:r>
      <m:oMath>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oMath>
      <w:r w:rsidR="0024146A">
        <w:rPr>
          <w:iCs/>
        </w:rPr>
        <w:t xml:space="preserve"> and </w:t>
      </w:r>
      <m:oMath>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oMath>
      <w:r w:rsidR="0024146A">
        <w:rPr>
          <w:b/>
          <w:bCs/>
          <w:iCs/>
        </w:rPr>
        <w:t xml:space="preserve"> </w:t>
      </w:r>
      <w:r w:rsidR="0024146A">
        <w:rPr>
          <w:iCs/>
        </w:rPr>
        <w:t xml:space="preserve">are used for convenience. However, </w:t>
      </w:r>
      <w:r w:rsidR="0083714E">
        <w:rPr>
          <w:iCs/>
        </w:rPr>
        <w:t xml:space="preserve">only constraining on </w:t>
      </w:r>
      <m:oMath>
        <m:r>
          <w:rPr>
            <w:rFonts w:ascii="Cambria Math" w:hAnsi="Cambria Math"/>
          </w:rPr>
          <m:t>p(p-1)/2</m:t>
        </m:r>
      </m:oMath>
      <w:r w:rsidR="0083714E">
        <w:rPr>
          <w:iCs/>
        </w:rPr>
        <w:t xml:space="preserve"> is enough</w:t>
      </w:r>
      <w:r w:rsidR="0024146A">
        <w:rPr>
          <w:iCs/>
        </w:rPr>
        <w:t xml:space="preserve"> [reference]</w:t>
      </w:r>
      <w:r w:rsidR="0083714E">
        <w:rPr>
          <w:iCs/>
        </w:rPr>
        <w:t xml:space="preserve">. </w:t>
      </w:r>
      <w:r w:rsidR="00F261D7">
        <w:rPr>
          <w:iCs/>
        </w:rPr>
        <w:t>Since we the label is unknown and will be switched when doing clustering, it’s inappropriate and convenient to put constraint</w:t>
      </w:r>
      <w:r w:rsidR="0083714E">
        <w:rPr>
          <w:iCs/>
        </w:rPr>
        <w:t xml:space="preserve"> </w:t>
      </w:r>
      <w:r w:rsidR="00F261D7">
        <w:rPr>
          <w:iCs/>
        </w:rPr>
        <w:t xml:space="preserve">on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oMath>
      <w:r w:rsidR="00F261D7">
        <w:t xml:space="preserve">. Therefore, we instead treat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261D7">
        <w:rPr>
          <w:b/>
          <w:bCs/>
          <w:iCs/>
        </w:rPr>
        <w:t xml:space="preserve"> </w:t>
      </w:r>
      <w:r w:rsidR="00F261D7">
        <w:rPr>
          <w:iCs/>
        </w:rPr>
        <w:t xml:space="preserve">as the “loading” and can put constraints on it. Traditionally, there are two equivalent types of constraints: (1) diagonal constraint: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261D7">
        <w:rPr>
          <w:b/>
          <w:bCs/>
          <w:iCs/>
        </w:rPr>
        <w:t xml:space="preserve"> </w:t>
      </w:r>
      <w:r w:rsidR="00F261D7">
        <w:rPr>
          <w:iCs/>
        </w:rPr>
        <w:t>is diagonal; (2)</w:t>
      </w:r>
      <w:r w:rsidR="0024146A">
        <w:rPr>
          <w:iCs/>
        </w:rPr>
        <w:t xml:space="preserve"> block lower triangular constraint: The first </w:t>
      </w:r>
      <m:oMath>
        <m:r>
          <w:rPr>
            <w:rFonts w:ascii="Cambria Math" w:hAnsi="Cambria Math"/>
          </w:rPr>
          <m:t>p</m:t>
        </m:r>
      </m:oMath>
      <w:r w:rsidR="0024146A">
        <w:rPr>
          <w:iCs/>
        </w:rPr>
        <w:t xml:space="preserve"> rows of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24146A">
        <w:rPr>
          <w:b/>
          <w:bCs/>
          <w:iCs/>
        </w:rPr>
        <w:t xml:space="preserve"> </w:t>
      </w:r>
      <w:r w:rsidR="0024146A">
        <w:rPr>
          <w:iCs/>
        </w:rPr>
        <w:t xml:space="preserve">is lower triangular and the diagonal element is positive. Since we put the further dynamic model on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24146A">
        <w:rPr>
          <w:iCs/>
        </w:rPr>
        <w:t xml:space="preserve">, </w:t>
      </w:r>
      <w:r w:rsidR="00FD1581">
        <w:rPr>
          <w:iCs/>
        </w:rPr>
        <w:t xml:space="preserve">assuming diagonal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D1581">
        <w:rPr>
          <w:b/>
          <w:bCs/>
          <w:iCs/>
        </w:rPr>
        <w:t xml:space="preserve"> </w:t>
      </w:r>
      <w:r w:rsidR="00FD1581">
        <w:rPr>
          <w:iCs/>
        </w:rPr>
        <w:t>is easier to implement. This constraint can be easily achieved when conducting deterministic optimization algorithms</w:t>
      </w:r>
      <w:r w:rsidR="004324AE">
        <w:rPr>
          <w:iCs/>
        </w:rPr>
        <w:t xml:space="preserve"> (e.g. the VB mentioned in “method-inference” section)</w:t>
      </w:r>
      <w:r w:rsidR="00FD1581">
        <w:rPr>
          <w:iCs/>
        </w:rPr>
        <w:t xml:space="preserve">. This can also be done in MCMC, by turning off the reflection </w:t>
      </w:r>
      <w:r w:rsidR="00F172A2">
        <w:rPr>
          <w:iCs/>
        </w:rPr>
        <w:t>of the</w:t>
      </w:r>
      <w:r w:rsidR="00FD1581">
        <w:rPr>
          <w:iCs/>
        </w:rPr>
        <w:t xml:space="preserve"> projection (e.g. </w:t>
      </w:r>
      <w:r w:rsidR="00F172A2">
        <w:rPr>
          <w:iCs/>
        </w:rPr>
        <w:t>let the diagonal elements in the projection matrix be positive</w:t>
      </w:r>
      <w:r w:rsidR="00FD1581">
        <w:rPr>
          <w:iCs/>
        </w:rPr>
        <w:t>)</w:t>
      </w:r>
      <w:r w:rsidR="00F172A2">
        <w:rPr>
          <w:iCs/>
        </w:rPr>
        <w:t xml:space="preserve">. Using diagonal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172A2">
        <w:rPr>
          <w:b/>
          <w:bCs/>
          <w:iCs/>
        </w:rPr>
        <w:t xml:space="preserve"> </w:t>
      </w:r>
      <w:r w:rsidR="00F172A2">
        <w:rPr>
          <w:iCs/>
        </w:rPr>
        <w:t>leads to similar results</w:t>
      </w:r>
      <w:r w:rsidR="004324AE">
        <w:rPr>
          <w:iCs/>
        </w:rPr>
        <w:t>.</w:t>
      </w:r>
    </w:p>
    <w:p w14:paraId="5C174CE6" w14:textId="2F44AA0D" w:rsidR="00F00CF0" w:rsidRDefault="00E9419E" w:rsidP="00F00CF0">
      <w:r>
        <w:lastRenderedPageBreak/>
        <w:t>Moreover, the idea of doing clustering by mixture model can be extended beyond the Poisson distribution</w:t>
      </w:r>
      <w:r w:rsidR="00E77201">
        <w:t>. We can further include</w:t>
      </w:r>
      <w:r>
        <w:t xml:space="preserve"> other information, such as,</w:t>
      </w:r>
      <w:r w:rsidR="00E77201">
        <w:t xml:space="preserve"> the dispersion information by assuming negative-binomial distributed or even Conway-Maxwell-Poisson distributed neural spikes</w:t>
      </w:r>
      <w:r>
        <w:t xml:space="preserve"> [reference to our paper in CMP]</w:t>
      </w:r>
      <w:r w:rsidR="00E77201">
        <w:t xml:space="preserve">. </w:t>
      </w:r>
      <w:r w:rsidR="00FC1316">
        <w:t>This further information</w:t>
      </w:r>
      <w:r w:rsidR="00E77201">
        <w:t xml:space="preserve"> can be used for more detailed clustering, by expanding the state space.</w:t>
      </w:r>
    </w:p>
    <w:p w14:paraId="3C6335BB" w14:textId="67FCCFF9" w:rsidR="00F00CF0" w:rsidRDefault="00F00CF0" w:rsidP="00F00CF0">
      <w:pPr>
        <w:pStyle w:val="Heading1"/>
      </w:pPr>
      <w:r>
        <w:t>Reference</w:t>
      </w:r>
    </w:p>
    <w:p w14:paraId="68C37E90" w14:textId="7C8211BB" w:rsidR="00F00CF0" w:rsidRPr="00F00CF0" w:rsidRDefault="00F00CF0" w:rsidP="00F00CF0"/>
    <w:p w14:paraId="3ACD3880" w14:textId="77777777" w:rsidR="00F00CF0" w:rsidRDefault="00F00CF0" w:rsidP="00F00CF0"/>
    <w:p w14:paraId="37824450" w14:textId="53B96A08" w:rsidR="00F00CF0" w:rsidRPr="00F00CF0" w:rsidRDefault="00F00CF0" w:rsidP="00F00CF0">
      <w:pPr>
        <w:pStyle w:val="Heading1"/>
      </w:pPr>
      <w:r>
        <w:t>Appendix</w:t>
      </w:r>
    </w:p>
    <w:p w14:paraId="098769D1" w14:textId="77777777" w:rsidR="00BA121F" w:rsidRDefault="00BA121F"/>
    <w:sectPr w:rsidR="00BA1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C22FF" w14:textId="77777777" w:rsidR="000E07A6" w:rsidRDefault="000E07A6" w:rsidP="00B007F9">
      <w:pPr>
        <w:spacing w:after="0" w:line="240" w:lineRule="auto"/>
      </w:pPr>
      <w:r>
        <w:separator/>
      </w:r>
    </w:p>
  </w:endnote>
  <w:endnote w:type="continuationSeparator" w:id="0">
    <w:p w14:paraId="52C0749F" w14:textId="77777777" w:rsidR="000E07A6" w:rsidRDefault="000E07A6" w:rsidP="00B00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A3FEC" w14:textId="77777777" w:rsidR="000E07A6" w:rsidRDefault="000E07A6" w:rsidP="00B007F9">
      <w:pPr>
        <w:spacing w:after="0" w:line="240" w:lineRule="auto"/>
      </w:pPr>
      <w:r>
        <w:separator/>
      </w:r>
    </w:p>
  </w:footnote>
  <w:footnote w:type="continuationSeparator" w:id="0">
    <w:p w14:paraId="66B1AE90" w14:textId="77777777" w:rsidR="000E07A6" w:rsidRDefault="000E07A6" w:rsidP="00B00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1F"/>
    <w:rsid w:val="0000790A"/>
    <w:rsid w:val="00013010"/>
    <w:rsid w:val="00027DFD"/>
    <w:rsid w:val="00072846"/>
    <w:rsid w:val="00077129"/>
    <w:rsid w:val="00087724"/>
    <w:rsid w:val="000906ED"/>
    <w:rsid w:val="00090D12"/>
    <w:rsid w:val="000E07A6"/>
    <w:rsid w:val="000E23FA"/>
    <w:rsid w:val="000E5F96"/>
    <w:rsid w:val="00135A67"/>
    <w:rsid w:val="0015697E"/>
    <w:rsid w:val="00157640"/>
    <w:rsid w:val="001733CC"/>
    <w:rsid w:val="001922F0"/>
    <w:rsid w:val="001D3FA9"/>
    <w:rsid w:val="001D5AFC"/>
    <w:rsid w:val="001D7706"/>
    <w:rsid w:val="00213019"/>
    <w:rsid w:val="0024146A"/>
    <w:rsid w:val="002515CA"/>
    <w:rsid w:val="00260AE0"/>
    <w:rsid w:val="00272686"/>
    <w:rsid w:val="0028202A"/>
    <w:rsid w:val="002A261F"/>
    <w:rsid w:val="002A32E3"/>
    <w:rsid w:val="002E5891"/>
    <w:rsid w:val="00311808"/>
    <w:rsid w:val="00323B5A"/>
    <w:rsid w:val="00341F66"/>
    <w:rsid w:val="00347892"/>
    <w:rsid w:val="00351E05"/>
    <w:rsid w:val="003A30B2"/>
    <w:rsid w:val="003B06D1"/>
    <w:rsid w:val="003D14AE"/>
    <w:rsid w:val="003E30D2"/>
    <w:rsid w:val="004324AE"/>
    <w:rsid w:val="004D35F9"/>
    <w:rsid w:val="004E68F9"/>
    <w:rsid w:val="00520999"/>
    <w:rsid w:val="00565F7A"/>
    <w:rsid w:val="005E521E"/>
    <w:rsid w:val="00610C8A"/>
    <w:rsid w:val="00611A38"/>
    <w:rsid w:val="006441DF"/>
    <w:rsid w:val="00657D8B"/>
    <w:rsid w:val="006A3B70"/>
    <w:rsid w:val="007047A9"/>
    <w:rsid w:val="00737D88"/>
    <w:rsid w:val="0076004B"/>
    <w:rsid w:val="0079555B"/>
    <w:rsid w:val="007E4683"/>
    <w:rsid w:val="0083714E"/>
    <w:rsid w:val="0083792C"/>
    <w:rsid w:val="00851B5D"/>
    <w:rsid w:val="008A6EAC"/>
    <w:rsid w:val="008D4A65"/>
    <w:rsid w:val="009B0E3D"/>
    <w:rsid w:val="009B30E6"/>
    <w:rsid w:val="009B535D"/>
    <w:rsid w:val="009F6003"/>
    <w:rsid w:val="00A00171"/>
    <w:rsid w:val="00A02974"/>
    <w:rsid w:val="00AF0860"/>
    <w:rsid w:val="00B007F9"/>
    <w:rsid w:val="00B037E7"/>
    <w:rsid w:val="00B45BFC"/>
    <w:rsid w:val="00B465D9"/>
    <w:rsid w:val="00B93C05"/>
    <w:rsid w:val="00BA121F"/>
    <w:rsid w:val="00BC3CDC"/>
    <w:rsid w:val="00BC58FA"/>
    <w:rsid w:val="00BE17CC"/>
    <w:rsid w:val="00C0447C"/>
    <w:rsid w:val="00C200D0"/>
    <w:rsid w:val="00C34BDA"/>
    <w:rsid w:val="00C77460"/>
    <w:rsid w:val="00CD3D9F"/>
    <w:rsid w:val="00CE7755"/>
    <w:rsid w:val="00D00CF7"/>
    <w:rsid w:val="00D01D59"/>
    <w:rsid w:val="00D448EF"/>
    <w:rsid w:val="00D50893"/>
    <w:rsid w:val="00D66C4D"/>
    <w:rsid w:val="00DA3EEE"/>
    <w:rsid w:val="00DE4DA2"/>
    <w:rsid w:val="00DF2673"/>
    <w:rsid w:val="00E14A24"/>
    <w:rsid w:val="00E310A6"/>
    <w:rsid w:val="00E77201"/>
    <w:rsid w:val="00E9419E"/>
    <w:rsid w:val="00EA3225"/>
    <w:rsid w:val="00EB3E69"/>
    <w:rsid w:val="00EC57BA"/>
    <w:rsid w:val="00EE26C2"/>
    <w:rsid w:val="00F00CF0"/>
    <w:rsid w:val="00F04BA3"/>
    <w:rsid w:val="00F172A2"/>
    <w:rsid w:val="00F261D7"/>
    <w:rsid w:val="00FC1316"/>
    <w:rsid w:val="00FD1418"/>
    <w:rsid w:val="00FD1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32614"/>
  <w15:chartTrackingRefBased/>
  <w15:docId w15:val="{7AE29534-D26B-4CD2-9B9E-15B4A266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0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017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E17CC"/>
    <w:rPr>
      <w:color w:val="808080"/>
    </w:rPr>
  </w:style>
  <w:style w:type="paragraph" w:styleId="NormalWeb">
    <w:name w:val="Normal (Web)"/>
    <w:basedOn w:val="Normal"/>
    <w:uiPriority w:val="99"/>
    <w:semiHidden/>
    <w:unhideWhenUsed/>
    <w:rsid w:val="00CD3D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07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07F9"/>
  </w:style>
  <w:style w:type="paragraph" w:styleId="Footer">
    <w:name w:val="footer"/>
    <w:basedOn w:val="Normal"/>
    <w:link w:val="FooterChar"/>
    <w:uiPriority w:val="99"/>
    <w:unhideWhenUsed/>
    <w:rsid w:val="00B007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0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1798">
      <w:bodyDiv w:val="1"/>
      <w:marLeft w:val="0"/>
      <w:marRight w:val="0"/>
      <w:marTop w:val="0"/>
      <w:marBottom w:val="0"/>
      <w:divBdr>
        <w:top w:val="none" w:sz="0" w:space="0" w:color="auto"/>
        <w:left w:val="none" w:sz="0" w:space="0" w:color="auto"/>
        <w:bottom w:val="none" w:sz="0" w:space="0" w:color="auto"/>
        <w:right w:val="none" w:sz="0" w:space="0" w:color="auto"/>
      </w:divBdr>
      <w:divsChild>
        <w:div w:id="677200654">
          <w:marLeft w:val="547"/>
          <w:marRight w:val="0"/>
          <w:marTop w:val="0"/>
          <w:marBottom w:val="0"/>
          <w:divBdr>
            <w:top w:val="none" w:sz="0" w:space="0" w:color="auto"/>
            <w:left w:val="none" w:sz="0" w:space="0" w:color="auto"/>
            <w:bottom w:val="none" w:sz="0" w:space="0" w:color="auto"/>
            <w:right w:val="none" w:sz="0" w:space="0" w:color="auto"/>
          </w:divBdr>
        </w:div>
      </w:divsChild>
    </w:div>
    <w:div w:id="526799527">
      <w:bodyDiv w:val="1"/>
      <w:marLeft w:val="0"/>
      <w:marRight w:val="0"/>
      <w:marTop w:val="0"/>
      <w:marBottom w:val="0"/>
      <w:divBdr>
        <w:top w:val="none" w:sz="0" w:space="0" w:color="auto"/>
        <w:left w:val="none" w:sz="0" w:space="0" w:color="auto"/>
        <w:bottom w:val="none" w:sz="0" w:space="0" w:color="auto"/>
        <w:right w:val="none" w:sz="0" w:space="0" w:color="auto"/>
      </w:divBdr>
      <w:divsChild>
        <w:div w:id="951594275">
          <w:marLeft w:val="547"/>
          <w:marRight w:val="0"/>
          <w:marTop w:val="0"/>
          <w:marBottom w:val="0"/>
          <w:divBdr>
            <w:top w:val="none" w:sz="0" w:space="0" w:color="auto"/>
            <w:left w:val="none" w:sz="0" w:space="0" w:color="auto"/>
            <w:bottom w:val="none" w:sz="0" w:space="0" w:color="auto"/>
            <w:right w:val="none" w:sz="0" w:space="0" w:color="auto"/>
          </w:divBdr>
        </w:div>
      </w:divsChild>
    </w:div>
    <w:div w:id="1062949579">
      <w:bodyDiv w:val="1"/>
      <w:marLeft w:val="0"/>
      <w:marRight w:val="0"/>
      <w:marTop w:val="0"/>
      <w:marBottom w:val="0"/>
      <w:divBdr>
        <w:top w:val="none" w:sz="0" w:space="0" w:color="auto"/>
        <w:left w:val="none" w:sz="0" w:space="0" w:color="auto"/>
        <w:bottom w:val="none" w:sz="0" w:space="0" w:color="auto"/>
        <w:right w:val="none" w:sz="0" w:space="0" w:color="auto"/>
      </w:divBdr>
    </w:div>
    <w:div w:id="1211504273">
      <w:bodyDiv w:val="1"/>
      <w:marLeft w:val="0"/>
      <w:marRight w:val="0"/>
      <w:marTop w:val="0"/>
      <w:marBottom w:val="0"/>
      <w:divBdr>
        <w:top w:val="none" w:sz="0" w:space="0" w:color="auto"/>
        <w:left w:val="none" w:sz="0" w:space="0" w:color="auto"/>
        <w:bottom w:val="none" w:sz="0" w:space="0" w:color="auto"/>
        <w:right w:val="none" w:sz="0" w:space="0" w:color="auto"/>
      </w:divBdr>
      <w:divsChild>
        <w:div w:id="1717001288">
          <w:marLeft w:val="547"/>
          <w:marRight w:val="0"/>
          <w:marTop w:val="0"/>
          <w:marBottom w:val="0"/>
          <w:divBdr>
            <w:top w:val="none" w:sz="0" w:space="0" w:color="auto"/>
            <w:left w:val="none" w:sz="0" w:space="0" w:color="auto"/>
            <w:bottom w:val="none" w:sz="0" w:space="0" w:color="auto"/>
            <w:right w:val="none" w:sz="0" w:space="0" w:color="auto"/>
          </w:divBdr>
        </w:div>
      </w:divsChild>
    </w:div>
    <w:div w:id="12524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A7A0B-38E2-45F5-92E6-E81834C4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8</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22</cp:revision>
  <dcterms:created xsi:type="dcterms:W3CDTF">2021-12-30T13:38:00Z</dcterms:created>
  <dcterms:modified xsi:type="dcterms:W3CDTF">2022-01-03T18:33:00Z</dcterms:modified>
</cp:coreProperties>
</file>