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7AD4" w14:textId="77777777" w:rsidR="007B2B81" w:rsidRDefault="007B2B81" w:rsidP="007B2B81">
      <w:pPr>
        <w:pStyle w:val="Heading1"/>
      </w:pPr>
      <w:r>
        <w:t>Notations (common)</w:t>
      </w:r>
    </w:p>
    <w:p w14:paraId="3BE302D7" w14:textId="77777777" w:rsidR="007B2B81" w:rsidRDefault="007B2B81" w:rsidP="007B2B81">
      <w:r>
        <w:t xml:space="preserve">Each row is the recording for neuron </w:t>
      </w:r>
      <m:oMath>
        <m:r>
          <w:rPr>
            <w:rFonts w:ascii="Cambria Math" w:hAnsi="Cambria Math"/>
          </w:rPr>
          <m:t>i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)'</m:t>
        </m:r>
      </m:oMath>
      <w:r>
        <w:t xml:space="preserve">, </w:t>
      </w:r>
      <m:oMath>
        <m:r>
          <w:rPr>
            <w:rFonts w:ascii="Cambria Math" w:hAnsi="Cambria Math"/>
          </w:rPr>
          <m:t>i=1,…N.</m:t>
        </m:r>
      </m:oMath>
      <w:r>
        <w:t xml:space="preserve"> Denote the cluster index for neuron </w:t>
      </w:r>
      <m:oMath>
        <m:r>
          <w:rPr>
            <w:rFonts w:ascii="Cambria Math" w:hAnsi="Cambria Math"/>
          </w:rPr>
          <m:t>i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∈{1,…}</m:t>
        </m:r>
      </m:oMath>
      <w:r>
        <w:t xml:space="preserve">. The number of neurons in cluster </w:t>
      </w:r>
      <m:oMath>
        <m:r>
          <w:rPr>
            <w:rFonts w:ascii="Cambria Math" w:hAnsi="Cambria Math"/>
          </w:rPr>
          <m:t>j</m:t>
        </m:r>
      </m:oMath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=j)</m:t>
            </m:r>
          </m:e>
        </m:nary>
      </m:oMath>
      <w:r>
        <w:t xml:space="preserve">,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j=1,2,…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=N</m:t>
        </m:r>
      </m:oMath>
      <w:r>
        <w:t xml:space="preserve">. </w:t>
      </w:r>
    </w:p>
    <w:p w14:paraId="0EF0B432" w14:textId="77777777" w:rsidR="007B2B81" w:rsidRDefault="007B2B81" w:rsidP="007B2B81">
      <w:pPr>
        <w:pStyle w:val="Heading1"/>
      </w:pPr>
      <w:r>
        <w:t>Model</w:t>
      </w:r>
    </w:p>
    <w:p w14:paraId="433D9D95" w14:textId="77777777" w:rsidR="007B2B81" w:rsidRDefault="007B2B81" w:rsidP="007B2B81">
      <w:r>
        <w:t xml:space="preserve">Denote the latent vector in cluster </w:t>
      </w:r>
      <m:oMath>
        <m:r>
          <w:rPr>
            <w:rFonts w:ascii="Cambria Math" w:hAnsi="Cambria Math"/>
          </w:rPr>
          <m:t>j</m:t>
        </m:r>
      </m:oMath>
      <w:r>
        <w:t xml:space="preserve">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>
        <w:t xml:space="preserve">. For simplicity, assume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</m:oMath>
      <w:r>
        <w:t>. Each observation follows a Poisson distribution as follows:</w:t>
      </w:r>
    </w:p>
    <w:p w14:paraId="2DD3388B" w14:textId="77777777" w:rsidR="007B2B81" w:rsidRPr="00343F18" w:rsidRDefault="00F74FE2" w:rsidP="007B2B8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bSup>
        </m:oMath>
      </m:oMathPara>
    </w:p>
    <w:p w14:paraId="1B2CF70D" w14:textId="77777777" w:rsidR="007B2B81" w:rsidRPr="00343F18" w:rsidRDefault="00F74FE2" w:rsidP="007B2B8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∼Poisson(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70E7D4C" w14:textId="064D5144" w:rsidR="007B2B81" w:rsidRDefault="007B2B81" w:rsidP="007B2B81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>.</w:t>
      </w:r>
    </w:p>
    <w:p w14:paraId="5F335A18" w14:textId="46175CFA" w:rsidR="007B2B81" w:rsidRPr="007B2B81" w:rsidRDefault="007B2B81" w:rsidP="007B2B81">
      <w:pPr>
        <w:rPr>
          <w:highlight w:val="green"/>
        </w:rPr>
      </w:pPr>
      <w:r w:rsidRPr="007B2B81">
        <w:rPr>
          <w:highlight w:val="green"/>
        </w:rPr>
        <w:t xml:space="preserve">In this version, the loading </w:t>
      </w:r>
      <m:oMath>
        <m:sSub>
          <m:sSubPr>
            <m:ctrlPr>
              <w:rPr>
                <w:rFonts w:ascii="Cambria Math" w:hAnsi="Cambria Math"/>
                <w:i/>
                <w:highlight w:val="green"/>
              </w:rPr>
            </m:ctrlPr>
          </m:sSub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i</m:t>
            </m:r>
          </m:sub>
        </m:sSub>
      </m:oMath>
      <w:r w:rsidRPr="007B2B81">
        <w:rPr>
          <w:highlight w:val="gree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highlight w:val="gree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green"/>
              </w:rPr>
              <m:t>c</m:t>
            </m:r>
          </m:e>
          <m:sub>
            <m:r>
              <w:rPr>
                <w:rFonts w:ascii="Cambria Math" w:hAnsi="Cambria Math"/>
                <w:highlight w:val="green"/>
              </w:rPr>
              <m:t>i</m:t>
            </m:r>
          </m:sub>
        </m:sSub>
      </m:oMath>
      <w:r w:rsidRPr="007B2B81">
        <w:rPr>
          <w:highlight w:val="green"/>
        </w:rPr>
        <w:t xml:space="preserve"> are also cluster dependent. That is,</w:t>
      </w:r>
    </w:p>
    <w:p w14:paraId="3556A81E" w14:textId="184F014F" w:rsidR="007B2B81" w:rsidRPr="00F15D55" w:rsidRDefault="00F74FE2" w:rsidP="007B2B81">
      <m:oMathPara>
        <m:oMath>
          <m:sSup>
            <m:sSupPr>
              <m:ctrlPr>
                <w:rPr>
                  <w:rFonts w:ascii="Cambria Math" w:hAnsi="Cambria Math"/>
                  <w:i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highlight w:val="gree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gree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highlight w:val="green"/>
                </w:rPr>
                <m:t>'</m:t>
              </m:r>
            </m:sup>
          </m:sSup>
          <m:r>
            <w:rPr>
              <w:rFonts w:ascii="Cambria Math" w:hAnsi="Cambria Math"/>
              <w:highlight w:val="green"/>
            </w:rPr>
            <m:t>∼N(</m:t>
          </m:r>
          <m:sSubSup>
            <m:sSubSupPr>
              <m:ctrlPr>
                <w:rPr>
                  <w:rFonts w:ascii="Cambria Math" w:hAnsi="Cambria Math"/>
                  <w:i/>
                  <w:highlight w:val="green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green"/>
                </w:rPr>
                <m:t>μ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dc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i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  <w:highlight w:val="green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highlight w:val="green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highlight w:val="green"/>
                </w:rPr>
                <m:t>Σ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dc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highlight w:val="green"/>
                </w:rPr>
                <m:t>)</m:t>
              </m:r>
            </m:sup>
          </m:sSubSup>
          <m:r>
            <w:rPr>
              <w:rFonts w:ascii="Cambria Math" w:hAnsi="Cambria Math"/>
              <w:highlight w:val="green"/>
            </w:rPr>
            <m:t>)</m:t>
          </m:r>
        </m:oMath>
      </m:oMathPara>
    </w:p>
    <w:p w14:paraId="71E9A2B3" w14:textId="77777777" w:rsidR="007B2B81" w:rsidRDefault="007B2B81" w:rsidP="007B2B81">
      <w:r>
        <w:t xml:space="preserve">Denote all latent states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,…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they evolve linearly with Gaussian noise:</w:t>
      </w:r>
    </w:p>
    <w:p w14:paraId="2B13A1EB" w14:textId="77777777" w:rsidR="007B2B81" w:rsidRDefault="00F74FE2" w:rsidP="007B2B8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∼N(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B3775A3" w14:textId="77777777" w:rsidR="007B2B81" w:rsidRPr="009D29E5" w:rsidRDefault="00F74FE2" w:rsidP="007B2B8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∼N(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)</m:t>
          </m:r>
        </m:oMath>
      </m:oMathPara>
    </w:p>
    <w:p w14:paraId="09A8A9B6" w14:textId="77777777" w:rsidR="007B2B81" w:rsidRPr="009D29E5" w:rsidRDefault="007B2B81" w:rsidP="007B2B81">
      <w:r>
        <w:t xml:space="preserve">To simplify,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known (e.g.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I</m:t>
        </m:r>
      </m:oMath>
      <w:r>
        <w:t>).</w:t>
      </w:r>
    </w:p>
    <w:p w14:paraId="26836723" w14:textId="77777777" w:rsidR="007B2B81" w:rsidRPr="00470536" w:rsidRDefault="007B2B81" w:rsidP="007B2B81">
      <w:pPr>
        <w:rPr>
          <w:highlight w:val="lightGray"/>
        </w:rPr>
      </w:pPr>
      <w:r w:rsidRPr="00470536">
        <w:rPr>
          <w:highlight w:val="lightGray"/>
        </w:rPr>
        <w:t xml:space="preserve">If we assume block </w:t>
      </w:r>
      <w:r w:rsidRPr="00C05A6E">
        <w:rPr>
          <w:highlight w:val="lightGray"/>
        </w:rPr>
        <w:t>diagonal</w:t>
      </w:r>
      <w:r>
        <w:rPr>
          <w:highlight w:val="lightGray"/>
        </w:rPr>
        <w:t xml:space="preserve"> (as in Joshua et al., 2020)</w:t>
      </w:r>
      <w:r w:rsidRPr="00470536">
        <w:rPr>
          <w:highlight w:val="lightGray"/>
        </w:rPr>
        <w:t xml:space="preserve"> for process noise covariance, we can write things as:</w:t>
      </w:r>
    </w:p>
    <w:p w14:paraId="1A187026" w14:textId="77777777" w:rsidR="007B2B81" w:rsidRPr="00470536" w:rsidRDefault="00F74FE2" w:rsidP="007B2B81">
      <w:pPr>
        <w:rPr>
          <w:highlight w:val="lightGra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t+1</m:t>
              </m:r>
            </m:sub>
            <m:sup>
              <m:r>
                <w:rPr>
                  <w:rFonts w:ascii="Cambria Math" w:hAnsi="Cambria Math"/>
                  <w:highlight w:val="lightGray"/>
                </w:rPr>
                <m:t>(j)</m:t>
              </m:r>
            </m:sup>
          </m:sSubSup>
          <m:r>
            <w:rPr>
              <w:rFonts w:ascii="Cambria Math" w:hAnsi="Cambria Math"/>
              <w:highlight w:val="lightGray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highlight w:val="lightGray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highlight w:val="lightGray"/>
            </w:rPr>
            <m:t>,…∼N(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highlight w:val="lightGray"/>
                </w:rPr>
              </m:ctrlPr>
            </m:naryPr>
            <m:sub>
              <m:r>
                <w:rPr>
                  <w:rFonts w:ascii="Cambria Math" w:hAnsi="Cambria Math"/>
                  <w:highlight w:val="lightGray"/>
                </w:rPr>
                <m:t>l=1,…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j←l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  <w:highlight w:val="lightGray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b</m:t>
              </m:r>
              <m:ctrlPr>
                <w:rPr>
                  <w:rFonts w:ascii="Cambria Math" w:hAnsi="Cambria Math"/>
                  <w:i/>
                  <w:highlight w:val="lightGray"/>
                </w:rPr>
              </m:ctrlPr>
            </m:e>
            <m:sub>
              <m:r>
                <w:rPr>
                  <w:rFonts w:ascii="Cambria Math" w:hAnsi="Cambria Math"/>
                  <w:highlight w:val="lightGray"/>
                </w:rPr>
                <m:t>j</m:t>
              </m:r>
            </m:sub>
          </m:sSub>
          <m:r>
            <w:rPr>
              <w:rFonts w:ascii="Cambria Math" w:hAnsi="Cambria Math"/>
              <w:highlight w:val="lightGray"/>
            </w:rPr>
            <m:t>,</m:t>
          </m:r>
          <m:sSup>
            <m:sSupPr>
              <m:ctrlPr>
                <w:rPr>
                  <w:rFonts w:ascii="Cambria Math" w:hAnsi="Cambria Math"/>
                  <w:bCs/>
                  <w:i/>
                  <w:highlight w:val="lightGray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Q</m:t>
              </m:r>
              <m:ctrlPr>
                <w:rPr>
                  <w:rFonts w:ascii="Cambria Math" w:hAnsi="Cambria Math"/>
                  <w:i/>
                  <w:highlight w:val="lightGray"/>
                </w:rPr>
              </m:ctrlPr>
            </m:e>
            <m:sup>
              <m:r>
                <w:rPr>
                  <w:rFonts w:ascii="Cambria Math" w:hAnsi="Cambria Math"/>
                  <w:highlight w:val="lightGray"/>
                </w:rPr>
                <m:t>(j)</m:t>
              </m:r>
            </m:sup>
          </m:sSup>
          <m:r>
            <w:rPr>
              <w:rFonts w:ascii="Cambria Math" w:hAnsi="Cambria Math"/>
              <w:highlight w:val="lightGray"/>
            </w:rPr>
            <m:t>)</m:t>
          </m:r>
        </m:oMath>
      </m:oMathPara>
    </w:p>
    <w:p w14:paraId="369331C1" w14:textId="77777777" w:rsidR="007B2B81" w:rsidRPr="00470536" w:rsidRDefault="007B2B81" w:rsidP="007B2B81">
      <w:pPr>
        <w:rPr>
          <w:highlight w:val="lightGray"/>
        </w:rPr>
      </w:pPr>
      <w:r w:rsidRPr="00470536">
        <w:rPr>
          <w:highlight w:val="lightGray"/>
        </w:rPr>
        <w:t xml:space="preserve">Notice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j←l</m:t>
                </m:r>
              </m:sub>
            </m:sSub>
          </m:e>
        </m:d>
      </m:oMath>
      <w:r w:rsidRPr="00470536">
        <w:rPr>
          <w:highlight w:val="lightGray"/>
        </w:rPr>
        <w:t xml:space="preserve"> forms the full transition matrix as:</w:t>
      </w:r>
    </w:p>
    <w:p w14:paraId="47E88BAF" w14:textId="77777777" w:rsidR="007B2B81" w:rsidRPr="00470536" w:rsidRDefault="007B2B81" w:rsidP="007B2B81">
      <m:oMathPara>
        <m:oMath>
          <m:r>
            <m:rPr>
              <m:sty m:val="bi"/>
            </m:rPr>
            <w:rPr>
              <w:rFonts w:ascii="Cambria Math" w:hAnsi="Cambria Math"/>
              <w:highlight w:val="lightGray"/>
            </w:rPr>
            <m:t>A</m:t>
          </m:r>
          <m:r>
            <w:rPr>
              <w:rFonts w:ascii="Cambria Math" w:hAnsi="Cambria Math"/>
              <w:highlight w:val="lightGray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1←1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1←2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2←1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2←2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 xml:space="preserve">…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</m:e>
                </m:mr>
              </m:m>
            </m:e>
          </m:d>
        </m:oMath>
      </m:oMathPara>
    </w:p>
    <w:p w14:paraId="3F4398DC" w14:textId="77777777" w:rsidR="007B2B81" w:rsidRDefault="007B2B81" w:rsidP="007B2B81">
      <w:r w:rsidRPr="00555998">
        <w:rPr>
          <w:highlight w:val="lightGray"/>
        </w:rPr>
        <w:t xml:space="preserve">If the  </w:t>
      </w:r>
      <m:oMath>
        <m:sSup>
          <m:sSupPr>
            <m:ctrlPr>
              <w:rPr>
                <w:rFonts w:ascii="Cambria Math" w:hAnsi="Cambria Math"/>
                <w:i/>
                <w:highlight w:val="lightGray"/>
              </w:rPr>
            </m:ctrlPr>
          </m:sSupPr>
          <m:e>
            <m:r>
              <w:rPr>
                <w:rFonts w:ascii="Cambria Math" w:hAnsi="Cambria Math"/>
                <w:highlight w:val="lightGray"/>
              </w:rPr>
              <m:t>j</m:t>
            </m:r>
          </m:e>
          <m:sup>
            <m:r>
              <w:rPr>
                <w:rFonts w:ascii="Cambria Math" w:hAnsi="Cambria Math"/>
                <w:highlight w:val="lightGray"/>
              </w:rPr>
              <m:t>th</m:t>
            </m:r>
          </m:sup>
        </m:sSup>
      </m:oMath>
      <w:r w:rsidRPr="00555998">
        <w:rPr>
          <w:highlight w:val="lightGray"/>
        </w:rPr>
        <w:t xml:space="preserve"> row block of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A</m:t>
        </m:r>
      </m:oMath>
      <w:r w:rsidRPr="00555998">
        <w:rPr>
          <w:highlight w:val="lightGray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  <m:r>
          <w:rPr>
            <w:rFonts w:ascii="Cambria Math" w:hAnsi="Cambria Math"/>
            <w:highlight w:val="lightGray"/>
          </w:rPr>
          <m:t>=</m:t>
        </m:r>
        <m:d>
          <m:dPr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lightGray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lightGray"/>
                        </w:rPr>
                        <m:t>j←1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lightGray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lightGray"/>
                        </w:rPr>
                        <m:t>j←2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lightGray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lightGray"/>
                    </w:rPr>
                    <m:t>…</m:t>
                  </m:r>
                </m:e>
              </m:mr>
            </m:m>
          </m:e>
        </m:d>
      </m:oMath>
      <w:r w:rsidRPr="00555998">
        <w:rPr>
          <w:highlight w:val="lightGray"/>
        </w:rPr>
        <w:t xml:space="preserve">. Then,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highlight w:val="lightGray"/>
              </w:rPr>
            </m:ctrlPr>
          </m:naryPr>
          <m:sub>
            <m:r>
              <w:rPr>
                <w:rFonts w:ascii="Cambria Math" w:hAnsi="Cambria Math"/>
                <w:highlight w:val="lightGray"/>
              </w:rPr>
              <m:t>l=1,…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j←l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  <w:i/>
                <w:highlight w:val="lightGray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x</m:t>
            </m:r>
          </m:e>
          <m:sub>
            <m:r>
              <w:rPr>
                <w:rFonts w:ascii="Cambria Math" w:hAnsi="Cambria Math"/>
                <w:highlight w:val="lightGray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dPr>
              <m:e>
                <m:r>
                  <w:rPr>
                    <w:rFonts w:ascii="Cambria Math" w:hAnsi="Cambria Math"/>
                    <w:highlight w:val="lightGray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highlight w:val="lightGray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b</m:t>
            </m:r>
            <m:ctrlPr>
              <w:rPr>
                <w:rFonts w:ascii="Cambria Math" w:hAnsi="Cambria Math"/>
                <w:i/>
                <w:highlight w:val="lightGray"/>
              </w:rPr>
            </m:ctrlP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highlight w:val="lightGray"/>
          </w:rPr>
          <m:t>=</m:t>
        </m:r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x</m:t>
            </m:r>
          </m:e>
          <m:sub>
            <m:r>
              <w:rPr>
                <w:rFonts w:ascii="Cambria Math" w:hAnsi="Cambria Math"/>
                <w:highlight w:val="lightGray"/>
              </w:rPr>
              <m:t>t</m:t>
            </m:r>
          </m:sub>
        </m:sSub>
        <m:r>
          <w:rPr>
            <w:rFonts w:ascii="Cambria Math" w:hAnsi="Cambria Math"/>
            <w:highlight w:val="lightGray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b</m:t>
            </m:r>
            <m:ctrlPr>
              <w:rPr>
                <w:rFonts w:ascii="Cambria Math" w:hAnsi="Cambria Math"/>
                <w:i/>
                <w:highlight w:val="lightGray"/>
              </w:rPr>
            </m:ctrlP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</m:oMath>
      <w:r w:rsidRPr="00555998">
        <w:rPr>
          <w:bCs/>
          <w:highlight w:val="lightGray"/>
        </w:rPr>
        <w:t>.</w:t>
      </w:r>
    </w:p>
    <w:p w14:paraId="1F4BF30F" w14:textId="77777777" w:rsidR="007B2B81" w:rsidRPr="00E27AC5" w:rsidRDefault="007B2B81" w:rsidP="007B2B81">
      <w:pPr>
        <w:rPr>
          <w:highlight w:val="cyan"/>
        </w:rPr>
      </w:pPr>
      <w:r w:rsidRPr="00E27AC5">
        <w:rPr>
          <w:highlight w:val="cyan"/>
        </w:rPr>
        <w:t xml:space="preserve">If we further let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 xml:space="preserve">be diagonal: denote the </w:t>
      </w:r>
      <m:oMath>
        <m:sSup>
          <m:sSupPr>
            <m:ctrlPr>
              <w:rPr>
                <w:rFonts w:ascii="Cambria Math" w:hAnsi="Cambria Math"/>
                <w:bCs/>
                <w:i/>
                <w:highlight w:val="cyan"/>
              </w:rPr>
            </m:ctrlPr>
          </m:sSupPr>
          <m:e>
            <m:r>
              <w:rPr>
                <w:rFonts w:ascii="Cambria Math" w:hAnsi="Cambria Math"/>
                <w:highlight w:val="cyan"/>
              </w:rPr>
              <m:t>k</m:t>
            </m:r>
          </m:e>
          <m:sup>
            <m:r>
              <w:rPr>
                <w:rFonts w:ascii="Cambria Math" w:hAnsi="Cambria Math"/>
                <w:highlight w:val="cyan"/>
              </w:rPr>
              <m:t>th</m:t>
            </m:r>
          </m:sup>
        </m:sSup>
      </m:oMath>
      <w:r w:rsidRPr="00E27AC5">
        <w:rPr>
          <w:bCs/>
          <w:highlight w:val="cyan"/>
        </w:rPr>
        <w:t xml:space="preserve"> row of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cyan"/>
              </w:rPr>
              <m:t>x</m:t>
            </m:r>
          </m:e>
          <m:sub>
            <m:r>
              <w:rPr>
                <w:rFonts w:ascii="Cambria Math" w:hAnsi="Cambria Math"/>
                <w:highlight w:val="cyan"/>
              </w:rPr>
              <m:t>t</m:t>
            </m:r>
          </m:sub>
        </m:sSub>
      </m:oMath>
      <w:r w:rsidRPr="00E27AC5">
        <w:rPr>
          <w:highlight w:val="cyan"/>
        </w:rPr>
        <w:t xml:space="preserve">,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A</m:t>
        </m:r>
      </m:oMath>
      <w:r w:rsidRPr="00E27AC5">
        <w:rPr>
          <w:highlight w:val="cyan"/>
        </w:rPr>
        <w:t xml:space="preserve">,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b</m:t>
        </m:r>
      </m:oMath>
      <w:r w:rsidRPr="00E27AC5">
        <w:rPr>
          <w:highlight w:val="cyan"/>
        </w:rPr>
        <w:t xml:space="preserve"> as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x</m:t>
            </m:r>
          </m:e>
          <m:sub>
            <m:r>
              <w:rPr>
                <w:rFonts w:ascii="Cambria Math" w:hAnsi="Cambria Math"/>
                <w:highlight w:val="cyan"/>
              </w:rPr>
              <m:t>kt</m:t>
            </m:r>
          </m:sub>
        </m:sSub>
      </m:oMath>
      <w:r w:rsidRPr="00E27AC5">
        <w:rPr>
          <w:highlight w:val="cy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cyan"/>
              </w:rPr>
              <m:t>a</m:t>
            </m:r>
          </m:e>
          <m:sub>
            <m:r>
              <w:rPr>
                <w:rFonts w:ascii="Cambria Math" w:hAnsi="Cambria Math"/>
                <w:highlight w:val="cyan"/>
              </w:rPr>
              <m:t>k</m:t>
            </m:r>
          </m:sub>
        </m:sSub>
      </m:oMath>
      <w:r w:rsidRPr="00E27AC5">
        <w:rPr>
          <w:highlight w:val="cy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b</m:t>
            </m:r>
          </m:e>
          <m:sub>
            <m:r>
              <w:rPr>
                <w:rFonts w:ascii="Cambria Math" w:hAnsi="Cambria Math"/>
                <w:highlight w:val="cyan"/>
              </w:rPr>
              <m:t>k</m:t>
            </m:r>
          </m:sub>
        </m:sSub>
      </m:oMath>
      <w:r w:rsidRPr="00E27AC5">
        <w:rPr>
          <w:highlight w:val="cyan"/>
        </w:rPr>
        <w:t xml:space="preserve">. The corresponding process noise variance as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q</m:t>
            </m:r>
          </m:e>
          <m:sub>
            <m:r>
              <w:rPr>
                <w:rFonts w:ascii="Cambria Math" w:hAnsi="Cambria Math"/>
                <w:highlight w:val="cyan"/>
              </w:rPr>
              <m:t>k</m:t>
            </m:r>
          </m:sub>
        </m:sSub>
      </m:oMath>
      <w:r w:rsidRPr="00E27AC5">
        <w:rPr>
          <w:highlight w:val="cyan"/>
        </w:rPr>
        <w:t>. Then:</w:t>
      </w:r>
    </w:p>
    <w:p w14:paraId="3FB856B3" w14:textId="77777777" w:rsidR="007B2B81" w:rsidRPr="00C05A6E" w:rsidRDefault="00F74FE2" w:rsidP="007B2B81">
      <m:oMathPara>
        <m:oMath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x</m:t>
              </m:r>
            </m:e>
            <m:sub>
              <m:r>
                <w:rPr>
                  <w:rFonts w:ascii="Cambria Math" w:hAnsi="Cambria Math"/>
                  <w:highlight w:val="cyan"/>
                </w:rPr>
                <m:t>k,t+1</m:t>
              </m:r>
            </m:sub>
          </m:sSub>
          <m:r>
            <w:rPr>
              <w:rFonts w:ascii="Cambria Math" w:hAnsi="Cambria Math"/>
              <w:highlight w:val="cyan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x</m:t>
              </m:r>
            </m:e>
            <m:sub>
              <m:r>
                <w:rPr>
                  <w:rFonts w:ascii="Cambria Math" w:hAnsi="Cambria Math"/>
                  <w:highlight w:val="cyan"/>
                </w:rPr>
                <m:t>kt</m:t>
              </m:r>
            </m:sub>
          </m:sSub>
          <m:r>
            <w:rPr>
              <w:rFonts w:ascii="Cambria Math" w:hAnsi="Cambria Math"/>
              <w:highlight w:val="cyan"/>
            </w:rPr>
            <m:t>∼N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cyan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highlight w:val="cyan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</m:sSub>
            </m:e>
          </m:d>
        </m:oMath>
      </m:oMathPara>
    </w:p>
    <w:p w14:paraId="1DE2D91C" w14:textId="77777777" w:rsidR="007B2B81" w:rsidRDefault="007B2B81" w:rsidP="007B2B81">
      <w:r>
        <w:t>The parameters need to estimate:</w:t>
      </w:r>
    </w:p>
    <w:p w14:paraId="22AFD6F9" w14:textId="77777777" w:rsidR="007B2B81" w:rsidRPr="009D29E5" w:rsidRDefault="007B2B81" w:rsidP="007B2B81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Latent vectors: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4ED6D317" w14:textId="77777777" w:rsidR="007B2B81" w:rsidRPr="00C05A6E" w:rsidRDefault="007B2B81" w:rsidP="007B2B81">
      <w:pPr>
        <w:pStyle w:val="ListParagraph"/>
        <w:numPr>
          <w:ilvl w:val="0"/>
          <w:numId w:val="1"/>
        </w:numPr>
        <w:rPr>
          <w:bCs/>
        </w:rPr>
      </w:pPr>
      <w:r>
        <w:t xml:space="preserve">Initials: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26D01E2" w14:textId="08F538D7" w:rsidR="007B2B81" w:rsidRPr="00735F73" w:rsidRDefault="007B2B81" w:rsidP="007B2B81">
      <w:pPr>
        <w:pStyle w:val="ListParagraph"/>
        <w:numPr>
          <w:ilvl w:val="0"/>
          <w:numId w:val="1"/>
        </w:numPr>
        <w:rPr>
          <w:bCs/>
        </w:rPr>
      </w:pPr>
      <w:r>
        <w:lastRenderedPageBreak/>
        <w:t xml:space="preserve">Linear mapping for latent vectors: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</w:p>
    <w:p w14:paraId="429238A4" w14:textId="2C24B817" w:rsidR="00735F73" w:rsidRPr="00C05A6E" w:rsidRDefault="00735F73" w:rsidP="007B2B81">
      <w:pPr>
        <w:pStyle w:val="ListParagraph"/>
        <w:numPr>
          <w:ilvl w:val="0"/>
          <w:numId w:val="1"/>
        </w:numPr>
        <w:rPr>
          <w:bCs/>
        </w:rPr>
      </w:pPr>
      <w:r>
        <w:t xml:space="preserve">Mean and covariance for linear mapping in each cluster: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</w:p>
    <w:p w14:paraId="4AEDFD7D" w14:textId="77777777" w:rsidR="007B2B81" w:rsidRPr="00C05A6E" w:rsidRDefault="007B2B81" w:rsidP="007B2B81">
      <w:pPr>
        <w:pStyle w:val="ListParagraph"/>
        <w:numPr>
          <w:ilvl w:val="0"/>
          <w:numId w:val="1"/>
        </w:numPr>
        <w:rPr>
          <w:bCs/>
        </w:rPr>
      </w:pPr>
      <w:r>
        <w:t xml:space="preserve">Linear dynamics for latent vectors: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</w:p>
    <w:p w14:paraId="27227BB4" w14:textId="77777777" w:rsidR="007B2B81" w:rsidRPr="00C05A6E" w:rsidRDefault="007B2B81" w:rsidP="007B2B81">
      <w:pPr>
        <w:pStyle w:val="ListParagraph"/>
        <w:numPr>
          <w:ilvl w:val="0"/>
          <w:numId w:val="1"/>
        </w:numPr>
        <w:rPr>
          <w:bCs/>
        </w:rPr>
      </w:pPr>
      <w:r>
        <w:t xml:space="preserve">Process noise: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</w:p>
    <w:p w14:paraId="70F07351" w14:textId="77777777" w:rsidR="007B2B81" w:rsidRDefault="007B2B81" w:rsidP="007B2B81">
      <w:r>
        <w:t xml:space="preserve">Since the progress noise is independent in the model,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where </w:t>
      </w:r>
      <m:oMath>
        <m:r>
          <w:rPr>
            <w:rFonts w:ascii="Cambria Math" w:hAnsi="Cambria Math"/>
          </w:rPr>
          <m:t>P(⋅)</m:t>
        </m:r>
      </m:oMath>
      <w:r>
        <w:t xml:space="preserve"> is the Poisson density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parameters in cluster </w:t>
      </w:r>
      <m:oMath>
        <m:r>
          <w:rPr>
            <w:rFonts w:ascii="Cambria Math" w:hAnsi="Cambria Math"/>
          </w:rPr>
          <m:t>j</m:t>
        </m:r>
      </m:oMath>
      <w:r>
        <w:t>.</w:t>
      </w:r>
    </w:p>
    <w:p w14:paraId="3BC9D1E7" w14:textId="77777777" w:rsidR="00735F73" w:rsidRDefault="00735F73" w:rsidP="00735F73">
      <w:pPr>
        <w:pStyle w:val="Heading1"/>
      </w:pPr>
      <w:r>
        <w:t>Conditional Priors</w:t>
      </w:r>
    </w:p>
    <w:p w14:paraId="7C97947C" w14:textId="13130B7A" w:rsidR="00735F73" w:rsidRDefault="00735F73" w:rsidP="00735F73">
      <w:r>
        <w:t xml:space="preserve">Others are the same as v3, but modify loading related ones, i.e. mean and covariance for linear mapping in each cluster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:</w:t>
      </w:r>
    </w:p>
    <w:p w14:paraId="5CABF8C6" w14:textId="274105E6" w:rsidR="00735F73" w:rsidRPr="00735F73" w:rsidRDefault="00F74FE2" w:rsidP="00735F7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∼N(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48C234C" w14:textId="49F3E3A1" w:rsidR="00735F73" w:rsidRPr="00735F73" w:rsidRDefault="00735F73" w:rsidP="00735F73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dc0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p+1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dc0</m:t>
            </m:r>
          </m:sub>
        </m:sSub>
        <m:r>
          <w:rPr>
            <w:rFonts w:ascii="Cambria Math" w:hAnsi="Cambria Math"/>
          </w:rPr>
          <m:t>=0.1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p+1</m:t>
            </m:r>
          </m:sub>
        </m:sSub>
      </m:oMath>
    </w:p>
    <w:p w14:paraId="0AD3F01E" w14:textId="7EFFC251" w:rsidR="00735F73" w:rsidRDefault="00F74FE2" w:rsidP="00735F73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dc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dc0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dc0</m:t>
                  </m:r>
                </m:sub>
              </m:sSub>
            </m:e>
          </m:d>
        </m:oMath>
      </m:oMathPara>
    </w:p>
    <w:p w14:paraId="7CE4D470" w14:textId="0321EB62" w:rsidR="00735F73" w:rsidRDefault="00735F73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dc0</m:t>
            </m:r>
          </m:sub>
        </m:sSub>
        <m:r>
          <w:rPr>
            <w:rFonts w:ascii="Cambria Math" w:hAnsi="Cambria Math"/>
          </w:rPr>
          <m:t>=p+1+2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dc0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p+1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14:paraId="474FD3C3" w14:textId="5C7BAC6B" w:rsidR="00735F73" w:rsidRDefault="00735F73"/>
    <w:p w14:paraId="251B2DD7" w14:textId="77777777" w:rsidR="00735F73" w:rsidRDefault="00735F73" w:rsidP="00735F73">
      <w:pPr>
        <w:pStyle w:val="Heading1"/>
      </w:pPr>
      <w:r>
        <w:t>MCMC iteration</w:t>
      </w:r>
    </w:p>
    <w:p w14:paraId="0F9267C8" w14:textId="0E627E37" w:rsidR="00735F73" w:rsidRDefault="00735F73">
      <w:r>
        <w:t>Others are the same as v3, but modify loading related ones.</w:t>
      </w:r>
    </w:p>
    <w:p w14:paraId="385512B6" w14:textId="13898378" w:rsidR="00735F73" w:rsidRDefault="00735F73" w:rsidP="00735F73">
      <w:pPr>
        <w:pStyle w:val="ListParagraph"/>
        <w:numPr>
          <w:ilvl w:val="0"/>
          <w:numId w:val="4"/>
        </w:numPr>
      </w:pPr>
      <w:r>
        <w:t xml:space="preserve">Update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>:</w:t>
      </w:r>
    </w:p>
    <w:p w14:paraId="4019EFDD" w14:textId="2A3BFF1A" w:rsidR="00735F73" w:rsidRDefault="00735F73" w:rsidP="00735F73">
      <w:pPr>
        <w:pStyle w:val="ListParagraph"/>
      </w:pPr>
      <w:r>
        <w:t xml:space="preserve">Denote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p+1</m:t>
            </m:r>
          </m:sup>
        </m:sSup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bSup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sup>
            </m:sSubSup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.</w:t>
      </w:r>
    </w:p>
    <w:p w14:paraId="6239A150" w14:textId="449DC305" w:rsidR="00735F73" w:rsidRPr="00735F73" w:rsidRDefault="00735F73" w:rsidP="00735F73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≈N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49233465" w14:textId="639F04B5" w:rsidR="00735F73" w:rsidRPr="009508A3" w:rsidRDefault="00F74FE2" w:rsidP="00735F73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b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bSup>
            </m:e>
          </m:d>
        </m:oMath>
      </m:oMathPara>
    </w:p>
    <w:p w14:paraId="669DD5BD" w14:textId="057C6AEF" w:rsidR="00735F73" w:rsidRPr="009508A3" w:rsidRDefault="00F74FE2" w:rsidP="00735F73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01DA5B3" w14:textId="77777777" w:rsidR="00735F73" w:rsidRDefault="00735F73" w:rsidP="00735F73">
      <w:pPr>
        <w:pStyle w:val="ListParagraph"/>
      </w:pPr>
      <w:r>
        <w:t xml:space="preserve">Where </w:t>
      </w:r>
      <m:oMath>
        <m:r>
          <w:rPr>
            <w:rFonts w:ascii="Cambria Math" w:hAnsi="Cambria Math"/>
          </w:rPr>
          <m:t>l</m:t>
        </m:r>
      </m:oMath>
      <w:r>
        <w:t xml:space="preserve"> is Poisson log-likelihood.</w:t>
      </w:r>
    </w:p>
    <w:p w14:paraId="734F6D5B" w14:textId="111EF4D8" w:rsidR="00735F73" w:rsidRDefault="00735F73" w:rsidP="00735F73">
      <w:pPr>
        <w:pStyle w:val="ListParagraph"/>
        <w:rPr>
          <w:b/>
          <w:bCs/>
        </w:rPr>
      </w:pPr>
      <w:r>
        <w:t xml:space="preserve">Use Newton-Raphson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6BA3C7C6" w14:textId="0533F7CF" w:rsidR="007D7095" w:rsidRDefault="007D7095" w:rsidP="00735F73">
      <w:pPr>
        <w:pStyle w:val="ListParagraph"/>
        <w:rPr>
          <w:b/>
          <w:bCs/>
        </w:rPr>
      </w:pPr>
    </w:p>
    <w:p w14:paraId="60C3BA34" w14:textId="294C2E1A" w:rsidR="007D7095" w:rsidRDefault="007D7095" w:rsidP="007D7095">
      <w:pPr>
        <w:pStyle w:val="ListParagraph"/>
        <w:numPr>
          <w:ilvl w:val="0"/>
          <w:numId w:val="4"/>
        </w:numPr>
      </w:pPr>
      <w:r>
        <w:t xml:space="preserve">Update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:</w:t>
      </w:r>
    </w:p>
    <w:p w14:paraId="6A9163AD" w14:textId="11DED1E0" w:rsidR="007D7095" w:rsidRDefault="007D7095" w:rsidP="007D7095">
      <w:pPr>
        <w:pStyle w:val="ListParagraph"/>
      </w:pPr>
      <w:r>
        <w:t xml:space="preserve">Again, denote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p+1</m:t>
            </m:r>
          </m:sup>
        </m:sSup>
      </m:oMath>
      <w:r>
        <w:t>.</w:t>
      </w:r>
    </w:p>
    <w:p w14:paraId="0C293119" w14:textId="60813C56" w:rsidR="007D7095" w:rsidRDefault="007D7095" w:rsidP="007D7095">
      <w:pPr>
        <w:pStyle w:val="ListParagraph"/>
      </w:pPr>
      <w:r>
        <w:t xml:space="preserve">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: by conjugacy,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dc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∼N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dc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dc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5FC8DD03" w14:textId="58F4A70D" w:rsidR="007D7095" w:rsidRPr="007D7095" w:rsidRDefault="00F74FE2" w:rsidP="007D7095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  <m:sub>
              <m:r>
                <w:rPr>
                  <w:rFonts w:ascii="Cambria Math" w:hAnsi="Cambria Math"/>
                </w:rPr>
                <m:t>dc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Τ</m:t>
                      </m: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dc0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dc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CB98892" w14:textId="2C26488E" w:rsidR="007D7095" w:rsidRPr="007D7095" w:rsidRDefault="00F74FE2" w:rsidP="007D709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dc0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dc0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dc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3BA42AE" w14:textId="2B9CF7E9" w:rsidR="007D7095" w:rsidRDefault="007D7095" w:rsidP="007D7095">
      <w:pPr>
        <w:pStyle w:val="ListParagraph"/>
      </w:pPr>
    </w:p>
    <w:p w14:paraId="3FDF724C" w14:textId="79E009B8" w:rsidR="007D7095" w:rsidRPr="001179D4" w:rsidRDefault="007D7095" w:rsidP="007D7095">
      <w:pPr>
        <w:pStyle w:val="ListParagraph"/>
        <w:rPr>
          <w:highlight w:val="green"/>
        </w:rPr>
      </w:pPr>
      <w:r w:rsidRPr="001179D4">
        <w:rPr>
          <w:highlight w:val="green"/>
        </w:rPr>
        <w:t xml:space="preserve">Covariance: by conjugacy, </w:t>
      </w:r>
      <m:oMath>
        <m:sSubSup>
          <m:sSubSupPr>
            <m:ctrlPr>
              <w:rPr>
                <w:rFonts w:ascii="Cambria Math" w:hAnsi="Cambria Math"/>
                <w:i/>
                <w:highlight w:val="green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highlight w:val="green"/>
              </w:rPr>
              <m:t>Σ</m:t>
            </m:r>
            <m:ctrlPr>
              <w:rPr>
                <w:rFonts w:ascii="Cambria Math" w:hAnsi="Cambria Math"/>
                <w:highlight w:val="green"/>
              </w:rPr>
            </m:ctrlPr>
          </m:e>
          <m:sub>
            <m:r>
              <w:rPr>
                <w:rFonts w:ascii="Cambria Math" w:hAnsi="Cambria Math"/>
                <w:highlight w:val="green"/>
              </w:rPr>
              <m:t>dc</m:t>
            </m:r>
          </m:sub>
          <m:sup>
            <m:r>
              <w:rPr>
                <w:rFonts w:ascii="Cambria Math" w:hAnsi="Cambria Math"/>
                <w:highlight w:val="green"/>
              </w:rPr>
              <m:t>(j)</m:t>
            </m:r>
          </m:sup>
        </m:sSubSup>
        <m:r>
          <w:rPr>
            <w:rFonts w:ascii="Cambria Math" w:hAnsi="Cambria Math"/>
            <w:highlight w:val="green"/>
          </w:rPr>
          <m:t>∼</m:t>
        </m:r>
        <m:sSup>
          <m:sSupPr>
            <m:ctrlPr>
              <w:rPr>
                <w:rFonts w:ascii="Cambria Math" w:hAnsi="Cambria Math"/>
                <w:i/>
                <w:highlight w:val="green"/>
              </w:rPr>
            </m:ctrlPr>
          </m:sSupPr>
          <m:e>
            <m:r>
              <w:rPr>
                <w:rFonts w:ascii="Cambria Math" w:hAnsi="Cambria Math"/>
                <w:highlight w:val="green"/>
              </w:rPr>
              <m:t>W</m:t>
            </m:r>
          </m:e>
          <m:sup>
            <m:r>
              <w:rPr>
                <w:rFonts w:ascii="Cambria Math" w:hAnsi="Cambria Math"/>
                <w:highlight w:val="green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highlight w:val="gree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green"/>
                  </w:rPr>
                  <m:t>Ψ</m:t>
                </m:r>
                <m:ctrlPr>
                  <w:rPr>
                    <w:rFonts w:ascii="Cambria Math" w:hAnsi="Cambria Math"/>
                    <w:highlight w:val="green"/>
                  </w:rPr>
                </m:ctrlPr>
              </m:e>
              <m:sub>
                <m:r>
                  <w:rPr>
                    <w:rFonts w:ascii="Cambria Math" w:hAnsi="Cambria Math"/>
                    <w:highlight w:val="green"/>
                  </w:rPr>
                  <m:t>dc</m:t>
                </m:r>
              </m:sub>
            </m:sSub>
            <m:r>
              <w:rPr>
                <w:rFonts w:ascii="Cambria Math" w:hAnsi="Cambria Math"/>
                <w:highlight w:val="gree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</w:rPr>
                  <m:t>ν</m:t>
                </m:r>
              </m:e>
              <m:sub>
                <m:r>
                  <w:rPr>
                    <w:rFonts w:ascii="Cambria Math" w:hAnsi="Cambria Math"/>
                    <w:highlight w:val="green"/>
                  </w:rPr>
                  <m:t>dc</m:t>
                </m:r>
              </m:sub>
            </m:sSub>
          </m:e>
        </m:d>
      </m:oMath>
    </w:p>
    <w:p w14:paraId="22E1E23D" w14:textId="77777777" w:rsidR="007D7095" w:rsidRPr="001179D4" w:rsidRDefault="007D7095" w:rsidP="007D7095">
      <w:pPr>
        <w:pStyle w:val="ListParagraph"/>
        <w:rPr>
          <w:highlight w:val="green"/>
        </w:rPr>
      </w:pPr>
    </w:p>
    <w:p w14:paraId="3C945114" w14:textId="148A97EA" w:rsidR="007D7095" w:rsidRPr="001179D4" w:rsidRDefault="00F74FE2" w:rsidP="007D7095">
      <w:pPr>
        <w:pStyle w:val="ListParagraph"/>
        <w:rPr>
          <w:highlight w:val="gre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ν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dc</m:t>
              </m:r>
            </m:sub>
          </m:sSub>
          <m:r>
            <w:rPr>
              <w:rFonts w:ascii="Cambria Math" w:hAnsi="Cambria Math"/>
              <w:highlight w:val="gree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n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j</m:t>
              </m:r>
            </m:sub>
          </m:sSub>
          <m:r>
            <w:rPr>
              <w:rFonts w:ascii="Cambria Math" w:hAnsi="Cambria Math"/>
              <w:highlight w:val="gree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ν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dc0</m:t>
              </m:r>
            </m:sub>
          </m:sSub>
        </m:oMath>
      </m:oMathPara>
    </w:p>
    <w:p w14:paraId="23F2A3D5" w14:textId="3221F949" w:rsidR="00D73F93" w:rsidRPr="001179D4" w:rsidRDefault="00F74FE2" w:rsidP="007D709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Ψ</m:t>
              </m:r>
              <m:ctrlPr>
                <w:rPr>
                  <w:rFonts w:ascii="Cambria Math" w:hAnsi="Cambria Math"/>
                  <w:highlight w:val="green"/>
                </w:rPr>
              </m:ctrlPr>
            </m:e>
            <m:sub>
              <m:r>
                <w:rPr>
                  <w:rFonts w:ascii="Cambria Math" w:hAnsi="Cambria Math"/>
                  <w:highlight w:val="green"/>
                </w:rPr>
                <m:t>dc</m:t>
              </m:r>
            </m:sub>
          </m:sSub>
          <m:r>
            <w:rPr>
              <w:rFonts w:ascii="Cambria Math" w:hAnsi="Cambria Math"/>
              <w:highlight w:val="gree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Ψ</m:t>
              </m:r>
              <m:ctrlPr>
                <w:rPr>
                  <w:rFonts w:ascii="Cambria Math" w:hAnsi="Cambria Math"/>
                  <w:highlight w:val="green"/>
                </w:rPr>
              </m:ctrlPr>
            </m:e>
            <m:sub>
              <m:r>
                <w:rPr>
                  <w:rFonts w:ascii="Cambria Math" w:hAnsi="Cambria Math"/>
                  <w:highlight w:val="green"/>
                </w:rPr>
                <m:t>dc0</m:t>
              </m:r>
            </m:sub>
          </m:sSub>
          <m:r>
            <w:rPr>
              <w:rFonts w:ascii="Cambria Math" w:hAnsi="Cambria Math"/>
              <w:highlight w:val="green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green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highlight w:val="gree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gree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dc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(j)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green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gree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dc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(j)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'</m:t>
                  </m:r>
                </m:sup>
              </m:sSup>
            </m:e>
          </m:nary>
        </m:oMath>
      </m:oMathPara>
    </w:p>
    <w:p w14:paraId="11CC3AFF" w14:textId="317A8646" w:rsidR="001179D4" w:rsidRDefault="001179D4" w:rsidP="007D7095">
      <w:pPr>
        <w:pStyle w:val="ListParagraph"/>
      </w:pPr>
      <w:r>
        <w:t>When doing the clustering, there may be too few observation for covariance estimation…</w:t>
      </w:r>
    </w:p>
    <w:p w14:paraId="447DEAD2" w14:textId="4105C847" w:rsidR="001179D4" w:rsidRDefault="001179D4" w:rsidP="007D7095">
      <w:pPr>
        <w:pStyle w:val="ListParagraph"/>
      </w:pPr>
      <w:r>
        <w:t xml:space="preserve">Can we assume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dc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>
        <w:t xml:space="preserve"> is the same for all clusters, or even fix it to be known?</w:t>
      </w:r>
    </w:p>
    <w:p w14:paraId="581FC834" w14:textId="488AA071" w:rsidR="001179D4" w:rsidRPr="001179D4" w:rsidRDefault="001179D4" w:rsidP="001179D4">
      <w:pPr>
        <w:pStyle w:val="ListParagraph"/>
      </w:pPr>
      <w:r>
        <w:t xml:space="preserve">If assume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dc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dc</m:t>
            </m:r>
          </m:sub>
        </m:sSub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dc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dc</m:t>
                </m:r>
              </m:sub>
            </m:sSub>
          </m:e>
        </m:d>
      </m:oMath>
    </w:p>
    <w:p w14:paraId="56506814" w14:textId="77777777" w:rsidR="001179D4" w:rsidRPr="001179D4" w:rsidRDefault="001179D4" w:rsidP="001179D4">
      <w:pPr>
        <w:pStyle w:val="ListParagraph"/>
      </w:pPr>
    </w:p>
    <w:p w14:paraId="65B5A466" w14:textId="0E6BBBB6" w:rsidR="001179D4" w:rsidRPr="001179D4" w:rsidRDefault="001179D4" w:rsidP="001179D4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</m:sSub>
        </m:oMath>
      </m:oMathPara>
    </w:p>
    <w:p w14:paraId="0470D4CB" w14:textId="1BB3A2C6" w:rsidR="001179D4" w:rsidRPr="001179D4" w:rsidRDefault="001179D4" w:rsidP="001179D4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dc0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01DD4354" w14:textId="5C653458" w:rsidR="001179D4" w:rsidRPr="007D7095" w:rsidRDefault="001179D4" w:rsidP="007D7095">
      <w:pPr>
        <w:pStyle w:val="ListParagraph"/>
      </w:pPr>
    </w:p>
    <w:sectPr w:rsidR="001179D4" w:rsidRPr="007D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C4C89"/>
    <w:multiLevelType w:val="hybridMultilevel"/>
    <w:tmpl w:val="AB820F40"/>
    <w:lvl w:ilvl="0" w:tplc="9FBA2A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B1AEA"/>
    <w:multiLevelType w:val="hybridMultilevel"/>
    <w:tmpl w:val="C09CC864"/>
    <w:lvl w:ilvl="0" w:tplc="9FBA2A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633FD"/>
    <w:multiLevelType w:val="hybridMultilevel"/>
    <w:tmpl w:val="D49047AC"/>
    <w:lvl w:ilvl="0" w:tplc="0164C5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055F7"/>
    <w:multiLevelType w:val="hybridMultilevel"/>
    <w:tmpl w:val="AB820F40"/>
    <w:lvl w:ilvl="0" w:tplc="9FBA2A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81"/>
    <w:rsid w:val="001179D4"/>
    <w:rsid w:val="00565F7A"/>
    <w:rsid w:val="006A3B70"/>
    <w:rsid w:val="00735F73"/>
    <w:rsid w:val="007B2B81"/>
    <w:rsid w:val="007D7095"/>
    <w:rsid w:val="00D01D59"/>
    <w:rsid w:val="00D73F93"/>
    <w:rsid w:val="00DF2673"/>
    <w:rsid w:val="00F7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7FB2"/>
  <w15:chartTrackingRefBased/>
  <w15:docId w15:val="{2E36FDAF-62F8-43D1-9783-1E8D38E6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B81"/>
  </w:style>
  <w:style w:type="paragraph" w:styleId="Heading1">
    <w:name w:val="heading 1"/>
    <w:basedOn w:val="Normal"/>
    <w:next w:val="Normal"/>
    <w:link w:val="Heading1Char"/>
    <w:uiPriority w:val="9"/>
    <w:qFormat/>
    <w:rsid w:val="007B2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2B8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B2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2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Ganchao</dc:creator>
  <cp:keywords/>
  <dc:description/>
  <cp:lastModifiedBy>wei ganchao</cp:lastModifiedBy>
  <cp:revision>3</cp:revision>
  <dcterms:created xsi:type="dcterms:W3CDTF">2021-08-21T13:43:00Z</dcterms:created>
  <dcterms:modified xsi:type="dcterms:W3CDTF">2021-08-21T19:47:00Z</dcterms:modified>
</cp:coreProperties>
</file>