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48668" w14:textId="77777777" w:rsidR="003C4233" w:rsidRDefault="00000000">
      <w:pPr>
        <w:pStyle w:val="Heading1"/>
      </w:pPr>
      <w:r>
        <w:t>Healthcare Provider Episode Cost Analysis Report</w:t>
      </w:r>
    </w:p>
    <w:p w14:paraId="2E85306E" w14:textId="77777777" w:rsidR="003C4233" w:rsidRDefault="00000000">
      <w:r>
        <w:t>Author: Milo Joronen</w:t>
      </w:r>
    </w:p>
    <w:p w14:paraId="469FADF9" w14:textId="77777777" w:rsidR="003C4233" w:rsidRDefault="00000000">
      <w:r>
        <w:t>Date: February 2026</w:t>
      </w:r>
    </w:p>
    <w:p w14:paraId="76E20444" w14:textId="77777777" w:rsidR="003C4233" w:rsidRDefault="00000000">
      <w:r>
        <w:br w:type="page"/>
      </w:r>
    </w:p>
    <w:p w14:paraId="57CAAA99" w14:textId="77777777" w:rsidR="003C4233" w:rsidRDefault="00000000">
      <w:pPr>
        <w:pStyle w:val="Heading2"/>
      </w:pPr>
      <w:r>
        <w:lastRenderedPageBreak/>
        <w:t>1. Introduction</w:t>
      </w:r>
    </w:p>
    <w:p w14:paraId="14FFA034" w14:textId="77777777" w:rsidR="003C4233" w:rsidRDefault="00000000">
      <w:r>
        <w:t>This report summarises the analysis of a comprehensive episode-level hospital dataset, originally presented in slide format.</w:t>
      </w:r>
    </w:p>
    <w:p w14:paraId="2DB19E98" w14:textId="77777777" w:rsidR="003C4233" w:rsidRDefault="00000000">
      <w:r>
        <w:t>The dataset captures hospital activity, clinical complexity, and associated charges to support billing reconciliation, financial oversight, and contract compliance.</w:t>
      </w:r>
    </w:p>
    <w:p w14:paraId="121DED6F" w14:textId="77777777" w:rsidR="003C4233" w:rsidRDefault="00000000">
      <w:r>
        <w:t>Cost analysis is critical because healthcare expenditure is highly skewed, with a small proportion of cases driving a disproportionate share of financial impact.</w:t>
      </w:r>
    </w:p>
    <w:p w14:paraId="212A885A" w14:textId="77777777" w:rsidR="003C4233" w:rsidRDefault="00000000">
      <w:r>
        <w:t>The objective of this study is to understand structural cost drivers, build a risk-adjusted predictive model, detect financial outliers, and provide strategic recommendations.</w:t>
      </w:r>
    </w:p>
    <w:p w14:paraId="77BDB40B" w14:textId="77777777" w:rsidR="003C4233" w:rsidRDefault="00000000">
      <w:r>
        <w:br w:type="page"/>
      </w:r>
    </w:p>
    <w:p w14:paraId="43B0F18C" w14:textId="77777777" w:rsidR="003C4233" w:rsidRDefault="00000000">
      <w:pPr>
        <w:pStyle w:val="Heading2"/>
      </w:pPr>
      <w:r>
        <w:lastRenderedPageBreak/>
        <w:t>2. Exploratory Data Analysis (EDA)</w:t>
      </w:r>
    </w:p>
    <w:p w14:paraId="762F62E5" w14:textId="77777777" w:rsidR="003C4233" w:rsidRDefault="00000000">
      <w:pPr>
        <w:pStyle w:val="Heading3"/>
      </w:pPr>
      <w:r>
        <w:t>Cost Segmentation</w:t>
      </w:r>
    </w:p>
    <w:p w14:paraId="12F1DFA2" w14:textId="77777777" w:rsidR="003C4233" w:rsidRDefault="00000000">
      <w:pPr>
        <w:pStyle w:val="ListBullet"/>
      </w:pPr>
      <w:r>
        <w:t>Episodes categorised into Low (≤50th percentile), Medium (50–75th), High (75–95th), Very High (&gt;95th).</w:t>
      </w:r>
    </w:p>
    <w:p w14:paraId="641D07D1" w14:textId="77777777" w:rsidR="003C4233" w:rsidRDefault="00000000">
      <w:pPr>
        <w:pStyle w:val="ListBullet"/>
      </w:pPr>
      <w:r>
        <w:t>High and Very High segments represent ~25% of episodes but ~78% of total revenue.</w:t>
      </w:r>
    </w:p>
    <w:p w14:paraId="2B65515A" w14:textId="1B32B78E" w:rsidR="0004352D" w:rsidRDefault="00000000" w:rsidP="0004352D">
      <w:pPr>
        <w:pStyle w:val="ListBullet"/>
      </w:pPr>
      <w:r>
        <w:t>Top 5% of episodes generate extreme financial concentration.</w:t>
      </w:r>
    </w:p>
    <w:p w14:paraId="4C24AE15" w14:textId="647555AC" w:rsidR="0004352D" w:rsidRDefault="0004352D" w:rsidP="0004352D">
      <w:pPr>
        <w:pStyle w:val="ListBullet"/>
        <w:numPr>
          <w:ilvl w:val="0"/>
          <w:numId w:val="0"/>
        </w:numPr>
      </w:pPr>
      <w:r w:rsidRPr="0004352D">
        <w:drawing>
          <wp:inline distT="0" distB="0" distL="0" distR="0" wp14:anchorId="04648633" wp14:editId="1F7CF66C">
            <wp:extent cx="2915561" cy="1635421"/>
            <wp:effectExtent l="0" t="0" r="0" b="3175"/>
            <wp:docPr id="19" name="Picture 18">
              <a:extLst xmlns:a="http://schemas.openxmlformats.org/drawingml/2006/main">
                <a:ext uri="{FF2B5EF4-FFF2-40B4-BE49-F238E27FC236}">
                  <a16:creationId xmlns:a16="http://schemas.microsoft.com/office/drawing/2014/main" id="{68A13E93-86C1-D893-7067-BF02DF03C0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68A13E93-86C1-D893-7067-BF02DF03C096}"/>
                        </a:ext>
                      </a:extLst>
                    </pic:cNvPr>
                    <pic:cNvPicPr>
                      <a:picLocks noChangeAspect="1"/>
                    </pic:cNvPicPr>
                  </pic:nvPicPr>
                  <pic:blipFill>
                    <a:blip r:embed="rId6"/>
                    <a:stretch>
                      <a:fillRect/>
                    </a:stretch>
                  </pic:blipFill>
                  <pic:spPr>
                    <a:xfrm>
                      <a:off x="0" y="0"/>
                      <a:ext cx="2915561" cy="1635421"/>
                    </a:xfrm>
                    <a:prstGeom prst="rect">
                      <a:avLst/>
                    </a:prstGeom>
                  </pic:spPr>
                </pic:pic>
              </a:graphicData>
            </a:graphic>
          </wp:inline>
        </w:drawing>
      </w:r>
    </w:p>
    <w:p w14:paraId="1FB86B25" w14:textId="2437483A" w:rsidR="0004352D" w:rsidRDefault="0004352D" w:rsidP="0004352D">
      <w:pPr>
        <w:pStyle w:val="ListBullet"/>
        <w:numPr>
          <w:ilvl w:val="0"/>
          <w:numId w:val="0"/>
        </w:numPr>
      </w:pPr>
      <w:r w:rsidRPr="0004352D">
        <w:drawing>
          <wp:inline distT="0" distB="0" distL="0" distR="0" wp14:anchorId="77DAA9D7" wp14:editId="73B78670">
            <wp:extent cx="5486400" cy="3075305"/>
            <wp:effectExtent l="0" t="0" r="0" b="0"/>
            <wp:docPr id="15" name="Picture 14">
              <a:extLst xmlns:a="http://schemas.openxmlformats.org/drawingml/2006/main">
                <a:ext uri="{FF2B5EF4-FFF2-40B4-BE49-F238E27FC236}">
                  <a16:creationId xmlns:a16="http://schemas.microsoft.com/office/drawing/2014/main" id="{05A9D61D-D6B9-C840-726A-83A5AC1D90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05A9D61D-D6B9-C840-726A-83A5AC1D9056}"/>
                        </a:ext>
                      </a:extLst>
                    </pic:cNvPr>
                    <pic:cNvPicPr>
                      <a:picLocks noChangeAspect="1"/>
                    </pic:cNvPicPr>
                  </pic:nvPicPr>
                  <pic:blipFill>
                    <a:blip r:embed="rId7"/>
                    <a:stretch>
                      <a:fillRect/>
                    </a:stretch>
                  </pic:blipFill>
                  <pic:spPr>
                    <a:xfrm>
                      <a:off x="0" y="0"/>
                      <a:ext cx="5486400" cy="3075305"/>
                    </a:xfrm>
                    <a:prstGeom prst="rect">
                      <a:avLst/>
                    </a:prstGeom>
                  </pic:spPr>
                </pic:pic>
              </a:graphicData>
            </a:graphic>
          </wp:inline>
        </w:drawing>
      </w:r>
    </w:p>
    <w:p w14:paraId="27F0518D" w14:textId="77777777" w:rsidR="0004352D" w:rsidRDefault="0004352D" w:rsidP="0004352D">
      <w:pPr>
        <w:pStyle w:val="ListBullet"/>
        <w:numPr>
          <w:ilvl w:val="0"/>
          <w:numId w:val="0"/>
        </w:numPr>
        <w:ind w:left="360" w:hanging="360"/>
      </w:pPr>
    </w:p>
    <w:p w14:paraId="3534E15E" w14:textId="77777777" w:rsidR="0004352D" w:rsidRDefault="0004352D" w:rsidP="0004352D">
      <w:pPr>
        <w:pStyle w:val="ListBullet"/>
        <w:numPr>
          <w:ilvl w:val="0"/>
          <w:numId w:val="0"/>
        </w:numPr>
        <w:ind w:left="360" w:hanging="360"/>
      </w:pPr>
    </w:p>
    <w:p w14:paraId="23DAAECA" w14:textId="77777777" w:rsidR="0004352D" w:rsidRDefault="0004352D" w:rsidP="0004352D">
      <w:pPr>
        <w:pStyle w:val="ListBullet"/>
        <w:numPr>
          <w:ilvl w:val="0"/>
          <w:numId w:val="0"/>
        </w:numPr>
        <w:ind w:left="360" w:hanging="360"/>
      </w:pPr>
    </w:p>
    <w:p w14:paraId="49B09254" w14:textId="77777777" w:rsidR="0004352D" w:rsidRDefault="0004352D" w:rsidP="0004352D">
      <w:pPr>
        <w:pStyle w:val="ListBullet"/>
        <w:numPr>
          <w:ilvl w:val="0"/>
          <w:numId w:val="0"/>
        </w:numPr>
        <w:ind w:left="360" w:hanging="360"/>
      </w:pPr>
    </w:p>
    <w:p w14:paraId="61A3ACDD" w14:textId="77777777" w:rsidR="0004352D" w:rsidRDefault="0004352D" w:rsidP="0004352D">
      <w:pPr>
        <w:pStyle w:val="ListBullet"/>
        <w:numPr>
          <w:ilvl w:val="0"/>
          <w:numId w:val="0"/>
        </w:numPr>
        <w:ind w:left="360" w:hanging="360"/>
      </w:pPr>
    </w:p>
    <w:p w14:paraId="520C16F7" w14:textId="77777777" w:rsidR="0004352D" w:rsidRDefault="0004352D" w:rsidP="0004352D">
      <w:pPr>
        <w:pStyle w:val="ListBullet"/>
        <w:numPr>
          <w:ilvl w:val="0"/>
          <w:numId w:val="0"/>
        </w:numPr>
        <w:ind w:left="360" w:hanging="360"/>
      </w:pPr>
    </w:p>
    <w:p w14:paraId="6754FF33" w14:textId="77777777" w:rsidR="0004352D" w:rsidRDefault="0004352D" w:rsidP="0004352D">
      <w:pPr>
        <w:pStyle w:val="ListBullet"/>
        <w:numPr>
          <w:ilvl w:val="0"/>
          <w:numId w:val="0"/>
        </w:numPr>
        <w:ind w:left="360" w:hanging="360"/>
      </w:pPr>
    </w:p>
    <w:p w14:paraId="221FC3B7" w14:textId="77777777" w:rsidR="0004352D" w:rsidRDefault="0004352D" w:rsidP="0004352D">
      <w:pPr>
        <w:pStyle w:val="ListBullet"/>
        <w:numPr>
          <w:ilvl w:val="0"/>
          <w:numId w:val="0"/>
        </w:numPr>
        <w:ind w:left="360" w:hanging="360"/>
      </w:pPr>
    </w:p>
    <w:p w14:paraId="2B148659" w14:textId="77777777" w:rsidR="0004352D" w:rsidRDefault="0004352D" w:rsidP="0004352D">
      <w:pPr>
        <w:pStyle w:val="ListBullet"/>
        <w:numPr>
          <w:ilvl w:val="0"/>
          <w:numId w:val="0"/>
        </w:numPr>
        <w:ind w:left="360" w:hanging="360"/>
      </w:pPr>
    </w:p>
    <w:p w14:paraId="4BCC6085" w14:textId="77777777" w:rsidR="003C4233" w:rsidRDefault="00000000">
      <w:pPr>
        <w:pStyle w:val="Heading3"/>
      </w:pPr>
      <w:r>
        <w:lastRenderedPageBreak/>
        <w:t>Length of Stay (LOS)</w:t>
      </w:r>
    </w:p>
    <w:p w14:paraId="7A9FAAA0" w14:textId="77777777" w:rsidR="003C4233" w:rsidRDefault="00000000">
      <w:pPr>
        <w:pStyle w:val="ListBullet"/>
      </w:pPr>
      <w:r>
        <w:t>Median LOS increases monotonically with cost segment.</w:t>
      </w:r>
    </w:p>
    <w:p w14:paraId="5A61B3EF" w14:textId="77777777" w:rsidR="003C4233" w:rsidRDefault="00000000">
      <w:pPr>
        <w:pStyle w:val="ListBullet"/>
      </w:pPr>
      <w:r>
        <w:t>Very High segment shows significant variability and heavy right tail.</w:t>
      </w:r>
    </w:p>
    <w:p w14:paraId="7140C2BF" w14:textId="77777777" w:rsidR="003C4233" w:rsidRDefault="00000000">
      <w:pPr>
        <w:pStyle w:val="ListBullet"/>
      </w:pPr>
      <w:r>
        <w:t>Prolonged admissions are a key structural driver of cost escalation.</w:t>
      </w:r>
    </w:p>
    <w:p w14:paraId="7C8F4EDE" w14:textId="77777777" w:rsidR="0004352D" w:rsidRDefault="0004352D" w:rsidP="0004352D">
      <w:pPr>
        <w:pStyle w:val="ListBullet"/>
        <w:numPr>
          <w:ilvl w:val="0"/>
          <w:numId w:val="0"/>
        </w:numPr>
        <w:ind w:left="360" w:hanging="360"/>
      </w:pPr>
    </w:p>
    <w:p w14:paraId="70129654" w14:textId="3CC0FCC7" w:rsidR="0004352D" w:rsidRDefault="0004352D" w:rsidP="0004352D">
      <w:pPr>
        <w:pStyle w:val="ListBullet"/>
        <w:numPr>
          <w:ilvl w:val="0"/>
          <w:numId w:val="0"/>
        </w:numPr>
        <w:ind w:left="360" w:hanging="360"/>
      </w:pPr>
      <w:r w:rsidRPr="0004352D">
        <w:drawing>
          <wp:anchor distT="0" distB="0" distL="114300" distR="114300" simplePos="0" relativeHeight="251657216" behindDoc="0" locked="0" layoutInCell="1" allowOverlap="1" wp14:anchorId="4CBC35D8" wp14:editId="08CD8470">
            <wp:simplePos x="0" y="0"/>
            <wp:positionH relativeFrom="column">
              <wp:posOffset>0</wp:posOffset>
            </wp:positionH>
            <wp:positionV relativeFrom="paragraph">
              <wp:posOffset>62350</wp:posOffset>
            </wp:positionV>
            <wp:extent cx="4399364" cy="2657525"/>
            <wp:effectExtent l="0" t="0" r="1270" b="0"/>
            <wp:wrapTopAndBottom/>
            <wp:docPr id="5" name="Content Placeholder 4">
              <a:extLst xmlns:a="http://schemas.openxmlformats.org/drawingml/2006/main">
                <a:ext uri="{FF2B5EF4-FFF2-40B4-BE49-F238E27FC236}">
                  <a16:creationId xmlns:a16="http://schemas.microsoft.com/office/drawing/2014/main" id="{0C3FAD6B-4012-2E38-D9AE-DAB33326071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0C3FAD6B-4012-2E38-D9AE-DAB33326071C}"/>
                        </a:ext>
                      </a:extLst>
                    </pic:cNvPr>
                    <pic:cNvPicPr>
                      <a:picLocks noGrp="1" noChangeAspect="1"/>
                    </pic:cNvPicPr>
                  </pic:nvPicPr>
                  <pic:blipFill>
                    <a:blip r:embed="rId8"/>
                    <a:stretch>
                      <a:fillRect/>
                    </a:stretch>
                  </pic:blipFill>
                  <pic:spPr>
                    <a:xfrm>
                      <a:off x="0" y="0"/>
                      <a:ext cx="4399364" cy="2657525"/>
                    </a:xfrm>
                    <a:prstGeom prst="rect">
                      <a:avLst/>
                    </a:prstGeom>
                  </pic:spPr>
                </pic:pic>
              </a:graphicData>
            </a:graphic>
          </wp:anchor>
        </w:drawing>
      </w:r>
    </w:p>
    <w:p w14:paraId="60F9896B" w14:textId="6B627F78" w:rsidR="0004352D" w:rsidRDefault="0004352D" w:rsidP="0004352D">
      <w:pPr>
        <w:pStyle w:val="ListBullet"/>
        <w:numPr>
          <w:ilvl w:val="0"/>
          <w:numId w:val="0"/>
        </w:numPr>
        <w:ind w:left="360" w:hanging="360"/>
      </w:pPr>
      <w:r w:rsidRPr="0004352D">
        <w:drawing>
          <wp:anchor distT="0" distB="0" distL="114300" distR="114300" simplePos="0" relativeHeight="251659264" behindDoc="0" locked="0" layoutInCell="1" allowOverlap="1" wp14:anchorId="7193DCA6" wp14:editId="4F5E6440">
            <wp:simplePos x="0" y="0"/>
            <wp:positionH relativeFrom="column">
              <wp:posOffset>30192</wp:posOffset>
            </wp:positionH>
            <wp:positionV relativeFrom="paragraph">
              <wp:posOffset>18020</wp:posOffset>
            </wp:positionV>
            <wp:extent cx="4368047" cy="2633088"/>
            <wp:effectExtent l="0" t="0" r="0" b="0"/>
            <wp:wrapTopAndBottom/>
            <wp:docPr id="7" name="Picture 6">
              <a:extLst xmlns:a="http://schemas.openxmlformats.org/drawingml/2006/main">
                <a:ext uri="{FF2B5EF4-FFF2-40B4-BE49-F238E27FC236}">
                  <a16:creationId xmlns:a16="http://schemas.microsoft.com/office/drawing/2014/main" id="{5D358206-F015-FA4F-E1E4-C54E354B7E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D358206-F015-FA4F-E1E4-C54E354B7EA5}"/>
                        </a:ext>
                      </a:extLst>
                    </pic:cNvPr>
                    <pic:cNvPicPr>
                      <a:picLocks noChangeAspect="1"/>
                    </pic:cNvPicPr>
                  </pic:nvPicPr>
                  <pic:blipFill>
                    <a:blip r:embed="rId9"/>
                    <a:stretch>
                      <a:fillRect/>
                    </a:stretch>
                  </pic:blipFill>
                  <pic:spPr>
                    <a:xfrm>
                      <a:off x="0" y="0"/>
                      <a:ext cx="4368047" cy="2633088"/>
                    </a:xfrm>
                    <a:prstGeom prst="rect">
                      <a:avLst/>
                    </a:prstGeom>
                  </pic:spPr>
                </pic:pic>
              </a:graphicData>
            </a:graphic>
          </wp:anchor>
        </w:drawing>
      </w:r>
    </w:p>
    <w:p w14:paraId="5C7BFAF1" w14:textId="77777777" w:rsidR="003C4233" w:rsidRDefault="00000000">
      <w:pPr>
        <w:pStyle w:val="Heading3"/>
      </w:pPr>
      <w:r>
        <w:t>Theatre Usage</w:t>
      </w:r>
    </w:p>
    <w:p w14:paraId="1B56DC93" w14:textId="77777777" w:rsidR="003C4233" w:rsidRDefault="00000000">
      <w:pPr>
        <w:pStyle w:val="ListBullet"/>
      </w:pPr>
      <w:r>
        <w:t>81.63% of High/Very High episodes involve theatre use.</w:t>
      </w:r>
    </w:p>
    <w:p w14:paraId="6E58B1E4" w14:textId="77777777" w:rsidR="003C4233" w:rsidRDefault="00000000">
      <w:pPr>
        <w:pStyle w:val="ListBullet"/>
      </w:pPr>
      <w:r>
        <w:t>Median theatre time increases significantly across segments.</w:t>
      </w:r>
    </w:p>
    <w:p w14:paraId="5BAD6466" w14:textId="77777777" w:rsidR="003C4233" w:rsidRDefault="00000000">
      <w:pPr>
        <w:pStyle w:val="ListBullet"/>
      </w:pPr>
      <w:r>
        <w:t>Cost escalation is driven by procedural intensity and post-operative resource utilisation.</w:t>
      </w:r>
    </w:p>
    <w:p w14:paraId="08DE6C56" w14:textId="632DFC07" w:rsidR="0004352D" w:rsidRDefault="0004352D" w:rsidP="0004352D">
      <w:pPr>
        <w:pStyle w:val="ListBullet"/>
        <w:numPr>
          <w:ilvl w:val="0"/>
          <w:numId w:val="0"/>
        </w:numPr>
      </w:pPr>
      <w:r w:rsidRPr="0004352D">
        <w:lastRenderedPageBreak/>
        <w:drawing>
          <wp:inline distT="0" distB="0" distL="0" distR="0" wp14:anchorId="762A8FD3" wp14:editId="59DC9872">
            <wp:extent cx="4792009" cy="3582027"/>
            <wp:effectExtent l="0" t="0" r="8890" b="0"/>
            <wp:docPr id="1902956414" name="Picture 4">
              <a:extLst xmlns:a="http://schemas.openxmlformats.org/drawingml/2006/main">
                <a:ext uri="{FF2B5EF4-FFF2-40B4-BE49-F238E27FC236}">
                  <a16:creationId xmlns:a16="http://schemas.microsoft.com/office/drawing/2014/main" id="{3D75DF54-2323-BD32-7291-CBD1736EA3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D75DF54-2323-BD32-7291-CBD1736EA30A}"/>
                        </a:ext>
                      </a:extLst>
                    </pic:cNvPr>
                    <pic:cNvPicPr>
                      <a:picLocks noChangeAspect="1"/>
                    </pic:cNvPicPr>
                  </pic:nvPicPr>
                  <pic:blipFill>
                    <a:blip r:embed="rId10"/>
                    <a:stretch>
                      <a:fillRect/>
                    </a:stretch>
                  </pic:blipFill>
                  <pic:spPr>
                    <a:xfrm>
                      <a:off x="0" y="0"/>
                      <a:ext cx="4792009" cy="3582027"/>
                    </a:xfrm>
                    <a:prstGeom prst="rect">
                      <a:avLst/>
                    </a:prstGeom>
                  </pic:spPr>
                </pic:pic>
              </a:graphicData>
            </a:graphic>
          </wp:inline>
        </w:drawing>
      </w:r>
    </w:p>
    <w:p w14:paraId="416A00F8" w14:textId="6050B87B" w:rsidR="0004352D" w:rsidRDefault="0004352D">
      <w:pPr>
        <w:pStyle w:val="Heading3"/>
      </w:pPr>
      <w:r w:rsidRPr="0004352D">
        <w:t>CCU / SCN / HIH Usage Analysis</w:t>
      </w:r>
    </w:p>
    <w:p w14:paraId="52A3C9B0" w14:textId="77777777" w:rsidR="0004352D" w:rsidRPr="0004352D" w:rsidRDefault="0004352D" w:rsidP="0004352D">
      <w:pPr>
        <w:rPr>
          <w:lang w:val="en-AU"/>
        </w:rPr>
      </w:pPr>
      <w:r w:rsidRPr="0004352D">
        <w:rPr>
          <w:lang w:val="en-AU"/>
        </w:rPr>
        <w:t>High-cost episodes are associated with greater critical care exposure compared to lower-cost cases; however, the marginal increase between High and Very High segments is modest. This indicates that while acuity contributes to cost concentration, procedural intensity and length of stay appear to be stronger structural drivers of financial concentration.</w:t>
      </w:r>
    </w:p>
    <w:p w14:paraId="03D19E7D" w14:textId="7EBE82E1" w:rsidR="0004352D" w:rsidRDefault="0004352D" w:rsidP="0004352D">
      <w:r w:rsidRPr="0004352D">
        <w:drawing>
          <wp:inline distT="0" distB="0" distL="0" distR="0" wp14:anchorId="504876B0" wp14:editId="3A2C95D1">
            <wp:extent cx="3619077" cy="2859657"/>
            <wp:effectExtent l="0" t="0" r="635" b="0"/>
            <wp:docPr id="1245916432" name="Picture 4">
              <a:extLst xmlns:a="http://schemas.openxmlformats.org/drawingml/2006/main">
                <a:ext uri="{FF2B5EF4-FFF2-40B4-BE49-F238E27FC236}">
                  <a16:creationId xmlns:a16="http://schemas.microsoft.com/office/drawing/2014/main" id="{F92EF9FE-C357-984E-13ED-11CE6BD48A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92EF9FE-C357-984E-13ED-11CE6BD48ABC}"/>
                        </a:ext>
                      </a:extLst>
                    </pic:cNvPr>
                    <pic:cNvPicPr>
                      <a:picLocks noChangeAspect="1"/>
                    </pic:cNvPicPr>
                  </pic:nvPicPr>
                  <pic:blipFill>
                    <a:blip r:embed="rId11"/>
                    <a:stretch>
                      <a:fillRect/>
                    </a:stretch>
                  </pic:blipFill>
                  <pic:spPr>
                    <a:xfrm>
                      <a:off x="0" y="0"/>
                      <a:ext cx="3620307" cy="2860629"/>
                    </a:xfrm>
                    <a:prstGeom prst="rect">
                      <a:avLst/>
                    </a:prstGeom>
                  </pic:spPr>
                </pic:pic>
              </a:graphicData>
            </a:graphic>
          </wp:inline>
        </w:drawing>
      </w:r>
    </w:p>
    <w:p w14:paraId="25F17E8A" w14:textId="1AB3EE82" w:rsidR="003C4233" w:rsidRDefault="00000000">
      <w:pPr>
        <w:pStyle w:val="Heading3"/>
      </w:pPr>
      <w:r>
        <w:lastRenderedPageBreak/>
        <w:t>DRG Concentration</w:t>
      </w:r>
    </w:p>
    <w:p w14:paraId="3C9033AC" w14:textId="77777777" w:rsidR="003C4233" w:rsidRDefault="00000000">
      <w:pPr>
        <w:pStyle w:val="ListBullet"/>
      </w:pPr>
      <w:r>
        <w:t>Very High revenue highly concentrated in top 3 DRGs (~50%).</w:t>
      </w:r>
    </w:p>
    <w:p w14:paraId="031B2887" w14:textId="77777777" w:rsidR="003C4233" w:rsidRDefault="00000000">
      <w:pPr>
        <w:pStyle w:val="ListBullet"/>
      </w:pPr>
      <w:r>
        <w:t>High segment revenue diversified across many DRGs.</w:t>
      </w:r>
    </w:p>
    <w:p w14:paraId="43EE6AC1" w14:textId="77777777" w:rsidR="003C4233" w:rsidRDefault="00000000">
      <w:pPr>
        <w:pStyle w:val="ListBullet"/>
      </w:pPr>
      <w:r>
        <w:t>Financial dependency concentrated in specific high-complexity pathways.</w:t>
      </w:r>
    </w:p>
    <w:p w14:paraId="4701F642" w14:textId="3EEF06CB" w:rsidR="0004352D" w:rsidRDefault="0004352D" w:rsidP="0004352D">
      <w:pPr>
        <w:pStyle w:val="ListBullet"/>
        <w:numPr>
          <w:ilvl w:val="0"/>
          <w:numId w:val="0"/>
        </w:numPr>
        <w:ind w:left="360" w:hanging="360"/>
      </w:pPr>
      <w:r w:rsidRPr="0004352D">
        <w:drawing>
          <wp:inline distT="0" distB="0" distL="0" distR="0" wp14:anchorId="72E45E27" wp14:editId="0CB21F93">
            <wp:extent cx="3506638" cy="3067087"/>
            <wp:effectExtent l="0" t="0" r="0" b="0"/>
            <wp:docPr id="87661562" name="Picture 4">
              <a:extLst xmlns:a="http://schemas.openxmlformats.org/drawingml/2006/main">
                <a:ext uri="{FF2B5EF4-FFF2-40B4-BE49-F238E27FC236}">
                  <a16:creationId xmlns:a16="http://schemas.microsoft.com/office/drawing/2014/main" id="{AFD9BE43-887B-463A-A91D-2E1800A93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FD9BE43-887B-463A-A91D-2E1800A93D4D}"/>
                        </a:ext>
                      </a:extLst>
                    </pic:cNvPr>
                    <pic:cNvPicPr>
                      <a:picLocks noChangeAspect="1"/>
                    </pic:cNvPicPr>
                  </pic:nvPicPr>
                  <pic:blipFill>
                    <a:blip r:embed="rId12"/>
                    <a:stretch>
                      <a:fillRect/>
                    </a:stretch>
                  </pic:blipFill>
                  <pic:spPr>
                    <a:xfrm>
                      <a:off x="0" y="0"/>
                      <a:ext cx="3507464" cy="3067809"/>
                    </a:xfrm>
                    <a:prstGeom prst="rect">
                      <a:avLst/>
                    </a:prstGeom>
                  </pic:spPr>
                </pic:pic>
              </a:graphicData>
            </a:graphic>
          </wp:inline>
        </w:drawing>
      </w:r>
    </w:p>
    <w:p w14:paraId="108E4B90" w14:textId="5DE07923" w:rsidR="0004352D" w:rsidRDefault="0004352D" w:rsidP="00124DD4">
      <w:pPr>
        <w:pStyle w:val="ListBullet"/>
        <w:numPr>
          <w:ilvl w:val="0"/>
          <w:numId w:val="0"/>
        </w:numPr>
        <w:ind w:left="360" w:hanging="360"/>
      </w:pPr>
      <w:r w:rsidRPr="0004352D">
        <w:drawing>
          <wp:inline distT="0" distB="0" distL="0" distR="0" wp14:anchorId="475499BF" wp14:editId="2F26CE21">
            <wp:extent cx="2976132" cy="3705045"/>
            <wp:effectExtent l="0" t="0" r="0" b="0"/>
            <wp:docPr id="525290938" name="Picture 6">
              <a:extLst xmlns:a="http://schemas.openxmlformats.org/drawingml/2006/main">
                <a:ext uri="{FF2B5EF4-FFF2-40B4-BE49-F238E27FC236}">
                  <a16:creationId xmlns:a16="http://schemas.microsoft.com/office/drawing/2014/main" id="{80B5CFF4-A9B5-6728-0F37-2C42E2FEAC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0B5CFF4-A9B5-6728-0F37-2C42E2FEACEC}"/>
                        </a:ext>
                      </a:extLst>
                    </pic:cNvPr>
                    <pic:cNvPicPr>
                      <a:picLocks noChangeAspect="1"/>
                    </pic:cNvPicPr>
                  </pic:nvPicPr>
                  <pic:blipFill>
                    <a:blip r:embed="rId13"/>
                    <a:stretch>
                      <a:fillRect/>
                    </a:stretch>
                  </pic:blipFill>
                  <pic:spPr>
                    <a:xfrm>
                      <a:off x="0" y="0"/>
                      <a:ext cx="2976830" cy="3705914"/>
                    </a:xfrm>
                    <a:prstGeom prst="rect">
                      <a:avLst/>
                    </a:prstGeom>
                  </pic:spPr>
                </pic:pic>
              </a:graphicData>
            </a:graphic>
          </wp:inline>
        </w:drawing>
      </w:r>
    </w:p>
    <w:p w14:paraId="2C82524C" w14:textId="6DAFE919" w:rsidR="003C4233" w:rsidRDefault="00000000">
      <w:pPr>
        <w:pStyle w:val="Heading3"/>
      </w:pPr>
      <w:r>
        <w:t>Urgency &amp; Care Type</w:t>
      </w:r>
    </w:p>
    <w:p w14:paraId="1E9BF279" w14:textId="77777777" w:rsidR="003C4233" w:rsidRDefault="00000000">
      <w:pPr>
        <w:pStyle w:val="ListBullet"/>
      </w:pPr>
      <w:r>
        <w:t>Revenue concentration primarily driven by elective acute pathways.</w:t>
      </w:r>
    </w:p>
    <w:p w14:paraId="5FB1BCA9" w14:textId="77777777" w:rsidR="003C4233" w:rsidRDefault="00000000">
      <w:pPr>
        <w:pStyle w:val="ListBullet"/>
      </w:pPr>
      <w:r>
        <w:lastRenderedPageBreak/>
        <w:t>Emergency share increases with cost but remains minority contributor.</w:t>
      </w:r>
    </w:p>
    <w:p w14:paraId="409F7BC8" w14:textId="77777777" w:rsidR="003C4233" w:rsidRDefault="00000000">
      <w:pPr>
        <w:pStyle w:val="ListBullet"/>
      </w:pPr>
      <w:r>
        <w:t>Acute admitted care dominates financial exposure.</w:t>
      </w:r>
    </w:p>
    <w:p w14:paraId="38314894" w14:textId="34145656" w:rsidR="0004352D" w:rsidRDefault="0004352D" w:rsidP="0004352D">
      <w:pPr>
        <w:pStyle w:val="ListBullet"/>
      </w:pPr>
      <w:r w:rsidRPr="0004352D">
        <w:rPr>
          <w:lang w:val="en-AU"/>
        </w:rPr>
        <w:t>Emergency proportion increases sharply from:</w:t>
      </w:r>
      <w:r w:rsidRPr="0004352D">
        <w:rPr>
          <w:lang w:val="en-AU"/>
        </w:rPr>
        <w:br/>
        <w:t>0.16% → 12.5%</w:t>
      </w:r>
      <w:r w:rsidRPr="0004352D">
        <w:rPr>
          <w:lang w:val="en-AU"/>
        </w:rPr>
        <w:t xml:space="preserve"> </w:t>
      </w:r>
      <w:r w:rsidRPr="0004352D">
        <w:rPr>
          <w:lang w:val="en-AU"/>
        </w:rPr>
        <w:t xml:space="preserve">So complexity </w:t>
      </w:r>
      <w:r w:rsidRPr="0004352D">
        <w:rPr>
          <w:i/>
          <w:iCs/>
          <w:lang w:val="en-AU"/>
        </w:rPr>
        <w:t>does</w:t>
      </w:r>
      <w:r w:rsidRPr="0004352D">
        <w:rPr>
          <w:lang w:val="en-AU"/>
        </w:rPr>
        <w:t xml:space="preserve"> rise with cost —</w:t>
      </w:r>
      <w:r w:rsidRPr="0004352D">
        <w:rPr>
          <w:lang w:val="en-AU"/>
        </w:rPr>
        <w:br/>
        <w:t>but the majority of revenue still comes from elective pathways</w:t>
      </w:r>
    </w:p>
    <w:p w14:paraId="0E608F25" w14:textId="2CDF9F99" w:rsidR="0004352D" w:rsidRDefault="0004352D" w:rsidP="0004352D">
      <w:pPr>
        <w:pStyle w:val="ListBullet"/>
        <w:numPr>
          <w:ilvl w:val="0"/>
          <w:numId w:val="0"/>
        </w:numPr>
        <w:ind w:left="360" w:hanging="360"/>
      </w:pPr>
      <w:r w:rsidRPr="0004352D">
        <w:drawing>
          <wp:inline distT="0" distB="0" distL="0" distR="0" wp14:anchorId="19FA8D1F" wp14:editId="56BBCA40">
            <wp:extent cx="5486400" cy="3025775"/>
            <wp:effectExtent l="0" t="0" r="0" b="3175"/>
            <wp:docPr id="772534780" name="Picture 4">
              <a:extLst xmlns:a="http://schemas.openxmlformats.org/drawingml/2006/main">
                <a:ext uri="{FF2B5EF4-FFF2-40B4-BE49-F238E27FC236}">
                  <a16:creationId xmlns:a16="http://schemas.microsoft.com/office/drawing/2014/main" id="{0FCBC6EF-27C6-D6D4-E0BE-15970023F5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FCBC6EF-27C6-D6D4-E0BE-15970023F565}"/>
                        </a:ext>
                      </a:extLst>
                    </pic:cNvPr>
                    <pic:cNvPicPr>
                      <a:picLocks noChangeAspect="1"/>
                    </pic:cNvPicPr>
                  </pic:nvPicPr>
                  <pic:blipFill>
                    <a:blip r:embed="rId14"/>
                    <a:stretch>
                      <a:fillRect/>
                    </a:stretch>
                  </pic:blipFill>
                  <pic:spPr>
                    <a:xfrm>
                      <a:off x="0" y="0"/>
                      <a:ext cx="5486400" cy="3025775"/>
                    </a:xfrm>
                    <a:prstGeom prst="rect">
                      <a:avLst/>
                    </a:prstGeom>
                  </pic:spPr>
                </pic:pic>
              </a:graphicData>
            </a:graphic>
          </wp:inline>
        </w:drawing>
      </w:r>
    </w:p>
    <w:p w14:paraId="415C8012" w14:textId="3179F456" w:rsidR="003C4233" w:rsidRDefault="0004352D" w:rsidP="0004352D">
      <w:pPr>
        <w:pStyle w:val="Heading3"/>
      </w:pPr>
      <w:r>
        <w:t>Care Type Analysis</w:t>
      </w:r>
    </w:p>
    <w:p w14:paraId="56A97E56" w14:textId="77777777" w:rsidR="0004352D" w:rsidRPr="0004352D" w:rsidRDefault="0004352D" w:rsidP="0004352D">
      <w:pPr>
        <w:rPr>
          <w:lang w:val="en-AU"/>
        </w:rPr>
      </w:pPr>
      <w:r w:rsidRPr="0004352D">
        <w:rPr>
          <w:lang w:val="en-AU"/>
        </w:rPr>
        <w:t>The high-cost concentration is almost entirely within acute admitted care pathways, with a small but increasing contribution from palliative episodes in the Very High segment.</w:t>
      </w:r>
      <w:r w:rsidRPr="0004352D">
        <w:rPr>
          <w:lang w:val="en-AU"/>
        </w:rPr>
        <w:br/>
        <w:t>This indicates that revenue concentration is driven by core hospital service lines rather than subacute or maintenance services.</w:t>
      </w:r>
    </w:p>
    <w:p w14:paraId="26F80579" w14:textId="77777777" w:rsidR="0004352D" w:rsidRPr="0004352D" w:rsidRDefault="0004352D" w:rsidP="0004352D">
      <w:pPr>
        <w:rPr>
          <w:lang w:val="en-AU"/>
        </w:rPr>
      </w:pPr>
      <w:r w:rsidRPr="0004352D">
        <w:rPr>
          <w:lang w:val="en-AU"/>
        </w:rPr>
        <w:t>Recommendation:</w:t>
      </w:r>
    </w:p>
    <w:p w14:paraId="13F6BFD6" w14:textId="77777777" w:rsidR="0004352D" w:rsidRPr="0004352D" w:rsidRDefault="0004352D" w:rsidP="0004352D">
      <w:pPr>
        <w:numPr>
          <w:ilvl w:val="0"/>
          <w:numId w:val="10"/>
        </w:numPr>
        <w:rPr>
          <w:lang w:val="en-AU"/>
        </w:rPr>
      </w:pPr>
      <w:r w:rsidRPr="0004352D">
        <w:rPr>
          <w:lang w:val="en-AU"/>
        </w:rPr>
        <w:t>Investment focus should remain on acute service optimisation.</w:t>
      </w:r>
    </w:p>
    <w:p w14:paraId="7C2A41A7" w14:textId="77777777" w:rsidR="0004352D" w:rsidRPr="0004352D" w:rsidRDefault="0004352D" w:rsidP="0004352D">
      <w:pPr>
        <w:numPr>
          <w:ilvl w:val="0"/>
          <w:numId w:val="10"/>
        </w:numPr>
        <w:rPr>
          <w:lang w:val="en-AU"/>
        </w:rPr>
      </w:pPr>
      <w:r w:rsidRPr="0004352D">
        <w:rPr>
          <w:lang w:val="en-AU"/>
        </w:rPr>
        <w:t>Palliative pathways in high-cost segments may require:</w:t>
      </w:r>
    </w:p>
    <w:p w14:paraId="7C25A21B" w14:textId="77777777" w:rsidR="0004352D" w:rsidRPr="0004352D" w:rsidRDefault="0004352D" w:rsidP="0004352D">
      <w:pPr>
        <w:numPr>
          <w:ilvl w:val="1"/>
          <w:numId w:val="10"/>
        </w:numPr>
        <w:rPr>
          <w:lang w:val="en-AU"/>
        </w:rPr>
      </w:pPr>
      <w:r w:rsidRPr="0004352D">
        <w:rPr>
          <w:lang w:val="en-AU"/>
        </w:rPr>
        <w:t>LOS management</w:t>
      </w:r>
    </w:p>
    <w:p w14:paraId="4AC8E6C3" w14:textId="77777777" w:rsidR="0004352D" w:rsidRPr="0004352D" w:rsidRDefault="0004352D" w:rsidP="0004352D">
      <w:pPr>
        <w:numPr>
          <w:ilvl w:val="1"/>
          <w:numId w:val="10"/>
        </w:numPr>
        <w:rPr>
          <w:lang w:val="en-AU"/>
        </w:rPr>
      </w:pPr>
      <w:r w:rsidRPr="0004352D">
        <w:rPr>
          <w:lang w:val="en-AU"/>
        </w:rPr>
        <w:t>Care coordination optimisation</w:t>
      </w:r>
    </w:p>
    <w:p w14:paraId="1849918C" w14:textId="77777777" w:rsidR="0004352D" w:rsidRPr="0004352D" w:rsidRDefault="0004352D" w:rsidP="0004352D">
      <w:pPr>
        <w:numPr>
          <w:ilvl w:val="1"/>
          <w:numId w:val="10"/>
        </w:numPr>
        <w:rPr>
          <w:lang w:val="en-AU"/>
        </w:rPr>
      </w:pPr>
      <w:r w:rsidRPr="0004352D">
        <w:rPr>
          <w:lang w:val="en-AU"/>
        </w:rPr>
        <w:t>Appropriate billing validation</w:t>
      </w:r>
    </w:p>
    <w:p w14:paraId="59615F01" w14:textId="77777777" w:rsidR="0004352D" w:rsidRPr="0004352D" w:rsidRDefault="0004352D" w:rsidP="0004352D">
      <w:pPr>
        <w:numPr>
          <w:ilvl w:val="0"/>
          <w:numId w:val="10"/>
        </w:numPr>
        <w:rPr>
          <w:lang w:val="en-AU"/>
        </w:rPr>
      </w:pPr>
      <w:r w:rsidRPr="0004352D">
        <w:rPr>
          <w:lang w:val="en-AU"/>
        </w:rPr>
        <w:t>No evidence that rehab or maintenance is distorting cost distribution.</w:t>
      </w:r>
    </w:p>
    <w:p w14:paraId="3228A224" w14:textId="6EE13FC0" w:rsidR="0004352D" w:rsidRPr="0004352D" w:rsidRDefault="0004352D" w:rsidP="0004352D">
      <w:r w:rsidRPr="0004352D">
        <w:lastRenderedPageBreak/>
        <w:drawing>
          <wp:inline distT="0" distB="0" distL="0" distR="0" wp14:anchorId="5257A2CF" wp14:editId="002D6E88">
            <wp:extent cx="5486400" cy="2611120"/>
            <wp:effectExtent l="0" t="0" r="0" b="0"/>
            <wp:docPr id="333976181" name="Picture 4">
              <a:extLst xmlns:a="http://schemas.openxmlformats.org/drawingml/2006/main">
                <a:ext uri="{FF2B5EF4-FFF2-40B4-BE49-F238E27FC236}">
                  <a16:creationId xmlns:a16="http://schemas.microsoft.com/office/drawing/2014/main" id="{FFDD17A1-3633-4061-6385-D6E8DAB78A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FDD17A1-3633-4061-6385-D6E8DAB78AC1}"/>
                        </a:ext>
                      </a:extLst>
                    </pic:cNvPr>
                    <pic:cNvPicPr>
                      <a:picLocks noChangeAspect="1"/>
                    </pic:cNvPicPr>
                  </pic:nvPicPr>
                  <pic:blipFill>
                    <a:blip r:embed="rId15"/>
                    <a:stretch>
                      <a:fillRect/>
                    </a:stretch>
                  </pic:blipFill>
                  <pic:spPr>
                    <a:xfrm>
                      <a:off x="0" y="0"/>
                      <a:ext cx="5486400" cy="2611120"/>
                    </a:xfrm>
                    <a:prstGeom prst="rect">
                      <a:avLst/>
                    </a:prstGeom>
                  </pic:spPr>
                </pic:pic>
              </a:graphicData>
            </a:graphic>
          </wp:inline>
        </w:drawing>
      </w:r>
    </w:p>
    <w:p w14:paraId="14AA1945" w14:textId="77777777" w:rsidR="003C4233" w:rsidRDefault="00000000">
      <w:pPr>
        <w:pStyle w:val="Heading2"/>
      </w:pPr>
      <w:r>
        <w:t>3. Predictive Modelling – XGBoost Total Charge Prediction</w:t>
      </w:r>
    </w:p>
    <w:p w14:paraId="5C9820AA" w14:textId="77777777" w:rsidR="003C4233" w:rsidRDefault="00000000">
      <w:pPr>
        <w:pStyle w:val="Heading3"/>
      </w:pPr>
      <w:r>
        <w:t>Model Motivation</w:t>
      </w:r>
    </w:p>
    <w:p w14:paraId="532A073A" w14:textId="77777777" w:rsidR="003C4233" w:rsidRDefault="00000000">
      <w:pPr>
        <w:pStyle w:val="ListBullet"/>
      </w:pPr>
      <w:r>
        <w:t>Establish risk-adjusted expected cost baseline.</w:t>
      </w:r>
    </w:p>
    <w:p w14:paraId="0E642460" w14:textId="77777777" w:rsidR="003C4233" w:rsidRDefault="00000000">
      <w:pPr>
        <w:pStyle w:val="ListBullet"/>
      </w:pPr>
      <w:r>
        <w:t>Identify material deviations from expected complexity-adjusted cost.</w:t>
      </w:r>
    </w:p>
    <w:p w14:paraId="01096DCD" w14:textId="49ADF1F1" w:rsidR="0004352D" w:rsidRDefault="00000000" w:rsidP="0004352D">
      <w:pPr>
        <w:pStyle w:val="ListBullet"/>
      </w:pPr>
      <w:r>
        <w:t>Support proactive financial oversight.</w:t>
      </w:r>
    </w:p>
    <w:p w14:paraId="29CBECCA" w14:textId="609AEF16" w:rsidR="0004352D" w:rsidRDefault="0004352D" w:rsidP="0004352D">
      <w:pPr>
        <w:pStyle w:val="Heading3"/>
      </w:pPr>
      <w:r>
        <w:t>Hypothesis</w:t>
      </w:r>
    </w:p>
    <w:p w14:paraId="4EC3DED1" w14:textId="77777777" w:rsidR="0004352D" w:rsidRPr="0004352D" w:rsidRDefault="0004352D" w:rsidP="0004352D">
      <w:pPr>
        <w:pStyle w:val="ListBullet"/>
      </w:pPr>
      <w:r w:rsidRPr="0004352D">
        <w:t>Episode-level hospital charges can be accurately predicted using clinical and operational characteristics (e.g. DRG, procedures, theatre use, LOS).</w:t>
      </w:r>
    </w:p>
    <w:p w14:paraId="4B47E3F9" w14:textId="77777777" w:rsidR="0004352D" w:rsidRPr="0004352D" w:rsidRDefault="0004352D" w:rsidP="0004352D">
      <w:pPr>
        <w:pStyle w:val="ListBullet"/>
      </w:pPr>
      <w:r w:rsidRPr="0004352D">
        <w:t>A risk-adjusted predictive model will explain the majority of cost variation across episodes.</w:t>
      </w:r>
    </w:p>
    <w:p w14:paraId="20019E73" w14:textId="77777777" w:rsidR="0004352D" w:rsidRPr="0004352D" w:rsidRDefault="0004352D" w:rsidP="0004352D">
      <w:pPr>
        <w:pStyle w:val="ListBullet"/>
      </w:pPr>
      <w:r w:rsidRPr="0004352D">
        <w:t>Episodes that materially exceed predicted cost represent statistically identifiable outliers.</w:t>
      </w:r>
    </w:p>
    <w:p w14:paraId="79287731" w14:textId="77777777" w:rsidR="0004352D" w:rsidRPr="0004352D" w:rsidRDefault="0004352D" w:rsidP="0004352D">
      <w:pPr>
        <w:pStyle w:val="ListBullet"/>
      </w:pPr>
      <w:r w:rsidRPr="0004352D">
        <w:t>High-cost outliers will be concentrated in high-complexity (Very High) segments.</w:t>
      </w:r>
    </w:p>
    <w:p w14:paraId="207195B4" w14:textId="77777777" w:rsidR="0004352D" w:rsidRPr="0004352D" w:rsidRDefault="0004352D" w:rsidP="0004352D">
      <w:pPr>
        <w:pStyle w:val="ListBullet"/>
      </w:pPr>
      <w:r w:rsidRPr="0004352D">
        <w:t>Efficiency variation (low-cost outliers) will be more visible in moderate-acuity (Medium) segments.</w:t>
      </w:r>
    </w:p>
    <w:p w14:paraId="65CE5073" w14:textId="32E23AAB" w:rsidR="0004352D" w:rsidRPr="0004352D" w:rsidRDefault="0004352D" w:rsidP="0004352D">
      <w:pPr>
        <w:pStyle w:val="ListBullet"/>
      </w:pPr>
      <w:r w:rsidRPr="0004352D">
        <w:t>Risk-adjusted benchmarking will provide more meaningful financial insight than raw cost comparison.</w:t>
      </w:r>
    </w:p>
    <w:p w14:paraId="0F839AB7" w14:textId="77777777" w:rsidR="003C4233" w:rsidRDefault="00000000">
      <w:pPr>
        <w:pStyle w:val="Heading3"/>
      </w:pPr>
      <w:r>
        <w:t>Methodology</w:t>
      </w:r>
    </w:p>
    <w:p w14:paraId="46D32849" w14:textId="77777777" w:rsidR="003C4233" w:rsidRDefault="00000000">
      <w:pPr>
        <w:pStyle w:val="ListBullet"/>
      </w:pPr>
      <w:r>
        <w:t>~30,000 episodes analysed.</w:t>
      </w:r>
    </w:p>
    <w:p w14:paraId="7A79C430" w14:textId="76CBE13E" w:rsidR="00F16132" w:rsidRPr="00F16132" w:rsidRDefault="00F16132" w:rsidP="00F16132">
      <w:pPr>
        <w:pStyle w:val="ListBullet"/>
        <w:rPr>
          <w:lang w:val="en-AU"/>
        </w:rPr>
      </w:pPr>
      <w:r w:rsidRPr="00F16132">
        <w:t>XGBoost machine learning model used to predict expected episode cost based on clinical and operational characteristics</w:t>
      </w:r>
    </w:p>
    <w:p w14:paraId="2DBD4F23" w14:textId="77777777" w:rsidR="003C4233" w:rsidRDefault="00000000">
      <w:pPr>
        <w:pStyle w:val="ListBullet"/>
      </w:pPr>
      <w:r>
        <w:t>Target: log-transformed total hospital charges.</w:t>
      </w:r>
    </w:p>
    <w:p w14:paraId="5291CAA7" w14:textId="77777777" w:rsidR="003C4233" w:rsidRDefault="00000000">
      <w:pPr>
        <w:pStyle w:val="ListBullet"/>
      </w:pPr>
      <w:r>
        <w:t>5-fold cross-validation with Bayesian hyperparameter optimisation.</w:t>
      </w:r>
    </w:p>
    <w:p w14:paraId="3E1859CF" w14:textId="77777777" w:rsidR="003C4233" w:rsidRDefault="00000000">
      <w:pPr>
        <w:pStyle w:val="ListBullet"/>
      </w:pPr>
      <w:r>
        <w:t>Leakage variables removed.</w:t>
      </w:r>
    </w:p>
    <w:p w14:paraId="13268F52" w14:textId="77777777" w:rsidR="00F16132" w:rsidRDefault="00F16132" w:rsidP="00F16132">
      <w:pPr>
        <w:pStyle w:val="ListBullet"/>
        <w:numPr>
          <w:ilvl w:val="0"/>
          <w:numId w:val="0"/>
        </w:numPr>
        <w:ind w:left="360" w:hanging="360"/>
      </w:pPr>
    </w:p>
    <w:p w14:paraId="4B357610" w14:textId="77777777" w:rsidR="00F16132" w:rsidRDefault="00F16132" w:rsidP="00F16132">
      <w:pPr>
        <w:pStyle w:val="ListBullet"/>
        <w:numPr>
          <w:ilvl w:val="0"/>
          <w:numId w:val="0"/>
        </w:numPr>
        <w:ind w:left="360" w:hanging="360"/>
      </w:pPr>
    </w:p>
    <w:p w14:paraId="5C809C21" w14:textId="4F55C5E1" w:rsidR="00F16132" w:rsidRDefault="00F16132" w:rsidP="00F16132">
      <w:pPr>
        <w:pStyle w:val="Heading4"/>
      </w:pPr>
      <w:r>
        <w:lastRenderedPageBreak/>
        <w:t>Why this Model?</w:t>
      </w:r>
    </w:p>
    <w:p w14:paraId="75DF0DFE" w14:textId="77777777" w:rsidR="00F16132" w:rsidRPr="00F16132" w:rsidRDefault="00F16132" w:rsidP="00F16132">
      <w:pPr>
        <w:pStyle w:val="ListBullet"/>
        <w:rPr>
          <w:lang w:val="en-AU"/>
        </w:rPr>
      </w:pPr>
      <w:r w:rsidRPr="00F16132">
        <w:rPr>
          <w:lang w:val="en-AU"/>
        </w:rPr>
        <w:t>Hospital costs are non-linear and interaction-driven</w:t>
      </w:r>
    </w:p>
    <w:p w14:paraId="0928BD7E" w14:textId="77777777" w:rsidR="00F16132" w:rsidRPr="00F16132" w:rsidRDefault="00F16132" w:rsidP="00F16132">
      <w:pPr>
        <w:pStyle w:val="ListBullet"/>
        <w:rPr>
          <w:lang w:val="en-AU"/>
        </w:rPr>
      </w:pPr>
      <w:r w:rsidRPr="00F16132">
        <w:rPr>
          <w:lang w:val="en-AU"/>
        </w:rPr>
        <w:t xml:space="preserve"> XGBoost captures complex clinical interactions</w:t>
      </w:r>
    </w:p>
    <w:p w14:paraId="7AFA33C2" w14:textId="77777777" w:rsidR="00F16132" w:rsidRPr="00F16132" w:rsidRDefault="00F16132" w:rsidP="00F16132">
      <w:pPr>
        <w:pStyle w:val="ListBullet"/>
        <w:rPr>
          <w:lang w:val="en-AU"/>
        </w:rPr>
      </w:pPr>
      <w:r w:rsidRPr="00F16132">
        <w:rPr>
          <w:lang w:val="en-AU"/>
        </w:rPr>
        <w:t>Target encoding handles high-cardinality variables (e.g. DRG)</w:t>
      </w:r>
    </w:p>
    <w:p w14:paraId="6CC16D0E" w14:textId="53A70570" w:rsidR="00F16132" w:rsidRPr="00F16132" w:rsidRDefault="00F16132" w:rsidP="00F16132">
      <w:pPr>
        <w:pStyle w:val="ListBullet"/>
        <w:rPr>
          <w:lang w:val="en-AU"/>
        </w:rPr>
      </w:pPr>
      <w:r w:rsidRPr="00F16132">
        <w:rPr>
          <w:lang w:val="en-AU"/>
        </w:rPr>
        <w:t>More robust than linear regression for structured healthcare data</w:t>
      </w:r>
    </w:p>
    <w:p w14:paraId="473A3EAE" w14:textId="77777777" w:rsidR="003C4233" w:rsidRDefault="00000000">
      <w:pPr>
        <w:pStyle w:val="Heading3"/>
      </w:pPr>
      <w:r>
        <w:t>Model Performance</w:t>
      </w:r>
    </w:p>
    <w:p w14:paraId="208362F1" w14:textId="77777777" w:rsidR="003C4233" w:rsidRDefault="00000000">
      <w:pPr>
        <w:pStyle w:val="ListBullet"/>
      </w:pPr>
      <w:r>
        <w:t>Cross-validated RMSE (log scale): 0.271.</w:t>
      </w:r>
    </w:p>
    <w:p w14:paraId="6B778732" w14:textId="77777777" w:rsidR="003C4233" w:rsidRDefault="00000000">
      <w:pPr>
        <w:pStyle w:val="ListBullet"/>
      </w:pPr>
      <w:r>
        <w:t>R²: 0.952 (95% variance explained).</w:t>
      </w:r>
    </w:p>
    <w:p w14:paraId="638A8C96" w14:textId="77777777" w:rsidR="003C4233" w:rsidRDefault="00000000">
      <w:pPr>
        <w:pStyle w:val="ListBullet"/>
      </w:pPr>
      <w:r>
        <w:t>Approximate multiplicative error ~30%.</w:t>
      </w:r>
    </w:p>
    <w:p w14:paraId="7EE8DC14" w14:textId="42AE391B" w:rsidR="00F16132" w:rsidRPr="00F16132" w:rsidRDefault="00F16132" w:rsidP="00F16132">
      <w:pPr>
        <w:pStyle w:val="ListBullet"/>
        <w:rPr>
          <w:lang w:val="en-AU"/>
        </w:rPr>
      </w:pPr>
      <w:r w:rsidRPr="00F16132">
        <w:rPr>
          <w:lang w:val="en-AU"/>
        </w:rPr>
        <w:t>Stable performance across folds</w:t>
      </w:r>
    </w:p>
    <w:p w14:paraId="55404768" w14:textId="77777777" w:rsidR="003C4233" w:rsidRDefault="00000000">
      <w:pPr>
        <w:pStyle w:val="Heading3"/>
      </w:pPr>
      <w:r>
        <w:t>Key Cost Drivers</w:t>
      </w:r>
    </w:p>
    <w:p w14:paraId="1E0056B9" w14:textId="77777777" w:rsidR="003C4233" w:rsidRDefault="00000000">
      <w:pPr>
        <w:pStyle w:val="ListBullet"/>
      </w:pPr>
      <w:r>
        <w:t>Theatre utilisation (strongest).</w:t>
      </w:r>
    </w:p>
    <w:p w14:paraId="0E0BA6F1" w14:textId="77777777" w:rsidR="003C4233" w:rsidRDefault="00000000">
      <w:pPr>
        <w:pStyle w:val="ListBullet"/>
      </w:pPr>
      <w:r>
        <w:t>DRG classification.</w:t>
      </w:r>
    </w:p>
    <w:p w14:paraId="701013B6" w14:textId="77777777" w:rsidR="003C4233" w:rsidRDefault="00000000">
      <w:pPr>
        <w:pStyle w:val="ListBullet"/>
      </w:pPr>
      <w:r>
        <w:t>Inpatient vs same-day status.</w:t>
      </w:r>
    </w:p>
    <w:p w14:paraId="33D114BE" w14:textId="77777777" w:rsidR="003C4233" w:rsidRDefault="00000000">
      <w:pPr>
        <w:pStyle w:val="ListBullet"/>
      </w:pPr>
      <w:r>
        <w:t>Number of procedures.</w:t>
      </w:r>
    </w:p>
    <w:p w14:paraId="77159EF4" w14:textId="77777777" w:rsidR="003C4233" w:rsidRDefault="00000000">
      <w:pPr>
        <w:pStyle w:val="ListBullet"/>
      </w:pPr>
      <w:r>
        <w:t>Length of stay.</w:t>
      </w:r>
    </w:p>
    <w:p w14:paraId="73EA46B1" w14:textId="0367A456" w:rsidR="00F16132" w:rsidRPr="00F16132" w:rsidRDefault="00F16132" w:rsidP="00F16132">
      <w:pPr>
        <w:pStyle w:val="ListBullet"/>
        <w:rPr>
          <w:lang w:val="en-AU"/>
        </w:rPr>
      </w:pPr>
      <w:r w:rsidRPr="00F16132">
        <w:rPr>
          <w:lang w:val="en-AU"/>
        </w:rPr>
        <w:t>Cost driven by clinical intensity, not seasonality</w:t>
      </w:r>
    </w:p>
    <w:p w14:paraId="137FDFFE" w14:textId="77777777" w:rsidR="003C4233" w:rsidRDefault="00000000">
      <w:r>
        <w:br w:type="page"/>
      </w:r>
    </w:p>
    <w:p w14:paraId="2BC0D5BD" w14:textId="77777777" w:rsidR="003C4233" w:rsidRDefault="00000000">
      <w:pPr>
        <w:pStyle w:val="Heading2"/>
      </w:pPr>
      <w:r>
        <w:lastRenderedPageBreak/>
        <w:t>4. Outlier Detection Framework</w:t>
      </w:r>
    </w:p>
    <w:p w14:paraId="1FD46B8F" w14:textId="77777777" w:rsidR="003C4233" w:rsidRDefault="00000000">
      <w:pPr>
        <w:pStyle w:val="Heading3"/>
      </w:pPr>
      <w:r>
        <w:t>Method</w:t>
      </w:r>
    </w:p>
    <w:p w14:paraId="332F13C2" w14:textId="77777777" w:rsidR="003C4233" w:rsidRDefault="00000000">
      <w:pPr>
        <w:pStyle w:val="ListBullet"/>
      </w:pPr>
      <w:r>
        <w:t>Residual = Actual – Expected cost.</w:t>
      </w:r>
    </w:p>
    <w:p w14:paraId="3015C5E8" w14:textId="77777777" w:rsidR="003C4233" w:rsidRDefault="00000000">
      <w:pPr>
        <w:pStyle w:val="ListBullet"/>
      </w:pPr>
      <w:r>
        <w:t>Standardised residual (Z-score).</w:t>
      </w:r>
    </w:p>
    <w:p w14:paraId="4E56133F" w14:textId="77777777" w:rsidR="003C4233" w:rsidRDefault="00000000">
      <w:pPr>
        <w:pStyle w:val="ListBullet"/>
      </w:pPr>
      <w:r>
        <w:t>≥2 SD = Unusual, ≥3 SD = Extreme.</w:t>
      </w:r>
    </w:p>
    <w:p w14:paraId="4AFDD418" w14:textId="77777777" w:rsidR="00F16132" w:rsidRDefault="00F16132" w:rsidP="00F16132">
      <w:pPr>
        <w:pStyle w:val="ListBullet"/>
        <w:numPr>
          <w:ilvl w:val="0"/>
          <w:numId w:val="0"/>
        </w:numPr>
        <w:ind w:left="360" w:hanging="360"/>
      </w:pPr>
    </w:p>
    <w:p w14:paraId="5560EBE7" w14:textId="34C0F8ED" w:rsidR="00F16132" w:rsidRDefault="00F16132" w:rsidP="00F16132">
      <w:pPr>
        <w:pStyle w:val="ListBullet"/>
        <w:numPr>
          <w:ilvl w:val="0"/>
          <w:numId w:val="0"/>
        </w:numPr>
        <w:ind w:left="360" w:hanging="360"/>
      </w:pPr>
      <w:r w:rsidRPr="00F16132">
        <w:drawing>
          <wp:inline distT="0" distB="0" distL="0" distR="0" wp14:anchorId="6A1A751D" wp14:editId="6CB7570C">
            <wp:extent cx="3480758" cy="2556468"/>
            <wp:effectExtent l="0" t="0" r="5715" b="0"/>
            <wp:docPr id="13" name="Picture 12">
              <a:extLst xmlns:a="http://schemas.openxmlformats.org/drawingml/2006/main">
                <a:ext uri="{FF2B5EF4-FFF2-40B4-BE49-F238E27FC236}">
                  <a16:creationId xmlns:a16="http://schemas.microsoft.com/office/drawing/2014/main" id="{9CF9C4FE-2D6E-4A4A-9776-55CDF5DFDB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9CF9C4FE-2D6E-4A4A-9776-55CDF5DFDB14}"/>
                        </a:ext>
                      </a:extLst>
                    </pic:cNvPr>
                    <pic:cNvPicPr>
                      <a:picLocks noChangeAspect="1"/>
                    </pic:cNvPicPr>
                  </pic:nvPicPr>
                  <pic:blipFill>
                    <a:blip r:embed="rId16"/>
                    <a:stretch>
                      <a:fillRect/>
                    </a:stretch>
                  </pic:blipFill>
                  <pic:spPr>
                    <a:xfrm>
                      <a:off x="0" y="0"/>
                      <a:ext cx="3481786" cy="2557223"/>
                    </a:xfrm>
                    <a:prstGeom prst="rect">
                      <a:avLst/>
                    </a:prstGeom>
                  </pic:spPr>
                </pic:pic>
              </a:graphicData>
            </a:graphic>
          </wp:inline>
        </w:drawing>
      </w:r>
    </w:p>
    <w:p w14:paraId="572D3A0B" w14:textId="77777777" w:rsidR="003C4233" w:rsidRDefault="00000000">
      <w:pPr>
        <w:pStyle w:val="Heading3"/>
      </w:pPr>
      <w:r>
        <w:t>High-Cost Outliers</w:t>
      </w:r>
    </w:p>
    <w:p w14:paraId="7D188FE2" w14:textId="77777777" w:rsidR="003C4233" w:rsidRDefault="00000000">
      <w:pPr>
        <w:pStyle w:val="ListBullet"/>
      </w:pPr>
      <w:r>
        <w:t>Very High segment: 7.42% extreme cases.</w:t>
      </w:r>
    </w:p>
    <w:p w14:paraId="3254D3C7" w14:textId="77777777" w:rsidR="003C4233" w:rsidRDefault="00000000">
      <w:pPr>
        <w:pStyle w:val="ListBullet"/>
      </w:pPr>
      <w:r>
        <w:t>Extreme high-cost deviations ~11× more frequent than Low segment.</w:t>
      </w:r>
    </w:p>
    <w:p w14:paraId="7B4D4ABD" w14:textId="77777777" w:rsidR="003C4233" w:rsidRDefault="00000000">
      <w:pPr>
        <w:pStyle w:val="ListBullet"/>
      </w:pPr>
      <w:r>
        <w:t>Financial volatility increases with complexity.</w:t>
      </w:r>
    </w:p>
    <w:p w14:paraId="5CD5607B" w14:textId="77777777" w:rsidR="00F16132" w:rsidRDefault="00F16132" w:rsidP="00F16132">
      <w:pPr>
        <w:pStyle w:val="ListBullet"/>
        <w:numPr>
          <w:ilvl w:val="0"/>
          <w:numId w:val="0"/>
        </w:numPr>
        <w:ind w:left="360" w:hanging="360"/>
      </w:pPr>
    </w:p>
    <w:p w14:paraId="28676C9C" w14:textId="569171E7" w:rsidR="00F16132" w:rsidRDefault="00F16132" w:rsidP="00F16132">
      <w:pPr>
        <w:pStyle w:val="ListBullet"/>
        <w:numPr>
          <w:ilvl w:val="0"/>
          <w:numId w:val="0"/>
        </w:numPr>
        <w:ind w:left="360" w:hanging="360"/>
      </w:pPr>
      <w:r w:rsidRPr="00F16132">
        <w:drawing>
          <wp:inline distT="0" distB="0" distL="0" distR="0" wp14:anchorId="24CB989D" wp14:editId="5778ED7E">
            <wp:extent cx="4071668" cy="2823306"/>
            <wp:effectExtent l="0" t="0" r="5080" b="0"/>
            <wp:docPr id="81384595" name="Picture 4">
              <a:extLst xmlns:a="http://schemas.openxmlformats.org/drawingml/2006/main">
                <a:ext uri="{FF2B5EF4-FFF2-40B4-BE49-F238E27FC236}">
                  <a16:creationId xmlns:a16="http://schemas.microsoft.com/office/drawing/2014/main" id="{A357C5AE-35F3-31E2-086F-7CA9CFA2BC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357C5AE-35F3-31E2-086F-7CA9CFA2BCB7}"/>
                        </a:ext>
                      </a:extLst>
                    </pic:cNvPr>
                    <pic:cNvPicPr>
                      <a:picLocks noChangeAspect="1"/>
                    </pic:cNvPicPr>
                  </pic:nvPicPr>
                  <pic:blipFill>
                    <a:blip r:embed="rId17"/>
                    <a:stretch>
                      <a:fillRect/>
                    </a:stretch>
                  </pic:blipFill>
                  <pic:spPr>
                    <a:xfrm>
                      <a:off x="0" y="0"/>
                      <a:ext cx="4072464" cy="2823858"/>
                    </a:xfrm>
                    <a:prstGeom prst="rect">
                      <a:avLst/>
                    </a:prstGeom>
                  </pic:spPr>
                </pic:pic>
              </a:graphicData>
            </a:graphic>
          </wp:inline>
        </w:drawing>
      </w:r>
    </w:p>
    <w:p w14:paraId="5F391F82" w14:textId="77777777" w:rsidR="003C4233" w:rsidRDefault="00000000">
      <w:pPr>
        <w:pStyle w:val="Heading3"/>
      </w:pPr>
      <w:r>
        <w:lastRenderedPageBreak/>
        <w:t>Low-Cost Outliers</w:t>
      </w:r>
    </w:p>
    <w:p w14:paraId="2D7A98F7" w14:textId="77777777" w:rsidR="003C4233" w:rsidRDefault="00000000">
      <w:pPr>
        <w:pStyle w:val="ListBullet"/>
      </w:pPr>
      <w:r>
        <w:t>Concentrated in Medium segment.</w:t>
      </w:r>
    </w:p>
    <w:p w14:paraId="534B144B" w14:textId="77777777" w:rsidR="003C4233" w:rsidRDefault="00000000">
      <w:pPr>
        <w:pStyle w:val="ListBullet"/>
      </w:pPr>
      <w:r>
        <w:t>Very High shows near-zero extreme low-cost cases.</w:t>
      </w:r>
    </w:p>
    <w:p w14:paraId="766BF945" w14:textId="77777777" w:rsidR="00F16132" w:rsidRDefault="00000000">
      <w:pPr>
        <w:pStyle w:val="ListBullet"/>
      </w:pPr>
      <w:r>
        <w:t>Efficiency opportunity likely in moderate-acuity pathways</w:t>
      </w:r>
    </w:p>
    <w:p w14:paraId="2F5A1129" w14:textId="77777777" w:rsidR="00F16132" w:rsidRDefault="00F16132" w:rsidP="00F16132">
      <w:pPr>
        <w:pStyle w:val="ListBullet"/>
        <w:numPr>
          <w:ilvl w:val="0"/>
          <w:numId w:val="0"/>
        </w:numPr>
      </w:pPr>
    </w:p>
    <w:p w14:paraId="025675EA" w14:textId="2BFF4B74" w:rsidR="003C4233" w:rsidRDefault="00F16132" w:rsidP="00F16132">
      <w:pPr>
        <w:pStyle w:val="ListBullet"/>
        <w:numPr>
          <w:ilvl w:val="0"/>
          <w:numId w:val="0"/>
        </w:numPr>
      </w:pPr>
      <w:r w:rsidRPr="00F16132">
        <w:drawing>
          <wp:inline distT="0" distB="0" distL="0" distR="0" wp14:anchorId="7BFE7D26" wp14:editId="15664CE7">
            <wp:extent cx="5486400" cy="3660775"/>
            <wp:effectExtent l="0" t="0" r="0" b="0"/>
            <wp:docPr id="2349012" name="Picture 4">
              <a:extLst xmlns:a="http://schemas.openxmlformats.org/drawingml/2006/main">
                <a:ext uri="{FF2B5EF4-FFF2-40B4-BE49-F238E27FC236}">
                  <a16:creationId xmlns:a16="http://schemas.microsoft.com/office/drawing/2014/main" id="{AE8E07D1-ADD1-21E1-057E-A390C0940C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E8E07D1-ADD1-21E1-057E-A390C0940CDA}"/>
                        </a:ext>
                      </a:extLst>
                    </pic:cNvPr>
                    <pic:cNvPicPr>
                      <a:picLocks noChangeAspect="1"/>
                    </pic:cNvPicPr>
                  </pic:nvPicPr>
                  <pic:blipFill>
                    <a:blip r:embed="rId18"/>
                    <a:stretch>
                      <a:fillRect/>
                    </a:stretch>
                  </pic:blipFill>
                  <pic:spPr>
                    <a:xfrm>
                      <a:off x="0" y="0"/>
                      <a:ext cx="5486400" cy="3660775"/>
                    </a:xfrm>
                    <a:prstGeom prst="rect">
                      <a:avLst/>
                    </a:prstGeom>
                  </pic:spPr>
                </pic:pic>
              </a:graphicData>
            </a:graphic>
          </wp:inline>
        </w:drawing>
      </w:r>
      <w:r w:rsidR="00000000">
        <w:t>.</w:t>
      </w:r>
    </w:p>
    <w:p w14:paraId="49F63E5D" w14:textId="77777777" w:rsidR="003C4233" w:rsidRDefault="00000000">
      <w:r>
        <w:br w:type="page"/>
      </w:r>
    </w:p>
    <w:p w14:paraId="06C36403" w14:textId="77777777" w:rsidR="003C4233" w:rsidRDefault="00000000">
      <w:pPr>
        <w:pStyle w:val="Heading2"/>
      </w:pPr>
      <w:r>
        <w:lastRenderedPageBreak/>
        <w:t>5. Strategic Recommendations</w:t>
      </w:r>
    </w:p>
    <w:p w14:paraId="10E072A0" w14:textId="77777777" w:rsidR="003C4233" w:rsidRDefault="00000000">
      <w:pPr>
        <w:pStyle w:val="Heading3"/>
      </w:pPr>
      <w:r>
        <w:t>High-Cost Governance</w:t>
      </w:r>
    </w:p>
    <w:p w14:paraId="0D9A2C0F" w14:textId="77777777" w:rsidR="003C4233" w:rsidRDefault="00000000">
      <w:pPr>
        <w:pStyle w:val="ListBullet"/>
      </w:pPr>
      <w:r>
        <w:t>Pre-submission review for ≥3 SD episodes.</w:t>
      </w:r>
    </w:p>
    <w:p w14:paraId="6E98FD4F" w14:textId="77777777" w:rsidR="003C4233" w:rsidRDefault="00000000">
      <w:pPr>
        <w:pStyle w:val="ListBullet"/>
      </w:pPr>
      <w:r>
        <w:t>Mandatory validation for extended LOS and ICU exposure.</w:t>
      </w:r>
    </w:p>
    <w:p w14:paraId="7E3AB2EF" w14:textId="77777777" w:rsidR="003C4233" w:rsidRDefault="00000000">
      <w:pPr>
        <w:pStyle w:val="ListBullet"/>
      </w:pPr>
      <w:r>
        <w:t>DRG-level monitoring dashboards.</w:t>
      </w:r>
    </w:p>
    <w:p w14:paraId="6D584715" w14:textId="77777777" w:rsidR="00F16132" w:rsidRDefault="00F16132" w:rsidP="00F16132">
      <w:pPr>
        <w:pStyle w:val="ListBullet"/>
        <w:numPr>
          <w:ilvl w:val="0"/>
          <w:numId w:val="0"/>
        </w:numPr>
        <w:ind w:left="360" w:hanging="360"/>
      </w:pPr>
    </w:p>
    <w:p w14:paraId="51719919" w14:textId="4ED2F674" w:rsidR="00F16132" w:rsidRDefault="00F16132" w:rsidP="00F16132">
      <w:pPr>
        <w:pStyle w:val="Heading4"/>
      </w:pPr>
      <w:r>
        <w:t>Recommendation</w:t>
      </w:r>
    </w:p>
    <w:p w14:paraId="7292C1FC" w14:textId="77777777" w:rsidR="00F16132" w:rsidRPr="00F16132" w:rsidRDefault="00F16132" w:rsidP="00F16132">
      <w:pPr>
        <w:pStyle w:val="ListBullet"/>
      </w:pPr>
      <w:r w:rsidRPr="00F16132">
        <w:t>Flag extreme cases before insurer submission to minimise disputes.</w:t>
      </w:r>
    </w:p>
    <w:p w14:paraId="51B87CAC" w14:textId="77777777" w:rsidR="00F16132" w:rsidRPr="00F16132" w:rsidRDefault="00F16132" w:rsidP="00F16132">
      <w:pPr>
        <w:pStyle w:val="ListBullet"/>
      </w:pPr>
      <w:r w:rsidRPr="00F16132">
        <w:t>Legitimate clinical complexity → Document &amp; defend</w:t>
      </w:r>
    </w:p>
    <w:p w14:paraId="34A0F852" w14:textId="6609C1B9" w:rsidR="00F16132" w:rsidRPr="00F16132" w:rsidRDefault="00F16132" w:rsidP="00F16132">
      <w:pPr>
        <w:pStyle w:val="ListBullet"/>
      </w:pPr>
      <w:r w:rsidRPr="00F16132">
        <w:t>Unwarranted operational variation → Improve pathway</w:t>
      </w:r>
    </w:p>
    <w:p w14:paraId="2CEF891D" w14:textId="77777777" w:rsidR="003C4233" w:rsidRDefault="00000000">
      <w:pPr>
        <w:pStyle w:val="Heading3"/>
      </w:pPr>
      <w:r>
        <w:t>Low-Cost Efficiency</w:t>
      </w:r>
    </w:p>
    <w:p w14:paraId="7C6BF4F9" w14:textId="77777777" w:rsidR="003C4233" w:rsidRDefault="00000000">
      <w:pPr>
        <w:pStyle w:val="ListBullet"/>
      </w:pPr>
      <w:r>
        <w:t>Benchmark Medium-segment DRGs across sites.</w:t>
      </w:r>
    </w:p>
    <w:p w14:paraId="54A1F3AF" w14:textId="77777777" w:rsidR="003C4233" w:rsidRDefault="00000000">
      <w:pPr>
        <w:pStyle w:val="ListBullet"/>
      </w:pPr>
      <w:r>
        <w:t>Validate quality signals (readmission, outcomes).</w:t>
      </w:r>
    </w:p>
    <w:p w14:paraId="640E6AE5" w14:textId="77777777" w:rsidR="003C4233" w:rsidRDefault="00000000">
      <w:pPr>
        <w:pStyle w:val="ListBullet"/>
      </w:pPr>
      <w:r>
        <w:t>Standardise discharge and pathway management.</w:t>
      </w:r>
    </w:p>
    <w:p w14:paraId="525B64A5" w14:textId="77777777" w:rsidR="00F16132" w:rsidRDefault="00F16132" w:rsidP="00F16132">
      <w:pPr>
        <w:pStyle w:val="ListBullet"/>
        <w:numPr>
          <w:ilvl w:val="0"/>
          <w:numId w:val="0"/>
        </w:numPr>
        <w:ind w:left="360" w:hanging="360"/>
      </w:pPr>
    </w:p>
    <w:p w14:paraId="4DBF4CB8" w14:textId="5854F8A0" w:rsidR="00F16132" w:rsidRDefault="00F16132" w:rsidP="00F16132">
      <w:pPr>
        <w:pStyle w:val="Heading4"/>
      </w:pPr>
      <w:r>
        <w:t>Recommendation</w:t>
      </w:r>
    </w:p>
    <w:p w14:paraId="36A5659E" w14:textId="77777777" w:rsidR="00F16132" w:rsidRPr="00F16132" w:rsidRDefault="00F16132" w:rsidP="00F16132">
      <w:pPr>
        <w:pStyle w:val="ListBullet"/>
      </w:pPr>
      <w:r w:rsidRPr="00F16132">
        <w:t>Identify top 10 Medium-segment DRGs with:</w:t>
      </w:r>
    </w:p>
    <w:p w14:paraId="02382669" w14:textId="77777777" w:rsidR="00F16132" w:rsidRPr="00F16132" w:rsidRDefault="00F16132" w:rsidP="00F16132">
      <w:pPr>
        <w:pStyle w:val="ListBullet"/>
      </w:pPr>
      <w:r w:rsidRPr="00F16132">
        <w:t>Highest low-cost deviation rate.</w:t>
      </w:r>
    </w:p>
    <w:p w14:paraId="3F262C9D" w14:textId="77777777" w:rsidR="00F16132" w:rsidRPr="00F16132" w:rsidRDefault="00F16132" w:rsidP="00F16132">
      <w:pPr>
        <w:pStyle w:val="ListBullet"/>
      </w:pPr>
      <w:r w:rsidRPr="00F16132">
        <w:t>Compare LOS, procedure count, theatre minutes across sites.</w:t>
      </w:r>
    </w:p>
    <w:p w14:paraId="20701581" w14:textId="0937138F" w:rsidR="00F16132" w:rsidRPr="00F16132" w:rsidRDefault="00F16132" w:rsidP="00F16132">
      <w:pPr>
        <w:pStyle w:val="ListBullet"/>
      </w:pPr>
      <w:r w:rsidRPr="00F16132">
        <w:t>Validate no adverse readmission or quality signal – Is quality of care compromised? Discharged too early?</w:t>
      </w:r>
    </w:p>
    <w:p w14:paraId="1827C9BB" w14:textId="77777777" w:rsidR="003C4233" w:rsidRDefault="00000000">
      <w:pPr>
        <w:pStyle w:val="Heading3"/>
      </w:pPr>
      <w:r>
        <w:t>Cross-Cutting Strategy</w:t>
      </w:r>
    </w:p>
    <w:p w14:paraId="4972CC0C" w14:textId="77777777" w:rsidR="003C4233" w:rsidRDefault="00000000">
      <w:pPr>
        <w:pStyle w:val="ListBullet"/>
      </w:pPr>
      <w:r>
        <w:t>Implement Outliers Intelligence Dashboard.</w:t>
      </w:r>
    </w:p>
    <w:p w14:paraId="540ABC47" w14:textId="77777777" w:rsidR="003C4233" w:rsidRDefault="00000000">
      <w:pPr>
        <w:pStyle w:val="ListBullet"/>
      </w:pPr>
      <w:r>
        <w:t>Embed predictive benchmarks into contract discussions.</w:t>
      </w:r>
    </w:p>
    <w:p w14:paraId="3AE5DA6B" w14:textId="77777777" w:rsidR="003C4233" w:rsidRDefault="00000000">
      <w:pPr>
        <w:pStyle w:val="ListBullet"/>
      </w:pPr>
      <w:r>
        <w:t>Shift from reactive auditing to proactive governance.</w:t>
      </w:r>
    </w:p>
    <w:p w14:paraId="1EF9008F" w14:textId="77777777" w:rsidR="003C4233" w:rsidRDefault="00000000">
      <w:r>
        <w:br w:type="page"/>
      </w:r>
    </w:p>
    <w:p w14:paraId="51971E94" w14:textId="77777777" w:rsidR="003C4233" w:rsidRDefault="00000000">
      <w:pPr>
        <w:pStyle w:val="Heading2"/>
      </w:pPr>
      <w:r>
        <w:lastRenderedPageBreak/>
        <w:t>6. Model Limitations &amp; Financial Impact</w:t>
      </w:r>
    </w:p>
    <w:p w14:paraId="2D7CE92F" w14:textId="77777777" w:rsidR="003C4233" w:rsidRDefault="00000000">
      <w:pPr>
        <w:pStyle w:val="Heading3"/>
      </w:pPr>
      <w:r>
        <w:t>Model Limitations</w:t>
      </w:r>
    </w:p>
    <w:p w14:paraId="2C0A8C9D" w14:textId="77777777" w:rsidR="003C4233" w:rsidRDefault="00000000">
      <w:pPr>
        <w:pStyle w:val="ListBullet"/>
      </w:pPr>
      <w:r>
        <w:t>Charges influenced by contract pricing.</w:t>
      </w:r>
    </w:p>
    <w:p w14:paraId="2BC12307" w14:textId="77777777" w:rsidR="003C4233" w:rsidRDefault="00000000">
      <w:pPr>
        <w:pStyle w:val="ListBullet"/>
      </w:pPr>
      <w:r>
        <w:t>Historical billing patterns embedded.</w:t>
      </w:r>
    </w:p>
    <w:p w14:paraId="2B697BAA" w14:textId="77777777" w:rsidR="003C4233" w:rsidRDefault="00000000">
      <w:pPr>
        <w:pStyle w:val="ListBullet"/>
      </w:pPr>
      <w:r>
        <w:t>Quality metrics not fully integrated.</w:t>
      </w:r>
    </w:p>
    <w:p w14:paraId="08BA0479" w14:textId="77777777" w:rsidR="003C4233" w:rsidRDefault="00000000">
      <w:pPr>
        <w:pStyle w:val="ListBullet"/>
      </w:pPr>
      <w:r>
        <w:t>Tool supports oversight, not clinical decision-making.</w:t>
      </w:r>
    </w:p>
    <w:p w14:paraId="634A5605" w14:textId="77777777" w:rsidR="003C4233" w:rsidRDefault="00000000">
      <w:pPr>
        <w:pStyle w:val="Heading3"/>
      </w:pPr>
      <w:r>
        <w:t>Financial Exposure Scenario</w:t>
      </w:r>
    </w:p>
    <w:p w14:paraId="35D2E345" w14:textId="77777777" w:rsidR="003C4233" w:rsidRDefault="00000000">
      <w:pPr>
        <w:pStyle w:val="ListBullet"/>
      </w:pPr>
      <w:r>
        <w:t>Very High episodes: 1,510 cases.</w:t>
      </w:r>
    </w:p>
    <w:p w14:paraId="7665A5A8" w14:textId="77777777" w:rsidR="003C4233" w:rsidRDefault="00000000">
      <w:pPr>
        <w:pStyle w:val="ListBullet"/>
      </w:pPr>
      <w:r>
        <w:t>7.42% extreme ≈ 112 cases.</w:t>
      </w:r>
    </w:p>
    <w:p w14:paraId="349104D5" w14:textId="77777777" w:rsidR="003C4233" w:rsidRDefault="00000000">
      <w:pPr>
        <w:pStyle w:val="ListBullet"/>
      </w:pPr>
      <w:r>
        <w:t>Estimated exposure ≈ $190M.</w:t>
      </w:r>
    </w:p>
    <w:p w14:paraId="3A734150" w14:textId="77777777" w:rsidR="003C4233" w:rsidRDefault="00000000">
      <w:pPr>
        <w:pStyle w:val="ListBullet"/>
      </w:pPr>
      <w:r>
        <w:t>5% reduction in extreme cases ≈ ~$10M potential protection.</w:t>
      </w:r>
    </w:p>
    <w:p w14:paraId="729D5D0C" w14:textId="77777777" w:rsidR="003C4233" w:rsidRDefault="00000000">
      <w:pPr>
        <w:pStyle w:val="Heading3"/>
      </w:pPr>
      <w:r>
        <w:t>Long-Term Sustainability</w:t>
      </w:r>
    </w:p>
    <w:p w14:paraId="1A077E09" w14:textId="77777777" w:rsidR="003C4233" w:rsidRDefault="00000000">
      <w:pPr>
        <w:pStyle w:val="ListBullet"/>
      </w:pPr>
      <w:r>
        <w:t>Establish system-wide risk-adjusted benchmarks.</w:t>
      </w:r>
    </w:p>
    <w:p w14:paraId="2C7AEFAB" w14:textId="77777777" w:rsidR="003C4233" w:rsidRDefault="00000000">
      <w:pPr>
        <w:pStyle w:val="ListBullet"/>
      </w:pPr>
      <w:r>
        <w:t>Continuous monitoring of cost variation.</w:t>
      </w:r>
    </w:p>
    <w:p w14:paraId="2D87B1A3" w14:textId="6E3F23DA" w:rsidR="003C4233" w:rsidRDefault="00000000" w:rsidP="00F16132">
      <w:pPr>
        <w:pStyle w:val="ListBullet"/>
      </w:pPr>
      <w:r>
        <w:t>Embed analytics into routine financial governance.</w:t>
      </w:r>
    </w:p>
    <w:sectPr w:rsidR="003C42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3321DC"/>
    <w:multiLevelType w:val="hybridMultilevel"/>
    <w:tmpl w:val="44D64984"/>
    <w:lvl w:ilvl="0" w:tplc="9D30B7D8">
      <w:start w:val="1"/>
      <w:numFmt w:val="bullet"/>
      <w:lvlText w:val=""/>
      <w:lvlJc w:val="left"/>
      <w:pPr>
        <w:tabs>
          <w:tab w:val="num" w:pos="720"/>
        </w:tabs>
        <w:ind w:left="720" w:hanging="360"/>
      </w:pPr>
      <w:rPr>
        <w:rFonts w:ascii="Wingdings 3" w:hAnsi="Wingdings 3" w:hint="default"/>
      </w:rPr>
    </w:lvl>
    <w:lvl w:ilvl="1" w:tplc="56E0204A" w:tentative="1">
      <w:start w:val="1"/>
      <w:numFmt w:val="bullet"/>
      <w:lvlText w:val=""/>
      <w:lvlJc w:val="left"/>
      <w:pPr>
        <w:tabs>
          <w:tab w:val="num" w:pos="1440"/>
        </w:tabs>
        <w:ind w:left="1440" w:hanging="360"/>
      </w:pPr>
      <w:rPr>
        <w:rFonts w:ascii="Wingdings 3" w:hAnsi="Wingdings 3" w:hint="default"/>
      </w:rPr>
    </w:lvl>
    <w:lvl w:ilvl="2" w:tplc="37D087E6" w:tentative="1">
      <w:start w:val="1"/>
      <w:numFmt w:val="bullet"/>
      <w:lvlText w:val=""/>
      <w:lvlJc w:val="left"/>
      <w:pPr>
        <w:tabs>
          <w:tab w:val="num" w:pos="2160"/>
        </w:tabs>
        <w:ind w:left="2160" w:hanging="360"/>
      </w:pPr>
      <w:rPr>
        <w:rFonts w:ascii="Wingdings 3" w:hAnsi="Wingdings 3" w:hint="default"/>
      </w:rPr>
    </w:lvl>
    <w:lvl w:ilvl="3" w:tplc="002A9BE8" w:tentative="1">
      <w:start w:val="1"/>
      <w:numFmt w:val="bullet"/>
      <w:lvlText w:val=""/>
      <w:lvlJc w:val="left"/>
      <w:pPr>
        <w:tabs>
          <w:tab w:val="num" w:pos="2880"/>
        </w:tabs>
        <w:ind w:left="2880" w:hanging="360"/>
      </w:pPr>
      <w:rPr>
        <w:rFonts w:ascii="Wingdings 3" w:hAnsi="Wingdings 3" w:hint="default"/>
      </w:rPr>
    </w:lvl>
    <w:lvl w:ilvl="4" w:tplc="C48A9798" w:tentative="1">
      <w:start w:val="1"/>
      <w:numFmt w:val="bullet"/>
      <w:lvlText w:val=""/>
      <w:lvlJc w:val="left"/>
      <w:pPr>
        <w:tabs>
          <w:tab w:val="num" w:pos="3600"/>
        </w:tabs>
        <w:ind w:left="3600" w:hanging="360"/>
      </w:pPr>
      <w:rPr>
        <w:rFonts w:ascii="Wingdings 3" w:hAnsi="Wingdings 3" w:hint="default"/>
      </w:rPr>
    </w:lvl>
    <w:lvl w:ilvl="5" w:tplc="51FC8930" w:tentative="1">
      <w:start w:val="1"/>
      <w:numFmt w:val="bullet"/>
      <w:lvlText w:val=""/>
      <w:lvlJc w:val="left"/>
      <w:pPr>
        <w:tabs>
          <w:tab w:val="num" w:pos="4320"/>
        </w:tabs>
        <w:ind w:left="4320" w:hanging="360"/>
      </w:pPr>
      <w:rPr>
        <w:rFonts w:ascii="Wingdings 3" w:hAnsi="Wingdings 3" w:hint="default"/>
      </w:rPr>
    </w:lvl>
    <w:lvl w:ilvl="6" w:tplc="8F2C226A" w:tentative="1">
      <w:start w:val="1"/>
      <w:numFmt w:val="bullet"/>
      <w:lvlText w:val=""/>
      <w:lvlJc w:val="left"/>
      <w:pPr>
        <w:tabs>
          <w:tab w:val="num" w:pos="5040"/>
        </w:tabs>
        <w:ind w:left="5040" w:hanging="360"/>
      </w:pPr>
      <w:rPr>
        <w:rFonts w:ascii="Wingdings 3" w:hAnsi="Wingdings 3" w:hint="default"/>
      </w:rPr>
    </w:lvl>
    <w:lvl w:ilvl="7" w:tplc="B464DE08" w:tentative="1">
      <w:start w:val="1"/>
      <w:numFmt w:val="bullet"/>
      <w:lvlText w:val=""/>
      <w:lvlJc w:val="left"/>
      <w:pPr>
        <w:tabs>
          <w:tab w:val="num" w:pos="5760"/>
        </w:tabs>
        <w:ind w:left="5760" w:hanging="360"/>
      </w:pPr>
      <w:rPr>
        <w:rFonts w:ascii="Wingdings 3" w:hAnsi="Wingdings 3" w:hint="default"/>
      </w:rPr>
    </w:lvl>
    <w:lvl w:ilvl="8" w:tplc="5B74FF28"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1F53742E"/>
    <w:multiLevelType w:val="hybridMultilevel"/>
    <w:tmpl w:val="C75CCFAA"/>
    <w:lvl w:ilvl="0" w:tplc="4EC66028">
      <w:start w:val="1"/>
      <w:numFmt w:val="bullet"/>
      <w:lvlText w:val="•"/>
      <w:lvlJc w:val="left"/>
      <w:pPr>
        <w:tabs>
          <w:tab w:val="num" w:pos="720"/>
        </w:tabs>
        <w:ind w:left="720" w:hanging="360"/>
      </w:pPr>
      <w:rPr>
        <w:rFonts w:ascii="Arial" w:hAnsi="Arial" w:hint="default"/>
      </w:rPr>
    </w:lvl>
    <w:lvl w:ilvl="1" w:tplc="5A96A20E">
      <w:numFmt w:val="bullet"/>
      <w:lvlText w:val="•"/>
      <w:lvlJc w:val="left"/>
      <w:pPr>
        <w:tabs>
          <w:tab w:val="num" w:pos="1440"/>
        </w:tabs>
        <w:ind w:left="1440" w:hanging="360"/>
      </w:pPr>
      <w:rPr>
        <w:rFonts w:ascii="Arial" w:hAnsi="Arial" w:hint="default"/>
      </w:rPr>
    </w:lvl>
    <w:lvl w:ilvl="2" w:tplc="62946280" w:tentative="1">
      <w:start w:val="1"/>
      <w:numFmt w:val="bullet"/>
      <w:lvlText w:val="•"/>
      <w:lvlJc w:val="left"/>
      <w:pPr>
        <w:tabs>
          <w:tab w:val="num" w:pos="2160"/>
        </w:tabs>
        <w:ind w:left="2160" w:hanging="360"/>
      </w:pPr>
      <w:rPr>
        <w:rFonts w:ascii="Arial" w:hAnsi="Arial" w:hint="default"/>
      </w:rPr>
    </w:lvl>
    <w:lvl w:ilvl="3" w:tplc="501A8A30" w:tentative="1">
      <w:start w:val="1"/>
      <w:numFmt w:val="bullet"/>
      <w:lvlText w:val="•"/>
      <w:lvlJc w:val="left"/>
      <w:pPr>
        <w:tabs>
          <w:tab w:val="num" w:pos="2880"/>
        </w:tabs>
        <w:ind w:left="2880" w:hanging="360"/>
      </w:pPr>
      <w:rPr>
        <w:rFonts w:ascii="Arial" w:hAnsi="Arial" w:hint="default"/>
      </w:rPr>
    </w:lvl>
    <w:lvl w:ilvl="4" w:tplc="FE94F852" w:tentative="1">
      <w:start w:val="1"/>
      <w:numFmt w:val="bullet"/>
      <w:lvlText w:val="•"/>
      <w:lvlJc w:val="left"/>
      <w:pPr>
        <w:tabs>
          <w:tab w:val="num" w:pos="3600"/>
        </w:tabs>
        <w:ind w:left="3600" w:hanging="360"/>
      </w:pPr>
      <w:rPr>
        <w:rFonts w:ascii="Arial" w:hAnsi="Arial" w:hint="default"/>
      </w:rPr>
    </w:lvl>
    <w:lvl w:ilvl="5" w:tplc="EB48E8BE" w:tentative="1">
      <w:start w:val="1"/>
      <w:numFmt w:val="bullet"/>
      <w:lvlText w:val="•"/>
      <w:lvlJc w:val="left"/>
      <w:pPr>
        <w:tabs>
          <w:tab w:val="num" w:pos="4320"/>
        </w:tabs>
        <w:ind w:left="4320" w:hanging="360"/>
      </w:pPr>
      <w:rPr>
        <w:rFonts w:ascii="Arial" w:hAnsi="Arial" w:hint="default"/>
      </w:rPr>
    </w:lvl>
    <w:lvl w:ilvl="6" w:tplc="56BCE530" w:tentative="1">
      <w:start w:val="1"/>
      <w:numFmt w:val="bullet"/>
      <w:lvlText w:val="•"/>
      <w:lvlJc w:val="left"/>
      <w:pPr>
        <w:tabs>
          <w:tab w:val="num" w:pos="5040"/>
        </w:tabs>
        <w:ind w:left="5040" w:hanging="360"/>
      </w:pPr>
      <w:rPr>
        <w:rFonts w:ascii="Arial" w:hAnsi="Arial" w:hint="default"/>
      </w:rPr>
    </w:lvl>
    <w:lvl w:ilvl="7" w:tplc="FEF22CFA" w:tentative="1">
      <w:start w:val="1"/>
      <w:numFmt w:val="bullet"/>
      <w:lvlText w:val="•"/>
      <w:lvlJc w:val="left"/>
      <w:pPr>
        <w:tabs>
          <w:tab w:val="num" w:pos="5760"/>
        </w:tabs>
        <w:ind w:left="5760" w:hanging="360"/>
      </w:pPr>
      <w:rPr>
        <w:rFonts w:ascii="Arial" w:hAnsi="Arial" w:hint="default"/>
      </w:rPr>
    </w:lvl>
    <w:lvl w:ilvl="8" w:tplc="F11437F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5782432"/>
    <w:multiLevelType w:val="hybridMultilevel"/>
    <w:tmpl w:val="8D988F78"/>
    <w:lvl w:ilvl="0" w:tplc="598E1338">
      <w:start w:val="1"/>
      <w:numFmt w:val="bullet"/>
      <w:lvlText w:val=""/>
      <w:lvlJc w:val="left"/>
      <w:pPr>
        <w:tabs>
          <w:tab w:val="num" w:pos="720"/>
        </w:tabs>
        <w:ind w:left="720" w:hanging="360"/>
      </w:pPr>
      <w:rPr>
        <w:rFonts w:ascii="Wingdings 3" w:hAnsi="Wingdings 3" w:hint="default"/>
      </w:rPr>
    </w:lvl>
    <w:lvl w:ilvl="1" w:tplc="A41A2B34" w:tentative="1">
      <w:start w:val="1"/>
      <w:numFmt w:val="bullet"/>
      <w:lvlText w:val=""/>
      <w:lvlJc w:val="left"/>
      <w:pPr>
        <w:tabs>
          <w:tab w:val="num" w:pos="1440"/>
        </w:tabs>
        <w:ind w:left="1440" w:hanging="360"/>
      </w:pPr>
      <w:rPr>
        <w:rFonts w:ascii="Wingdings 3" w:hAnsi="Wingdings 3" w:hint="default"/>
      </w:rPr>
    </w:lvl>
    <w:lvl w:ilvl="2" w:tplc="C1D0CF12" w:tentative="1">
      <w:start w:val="1"/>
      <w:numFmt w:val="bullet"/>
      <w:lvlText w:val=""/>
      <w:lvlJc w:val="left"/>
      <w:pPr>
        <w:tabs>
          <w:tab w:val="num" w:pos="2160"/>
        </w:tabs>
        <w:ind w:left="2160" w:hanging="360"/>
      </w:pPr>
      <w:rPr>
        <w:rFonts w:ascii="Wingdings 3" w:hAnsi="Wingdings 3" w:hint="default"/>
      </w:rPr>
    </w:lvl>
    <w:lvl w:ilvl="3" w:tplc="5C7C93FE" w:tentative="1">
      <w:start w:val="1"/>
      <w:numFmt w:val="bullet"/>
      <w:lvlText w:val=""/>
      <w:lvlJc w:val="left"/>
      <w:pPr>
        <w:tabs>
          <w:tab w:val="num" w:pos="2880"/>
        </w:tabs>
        <w:ind w:left="2880" w:hanging="360"/>
      </w:pPr>
      <w:rPr>
        <w:rFonts w:ascii="Wingdings 3" w:hAnsi="Wingdings 3" w:hint="default"/>
      </w:rPr>
    </w:lvl>
    <w:lvl w:ilvl="4" w:tplc="17DEE812" w:tentative="1">
      <w:start w:val="1"/>
      <w:numFmt w:val="bullet"/>
      <w:lvlText w:val=""/>
      <w:lvlJc w:val="left"/>
      <w:pPr>
        <w:tabs>
          <w:tab w:val="num" w:pos="3600"/>
        </w:tabs>
        <w:ind w:left="3600" w:hanging="360"/>
      </w:pPr>
      <w:rPr>
        <w:rFonts w:ascii="Wingdings 3" w:hAnsi="Wingdings 3" w:hint="default"/>
      </w:rPr>
    </w:lvl>
    <w:lvl w:ilvl="5" w:tplc="A6489B8A" w:tentative="1">
      <w:start w:val="1"/>
      <w:numFmt w:val="bullet"/>
      <w:lvlText w:val=""/>
      <w:lvlJc w:val="left"/>
      <w:pPr>
        <w:tabs>
          <w:tab w:val="num" w:pos="4320"/>
        </w:tabs>
        <w:ind w:left="4320" w:hanging="360"/>
      </w:pPr>
      <w:rPr>
        <w:rFonts w:ascii="Wingdings 3" w:hAnsi="Wingdings 3" w:hint="default"/>
      </w:rPr>
    </w:lvl>
    <w:lvl w:ilvl="6" w:tplc="7D1070CC" w:tentative="1">
      <w:start w:val="1"/>
      <w:numFmt w:val="bullet"/>
      <w:lvlText w:val=""/>
      <w:lvlJc w:val="left"/>
      <w:pPr>
        <w:tabs>
          <w:tab w:val="num" w:pos="5040"/>
        </w:tabs>
        <w:ind w:left="5040" w:hanging="360"/>
      </w:pPr>
      <w:rPr>
        <w:rFonts w:ascii="Wingdings 3" w:hAnsi="Wingdings 3" w:hint="default"/>
      </w:rPr>
    </w:lvl>
    <w:lvl w:ilvl="7" w:tplc="D0D4DF80" w:tentative="1">
      <w:start w:val="1"/>
      <w:numFmt w:val="bullet"/>
      <w:lvlText w:val=""/>
      <w:lvlJc w:val="left"/>
      <w:pPr>
        <w:tabs>
          <w:tab w:val="num" w:pos="5760"/>
        </w:tabs>
        <w:ind w:left="5760" w:hanging="360"/>
      </w:pPr>
      <w:rPr>
        <w:rFonts w:ascii="Wingdings 3" w:hAnsi="Wingdings 3" w:hint="default"/>
      </w:rPr>
    </w:lvl>
    <w:lvl w:ilvl="8" w:tplc="BDE0F2A0"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33C24DE3"/>
    <w:multiLevelType w:val="hybridMultilevel"/>
    <w:tmpl w:val="7B3ADBC2"/>
    <w:lvl w:ilvl="0" w:tplc="4C2ED760">
      <w:start w:val="1"/>
      <w:numFmt w:val="bullet"/>
      <w:lvlText w:val=""/>
      <w:lvlJc w:val="left"/>
      <w:pPr>
        <w:tabs>
          <w:tab w:val="num" w:pos="720"/>
        </w:tabs>
        <w:ind w:left="720" w:hanging="360"/>
      </w:pPr>
      <w:rPr>
        <w:rFonts w:ascii="Wingdings 3" w:hAnsi="Wingdings 3" w:hint="default"/>
      </w:rPr>
    </w:lvl>
    <w:lvl w:ilvl="1" w:tplc="1F6A94F2" w:tentative="1">
      <w:start w:val="1"/>
      <w:numFmt w:val="bullet"/>
      <w:lvlText w:val=""/>
      <w:lvlJc w:val="left"/>
      <w:pPr>
        <w:tabs>
          <w:tab w:val="num" w:pos="1440"/>
        </w:tabs>
        <w:ind w:left="1440" w:hanging="360"/>
      </w:pPr>
      <w:rPr>
        <w:rFonts w:ascii="Wingdings 3" w:hAnsi="Wingdings 3" w:hint="default"/>
      </w:rPr>
    </w:lvl>
    <w:lvl w:ilvl="2" w:tplc="B5C496B2" w:tentative="1">
      <w:start w:val="1"/>
      <w:numFmt w:val="bullet"/>
      <w:lvlText w:val=""/>
      <w:lvlJc w:val="left"/>
      <w:pPr>
        <w:tabs>
          <w:tab w:val="num" w:pos="2160"/>
        </w:tabs>
        <w:ind w:left="2160" w:hanging="360"/>
      </w:pPr>
      <w:rPr>
        <w:rFonts w:ascii="Wingdings 3" w:hAnsi="Wingdings 3" w:hint="default"/>
      </w:rPr>
    </w:lvl>
    <w:lvl w:ilvl="3" w:tplc="990039E8" w:tentative="1">
      <w:start w:val="1"/>
      <w:numFmt w:val="bullet"/>
      <w:lvlText w:val=""/>
      <w:lvlJc w:val="left"/>
      <w:pPr>
        <w:tabs>
          <w:tab w:val="num" w:pos="2880"/>
        </w:tabs>
        <w:ind w:left="2880" w:hanging="360"/>
      </w:pPr>
      <w:rPr>
        <w:rFonts w:ascii="Wingdings 3" w:hAnsi="Wingdings 3" w:hint="default"/>
      </w:rPr>
    </w:lvl>
    <w:lvl w:ilvl="4" w:tplc="EB4AF6AC" w:tentative="1">
      <w:start w:val="1"/>
      <w:numFmt w:val="bullet"/>
      <w:lvlText w:val=""/>
      <w:lvlJc w:val="left"/>
      <w:pPr>
        <w:tabs>
          <w:tab w:val="num" w:pos="3600"/>
        </w:tabs>
        <w:ind w:left="3600" w:hanging="360"/>
      </w:pPr>
      <w:rPr>
        <w:rFonts w:ascii="Wingdings 3" w:hAnsi="Wingdings 3" w:hint="default"/>
      </w:rPr>
    </w:lvl>
    <w:lvl w:ilvl="5" w:tplc="B0EE3C64" w:tentative="1">
      <w:start w:val="1"/>
      <w:numFmt w:val="bullet"/>
      <w:lvlText w:val=""/>
      <w:lvlJc w:val="left"/>
      <w:pPr>
        <w:tabs>
          <w:tab w:val="num" w:pos="4320"/>
        </w:tabs>
        <w:ind w:left="4320" w:hanging="360"/>
      </w:pPr>
      <w:rPr>
        <w:rFonts w:ascii="Wingdings 3" w:hAnsi="Wingdings 3" w:hint="default"/>
      </w:rPr>
    </w:lvl>
    <w:lvl w:ilvl="6" w:tplc="10A2615C" w:tentative="1">
      <w:start w:val="1"/>
      <w:numFmt w:val="bullet"/>
      <w:lvlText w:val=""/>
      <w:lvlJc w:val="left"/>
      <w:pPr>
        <w:tabs>
          <w:tab w:val="num" w:pos="5040"/>
        </w:tabs>
        <w:ind w:left="5040" w:hanging="360"/>
      </w:pPr>
      <w:rPr>
        <w:rFonts w:ascii="Wingdings 3" w:hAnsi="Wingdings 3" w:hint="default"/>
      </w:rPr>
    </w:lvl>
    <w:lvl w:ilvl="7" w:tplc="5FCA265C" w:tentative="1">
      <w:start w:val="1"/>
      <w:numFmt w:val="bullet"/>
      <w:lvlText w:val=""/>
      <w:lvlJc w:val="left"/>
      <w:pPr>
        <w:tabs>
          <w:tab w:val="num" w:pos="5760"/>
        </w:tabs>
        <w:ind w:left="5760" w:hanging="360"/>
      </w:pPr>
      <w:rPr>
        <w:rFonts w:ascii="Wingdings 3" w:hAnsi="Wingdings 3" w:hint="default"/>
      </w:rPr>
    </w:lvl>
    <w:lvl w:ilvl="8" w:tplc="DCB491BA"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3FC06DF9"/>
    <w:multiLevelType w:val="hybridMultilevel"/>
    <w:tmpl w:val="58C87AFE"/>
    <w:lvl w:ilvl="0" w:tplc="C3067760">
      <w:start w:val="1"/>
      <w:numFmt w:val="bullet"/>
      <w:lvlText w:val="•"/>
      <w:lvlJc w:val="left"/>
      <w:pPr>
        <w:tabs>
          <w:tab w:val="num" w:pos="720"/>
        </w:tabs>
        <w:ind w:left="720" w:hanging="360"/>
      </w:pPr>
      <w:rPr>
        <w:rFonts w:ascii="Arial" w:hAnsi="Arial" w:hint="default"/>
      </w:rPr>
    </w:lvl>
    <w:lvl w:ilvl="1" w:tplc="11F420FE">
      <w:numFmt w:val="bullet"/>
      <w:lvlText w:val="•"/>
      <w:lvlJc w:val="left"/>
      <w:pPr>
        <w:tabs>
          <w:tab w:val="num" w:pos="1440"/>
        </w:tabs>
        <w:ind w:left="1440" w:hanging="360"/>
      </w:pPr>
      <w:rPr>
        <w:rFonts w:ascii="Arial" w:hAnsi="Arial" w:hint="default"/>
      </w:rPr>
    </w:lvl>
    <w:lvl w:ilvl="2" w:tplc="04FECA6C" w:tentative="1">
      <w:start w:val="1"/>
      <w:numFmt w:val="bullet"/>
      <w:lvlText w:val="•"/>
      <w:lvlJc w:val="left"/>
      <w:pPr>
        <w:tabs>
          <w:tab w:val="num" w:pos="2160"/>
        </w:tabs>
        <w:ind w:left="2160" w:hanging="360"/>
      </w:pPr>
      <w:rPr>
        <w:rFonts w:ascii="Arial" w:hAnsi="Arial" w:hint="default"/>
      </w:rPr>
    </w:lvl>
    <w:lvl w:ilvl="3" w:tplc="104EF20A" w:tentative="1">
      <w:start w:val="1"/>
      <w:numFmt w:val="bullet"/>
      <w:lvlText w:val="•"/>
      <w:lvlJc w:val="left"/>
      <w:pPr>
        <w:tabs>
          <w:tab w:val="num" w:pos="2880"/>
        </w:tabs>
        <w:ind w:left="2880" w:hanging="360"/>
      </w:pPr>
      <w:rPr>
        <w:rFonts w:ascii="Arial" w:hAnsi="Arial" w:hint="default"/>
      </w:rPr>
    </w:lvl>
    <w:lvl w:ilvl="4" w:tplc="FB127C82" w:tentative="1">
      <w:start w:val="1"/>
      <w:numFmt w:val="bullet"/>
      <w:lvlText w:val="•"/>
      <w:lvlJc w:val="left"/>
      <w:pPr>
        <w:tabs>
          <w:tab w:val="num" w:pos="3600"/>
        </w:tabs>
        <w:ind w:left="3600" w:hanging="360"/>
      </w:pPr>
      <w:rPr>
        <w:rFonts w:ascii="Arial" w:hAnsi="Arial" w:hint="default"/>
      </w:rPr>
    </w:lvl>
    <w:lvl w:ilvl="5" w:tplc="1BE8D5A8" w:tentative="1">
      <w:start w:val="1"/>
      <w:numFmt w:val="bullet"/>
      <w:lvlText w:val="•"/>
      <w:lvlJc w:val="left"/>
      <w:pPr>
        <w:tabs>
          <w:tab w:val="num" w:pos="4320"/>
        </w:tabs>
        <w:ind w:left="4320" w:hanging="360"/>
      </w:pPr>
      <w:rPr>
        <w:rFonts w:ascii="Arial" w:hAnsi="Arial" w:hint="default"/>
      </w:rPr>
    </w:lvl>
    <w:lvl w:ilvl="6" w:tplc="0C0C8B10" w:tentative="1">
      <w:start w:val="1"/>
      <w:numFmt w:val="bullet"/>
      <w:lvlText w:val="•"/>
      <w:lvlJc w:val="left"/>
      <w:pPr>
        <w:tabs>
          <w:tab w:val="num" w:pos="5040"/>
        </w:tabs>
        <w:ind w:left="5040" w:hanging="360"/>
      </w:pPr>
      <w:rPr>
        <w:rFonts w:ascii="Arial" w:hAnsi="Arial" w:hint="default"/>
      </w:rPr>
    </w:lvl>
    <w:lvl w:ilvl="7" w:tplc="6D387120" w:tentative="1">
      <w:start w:val="1"/>
      <w:numFmt w:val="bullet"/>
      <w:lvlText w:val="•"/>
      <w:lvlJc w:val="left"/>
      <w:pPr>
        <w:tabs>
          <w:tab w:val="num" w:pos="5760"/>
        </w:tabs>
        <w:ind w:left="5760" w:hanging="360"/>
      </w:pPr>
      <w:rPr>
        <w:rFonts w:ascii="Arial" w:hAnsi="Arial" w:hint="default"/>
      </w:rPr>
    </w:lvl>
    <w:lvl w:ilvl="8" w:tplc="6DD2A69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8C54276"/>
    <w:multiLevelType w:val="hybridMultilevel"/>
    <w:tmpl w:val="E81873B0"/>
    <w:lvl w:ilvl="0" w:tplc="BFA6BBA0">
      <w:start w:val="1"/>
      <w:numFmt w:val="bullet"/>
      <w:lvlText w:val=""/>
      <w:lvlJc w:val="left"/>
      <w:pPr>
        <w:tabs>
          <w:tab w:val="num" w:pos="720"/>
        </w:tabs>
        <w:ind w:left="720" w:hanging="360"/>
      </w:pPr>
      <w:rPr>
        <w:rFonts w:ascii="Wingdings 3" w:hAnsi="Wingdings 3" w:hint="default"/>
      </w:rPr>
    </w:lvl>
    <w:lvl w:ilvl="1" w:tplc="746605C6" w:tentative="1">
      <w:start w:val="1"/>
      <w:numFmt w:val="bullet"/>
      <w:lvlText w:val=""/>
      <w:lvlJc w:val="left"/>
      <w:pPr>
        <w:tabs>
          <w:tab w:val="num" w:pos="1440"/>
        </w:tabs>
        <w:ind w:left="1440" w:hanging="360"/>
      </w:pPr>
      <w:rPr>
        <w:rFonts w:ascii="Wingdings 3" w:hAnsi="Wingdings 3" w:hint="default"/>
      </w:rPr>
    </w:lvl>
    <w:lvl w:ilvl="2" w:tplc="F3BAE642" w:tentative="1">
      <w:start w:val="1"/>
      <w:numFmt w:val="bullet"/>
      <w:lvlText w:val=""/>
      <w:lvlJc w:val="left"/>
      <w:pPr>
        <w:tabs>
          <w:tab w:val="num" w:pos="2160"/>
        </w:tabs>
        <w:ind w:left="2160" w:hanging="360"/>
      </w:pPr>
      <w:rPr>
        <w:rFonts w:ascii="Wingdings 3" w:hAnsi="Wingdings 3" w:hint="default"/>
      </w:rPr>
    </w:lvl>
    <w:lvl w:ilvl="3" w:tplc="1F08B766" w:tentative="1">
      <w:start w:val="1"/>
      <w:numFmt w:val="bullet"/>
      <w:lvlText w:val=""/>
      <w:lvlJc w:val="left"/>
      <w:pPr>
        <w:tabs>
          <w:tab w:val="num" w:pos="2880"/>
        </w:tabs>
        <w:ind w:left="2880" w:hanging="360"/>
      </w:pPr>
      <w:rPr>
        <w:rFonts w:ascii="Wingdings 3" w:hAnsi="Wingdings 3" w:hint="default"/>
      </w:rPr>
    </w:lvl>
    <w:lvl w:ilvl="4" w:tplc="7510710E" w:tentative="1">
      <w:start w:val="1"/>
      <w:numFmt w:val="bullet"/>
      <w:lvlText w:val=""/>
      <w:lvlJc w:val="left"/>
      <w:pPr>
        <w:tabs>
          <w:tab w:val="num" w:pos="3600"/>
        </w:tabs>
        <w:ind w:left="3600" w:hanging="360"/>
      </w:pPr>
      <w:rPr>
        <w:rFonts w:ascii="Wingdings 3" w:hAnsi="Wingdings 3" w:hint="default"/>
      </w:rPr>
    </w:lvl>
    <w:lvl w:ilvl="5" w:tplc="94B43662" w:tentative="1">
      <w:start w:val="1"/>
      <w:numFmt w:val="bullet"/>
      <w:lvlText w:val=""/>
      <w:lvlJc w:val="left"/>
      <w:pPr>
        <w:tabs>
          <w:tab w:val="num" w:pos="4320"/>
        </w:tabs>
        <w:ind w:left="4320" w:hanging="360"/>
      </w:pPr>
      <w:rPr>
        <w:rFonts w:ascii="Wingdings 3" w:hAnsi="Wingdings 3" w:hint="default"/>
      </w:rPr>
    </w:lvl>
    <w:lvl w:ilvl="6" w:tplc="A11410BC" w:tentative="1">
      <w:start w:val="1"/>
      <w:numFmt w:val="bullet"/>
      <w:lvlText w:val=""/>
      <w:lvlJc w:val="left"/>
      <w:pPr>
        <w:tabs>
          <w:tab w:val="num" w:pos="5040"/>
        </w:tabs>
        <w:ind w:left="5040" w:hanging="360"/>
      </w:pPr>
      <w:rPr>
        <w:rFonts w:ascii="Wingdings 3" w:hAnsi="Wingdings 3" w:hint="default"/>
      </w:rPr>
    </w:lvl>
    <w:lvl w:ilvl="7" w:tplc="62282DD6" w:tentative="1">
      <w:start w:val="1"/>
      <w:numFmt w:val="bullet"/>
      <w:lvlText w:val=""/>
      <w:lvlJc w:val="left"/>
      <w:pPr>
        <w:tabs>
          <w:tab w:val="num" w:pos="5760"/>
        </w:tabs>
        <w:ind w:left="5760" w:hanging="360"/>
      </w:pPr>
      <w:rPr>
        <w:rFonts w:ascii="Wingdings 3" w:hAnsi="Wingdings 3" w:hint="default"/>
      </w:rPr>
    </w:lvl>
    <w:lvl w:ilvl="8" w:tplc="F4366570"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7F203C78"/>
    <w:multiLevelType w:val="hybridMultilevel"/>
    <w:tmpl w:val="1B20E8E4"/>
    <w:lvl w:ilvl="0" w:tplc="33AE1286">
      <w:start w:val="1"/>
      <w:numFmt w:val="bullet"/>
      <w:lvlText w:val="•"/>
      <w:lvlJc w:val="left"/>
      <w:pPr>
        <w:tabs>
          <w:tab w:val="num" w:pos="720"/>
        </w:tabs>
        <w:ind w:left="720" w:hanging="360"/>
      </w:pPr>
      <w:rPr>
        <w:rFonts w:ascii="Arial" w:hAnsi="Arial" w:hint="default"/>
      </w:rPr>
    </w:lvl>
    <w:lvl w:ilvl="1" w:tplc="F70E7FAC">
      <w:numFmt w:val="bullet"/>
      <w:lvlText w:val="•"/>
      <w:lvlJc w:val="left"/>
      <w:pPr>
        <w:tabs>
          <w:tab w:val="num" w:pos="1440"/>
        </w:tabs>
        <w:ind w:left="1440" w:hanging="360"/>
      </w:pPr>
      <w:rPr>
        <w:rFonts w:ascii="Arial" w:hAnsi="Arial" w:hint="default"/>
      </w:rPr>
    </w:lvl>
    <w:lvl w:ilvl="2" w:tplc="7812E896" w:tentative="1">
      <w:start w:val="1"/>
      <w:numFmt w:val="bullet"/>
      <w:lvlText w:val="•"/>
      <w:lvlJc w:val="left"/>
      <w:pPr>
        <w:tabs>
          <w:tab w:val="num" w:pos="2160"/>
        </w:tabs>
        <w:ind w:left="2160" w:hanging="360"/>
      </w:pPr>
      <w:rPr>
        <w:rFonts w:ascii="Arial" w:hAnsi="Arial" w:hint="default"/>
      </w:rPr>
    </w:lvl>
    <w:lvl w:ilvl="3" w:tplc="641C1872" w:tentative="1">
      <w:start w:val="1"/>
      <w:numFmt w:val="bullet"/>
      <w:lvlText w:val="•"/>
      <w:lvlJc w:val="left"/>
      <w:pPr>
        <w:tabs>
          <w:tab w:val="num" w:pos="2880"/>
        </w:tabs>
        <w:ind w:left="2880" w:hanging="360"/>
      </w:pPr>
      <w:rPr>
        <w:rFonts w:ascii="Arial" w:hAnsi="Arial" w:hint="default"/>
      </w:rPr>
    </w:lvl>
    <w:lvl w:ilvl="4" w:tplc="47F4CD9E" w:tentative="1">
      <w:start w:val="1"/>
      <w:numFmt w:val="bullet"/>
      <w:lvlText w:val="•"/>
      <w:lvlJc w:val="left"/>
      <w:pPr>
        <w:tabs>
          <w:tab w:val="num" w:pos="3600"/>
        </w:tabs>
        <w:ind w:left="3600" w:hanging="360"/>
      </w:pPr>
      <w:rPr>
        <w:rFonts w:ascii="Arial" w:hAnsi="Arial" w:hint="default"/>
      </w:rPr>
    </w:lvl>
    <w:lvl w:ilvl="5" w:tplc="B66601D6" w:tentative="1">
      <w:start w:val="1"/>
      <w:numFmt w:val="bullet"/>
      <w:lvlText w:val="•"/>
      <w:lvlJc w:val="left"/>
      <w:pPr>
        <w:tabs>
          <w:tab w:val="num" w:pos="4320"/>
        </w:tabs>
        <w:ind w:left="4320" w:hanging="360"/>
      </w:pPr>
      <w:rPr>
        <w:rFonts w:ascii="Arial" w:hAnsi="Arial" w:hint="default"/>
      </w:rPr>
    </w:lvl>
    <w:lvl w:ilvl="6" w:tplc="DA26678C" w:tentative="1">
      <w:start w:val="1"/>
      <w:numFmt w:val="bullet"/>
      <w:lvlText w:val="•"/>
      <w:lvlJc w:val="left"/>
      <w:pPr>
        <w:tabs>
          <w:tab w:val="num" w:pos="5040"/>
        </w:tabs>
        <w:ind w:left="5040" w:hanging="360"/>
      </w:pPr>
      <w:rPr>
        <w:rFonts w:ascii="Arial" w:hAnsi="Arial" w:hint="default"/>
      </w:rPr>
    </w:lvl>
    <w:lvl w:ilvl="7" w:tplc="C44052B4" w:tentative="1">
      <w:start w:val="1"/>
      <w:numFmt w:val="bullet"/>
      <w:lvlText w:val="•"/>
      <w:lvlJc w:val="left"/>
      <w:pPr>
        <w:tabs>
          <w:tab w:val="num" w:pos="5760"/>
        </w:tabs>
        <w:ind w:left="5760" w:hanging="360"/>
      </w:pPr>
      <w:rPr>
        <w:rFonts w:ascii="Arial" w:hAnsi="Arial" w:hint="default"/>
      </w:rPr>
    </w:lvl>
    <w:lvl w:ilvl="8" w:tplc="126C0D1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F287362"/>
    <w:multiLevelType w:val="hybridMultilevel"/>
    <w:tmpl w:val="87041E34"/>
    <w:lvl w:ilvl="0" w:tplc="F7563C0A">
      <w:start w:val="1"/>
      <w:numFmt w:val="bullet"/>
      <w:lvlText w:val=""/>
      <w:lvlJc w:val="left"/>
      <w:pPr>
        <w:tabs>
          <w:tab w:val="num" w:pos="720"/>
        </w:tabs>
        <w:ind w:left="720" w:hanging="360"/>
      </w:pPr>
      <w:rPr>
        <w:rFonts w:ascii="Wingdings 3" w:hAnsi="Wingdings 3" w:hint="default"/>
      </w:rPr>
    </w:lvl>
    <w:lvl w:ilvl="1" w:tplc="B184C9D0" w:tentative="1">
      <w:start w:val="1"/>
      <w:numFmt w:val="bullet"/>
      <w:lvlText w:val=""/>
      <w:lvlJc w:val="left"/>
      <w:pPr>
        <w:tabs>
          <w:tab w:val="num" w:pos="1440"/>
        </w:tabs>
        <w:ind w:left="1440" w:hanging="360"/>
      </w:pPr>
      <w:rPr>
        <w:rFonts w:ascii="Wingdings 3" w:hAnsi="Wingdings 3" w:hint="default"/>
      </w:rPr>
    </w:lvl>
    <w:lvl w:ilvl="2" w:tplc="CC3A70CE" w:tentative="1">
      <w:start w:val="1"/>
      <w:numFmt w:val="bullet"/>
      <w:lvlText w:val=""/>
      <w:lvlJc w:val="left"/>
      <w:pPr>
        <w:tabs>
          <w:tab w:val="num" w:pos="2160"/>
        </w:tabs>
        <w:ind w:left="2160" w:hanging="360"/>
      </w:pPr>
      <w:rPr>
        <w:rFonts w:ascii="Wingdings 3" w:hAnsi="Wingdings 3" w:hint="default"/>
      </w:rPr>
    </w:lvl>
    <w:lvl w:ilvl="3" w:tplc="FB34ACA2" w:tentative="1">
      <w:start w:val="1"/>
      <w:numFmt w:val="bullet"/>
      <w:lvlText w:val=""/>
      <w:lvlJc w:val="left"/>
      <w:pPr>
        <w:tabs>
          <w:tab w:val="num" w:pos="2880"/>
        </w:tabs>
        <w:ind w:left="2880" w:hanging="360"/>
      </w:pPr>
      <w:rPr>
        <w:rFonts w:ascii="Wingdings 3" w:hAnsi="Wingdings 3" w:hint="default"/>
      </w:rPr>
    </w:lvl>
    <w:lvl w:ilvl="4" w:tplc="5C56BCCC" w:tentative="1">
      <w:start w:val="1"/>
      <w:numFmt w:val="bullet"/>
      <w:lvlText w:val=""/>
      <w:lvlJc w:val="left"/>
      <w:pPr>
        <w:tabs>
          <w:tab w:val="num" w:pos="3600"/>
        </w:tabs>
        <w:ind w:left="3600" w:hanging="360"/>
      </w:pPr>
      <w:rPr>
        <w:rFonts w:ascii="Wingdings 3" w:hAnsi="Wingdings 3" w:hint="default"/>
      </w:rPr>
    </w:lvl>
    <w:lvl w:ilvl="5" w:tplc="5F50D76C" w:tentative="1">
      <w:start w:val="1"/>
      <w:numFmt w:val="bullet"/>
      <w:lvlText w:val=""/>
      <w:lvlJc w:val="left"/>
      <w:pPr>
        <w:tabs>
          <w:tab w:val="num" w:pos="4320"/>
        </w:tabs>
        <w:ind w:left="4320" w:hanging="360"/>
      </w:pPr>
      <w:rPr>
        <w:rFonts w:ascii="Wingdings 3" w:hAnsi="Wingdings 3" w:hint="default"/>
      </w:rPr>
    </w:lvl>
    <w:lvl w:ilvl="6" w:tplc="FCBC6B3C" w:tentative="1">
      <w:start w:val="1"/>
      <w:numFmt w:val="bullet"/>
      <w:lvlText w:val=""/>
      <w:lvlJc w:val="left"/>
      <w:pPr>
        <w:tabs>
          <w:tab w:val="num" w:pos="5040"/>
        </w:tabs>
        <w:ind w:left="5040" w:hanging="360"/>
      </w:pPr>
      <w:rPr>
        <w:rFonts w:ascii="Wingdings 3" w:hAnsi="Wingdings 3" w:hint="default"/>
      </w:rPr>
    </w:lvl>
    <w:lvl w:ilvl="7" w:tplc="7534B96A" w:tentative="1">
      <w:start w:val="1"/>
      <w:numFmt w:val="bullet"/>
      <w:lvlText w:val=""/>
      <w:lvlJc w:val="left"/>
      <w:pPr>
        <w:tabs>
          <w:tab w:val="num" w:pos="5760"/>
        </w:tabs>
        <w:ind w:left="5760" w:hanging="360"/>
      </w:pPr>
      <w:rPr>
        <w:rFonts w:ascii="Wingdings 3" w:hAnsi="Wingdings 3" w:hint="default"/>
      </w:rPr>
    </w:lvl>
    <w:lvl w:ilvl="8" w:tplc="CD7CC2C2" w:tentative="1">
      <w:start w:val="1"/>
      <w:numFmt w:val="bullet"/>
      <w:lvlText w:val=""/>
      <w:lvlJc w:val="left"/>
      <w:pPr>
        <w:tabs>
          <w:tab w:val="num" w:pos="6480"/>
        </w:tabs>
        <w:ind w:left="6480" w:hanging="360"/>
      </w:pPr>
      <w:rPr>
        <w:rFonts w:ascii="Wingdings 3" w:hAnsi="Wingdings 3" w:hint="default"/>
      </w:rPr>
    </w:lvl>
  </w:abstractNum>
  <w:num w:numId="1" w16cid:durableId="1703020876">
    <w:abstractNumId w:val="8"/>
  </w:num>
  <w:num w:numId="2" w16cid:durableId="446510391">
    <w:abstractNumId w:val="6"/>
  </w:num>
  <w:num w:numId="3" w16cid:durableId="1525047373">
    <w:abstractNumId w:val="5"/>
  </w:num>
  <w:num w:numId="4" w16cid:durableId="2117093223">
    <w:abstractNumId w:val="4"/>
  </w:num>
  <w:num w:numId="5" w16cid:durableId="216429746">
    <w:abstractNumId w:val="7"/>
  </w:num>
  <w:num w:numId="6" w16cid:durableId="1916358798">
    <w:abstractNumId w:val="3"/>
  </w:num>
  <w:num w:numId="7" w16cid:durableId="1334258403">
    <w:abstractNumId w:val="2"/>
  </w:num>
  <w:num w:numId="8" w16cid:durableId="733817522">
    <w:abstractNumId w:val="1"/>
  </w:num>
  <w:num w:numId="9" w16cid:durableId="871959655">
    <w:abstractNumId w:val="0"/>
  </w:num>
  <w:num w:numId="10" w16cid:durableId="707990118">
    <w:abstractNumId w:val="13"/>
  </w:num>
  <w:num w:numId="11" w16cid:durableId="560099579">
    <w:abstractNumId w:val="9"/>
  </w:num>
  <w:num w:numId="12" w16cid:durableId="772095885">
    <w:abstractNumId w:val="8"/>
  </w:num>
  <w:num w:numId="13" w16cid:durableId="78986929">
    <w:abstractNumId w:val="16"/>
  </w:num>
  <w:num w:numId="14" w16cid:durableId="1278179471">
    <w:abstractNumId w:val="11"/>
  </w:num>
  <w:num w:numId="15" w16cid:durableId="156459349">
    <w:abstractNumId w:val="14"/>
  </w:num>
  <w:num w:numId="16" w16cid:durableId="2095783439">
    <w:abstractNumId w:val="12"/>
  </w:num>
  <w:num w:numId="17" w16cid:durableId="660428425">
    <w:abstractNumId w:val="10"/>
  </w:num>
  <w:num w:numId="18" w16cid:durableId="530343948">
    <w:abstractNumId w:val="8"/>
  </w:num>
  <w:num w:numId="19" w16cid:durableId="844827901">
    <w:abstractNumId w:val="15"/>
  </w:num>
  <w:num w:numId="20" w16cid:durableId="8041535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2D"/>
    <w:rsid w:val="0006063C"/>
    <w:rsid w:val="00124DD4"/>
    <w:rsid w:val="0015074B"/>
    <w:rsid w:val="00277118"/>
    <w:rsid w:val="0029639D"/>
    <w:rsid w:val="00326F90"/>
    <w:rsid w:val="003C4233"/>
    <w:rsid w:val="00AA1D8D"/>
    <w:rsid w:val="00B47730"/>
    <w:rsid w:val="00CB0664"/>
    <w:rsid w:val="00F161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028507"/>
  <w14:defaultImageDpi w14:val="300"/>
  <w15:docId w15:val="{A0A4E200-6EF3-447B-8648-67E5F849F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850</Words>
  <Characters>5986</Characters>
  <Application>Microsoft Office Word</Application>
  <DocSecurity>0</DocSecurity>
  <Lines>171</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Milo Le Joronen (NSW Health Pathology)</cp:lastModifiedBy>
  <cp:revision>3</cp:revision>
  <dcterms:created xsi:type="dcterms:W3CDTF">2013-12-23T23:15:00Z</dcterms:created>
  <dcterms:modified xsi:type="dcterms:W3CDTF">2026-03-03T14:07:00Z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0f30421-7766-42c6-b167-b4a273574e25_Enabled">
    <vt:lpwstr>true</vt:lpwstr>
  </property>
  <property fmtid="{D5CDD505-2E9C-101B-9397-08002B2CF9AE}" pid="3" name="MSIP_Label_00f30421-7766-42c6-b167-b4a273574e25_SetDate">
    <vt:lpwstr>2026-03-03T13:47:17Z</vt:lpwstr>
  </property>
  <property fmtid="{D5CDD505-2E9C-101B-9397-08002B2CF9AE}" pid="4" name="MSIP_Label_00f30421-7766-42c6-b167-b4a273574e25_Method">
    <vt:lpwstr>Privileged</vt:lpwstr>
  </property>
  <property fmtid="{D5CDD505-2E9C-101B-9397-08002B2CF9AE}" pid="5" name="MSIP_Label_00f30421-7766-42c6-b167-b4a273574e25_Name">
    <vt:lpwstr>UNOFFICIAL</vt:lpwstr>
  </property>
  <property fmtid="{D5CDD505-2E9C-101B-9397-08002B2CF9AE}" pid="6" name="MSIP_Label_00f30421-7766-42c6-b167-b4a273574e25_SiteId">
    <vt:lpwstr>a687a7bf-02db-43df-bcbb-e7a8bda611a2</vt:lpwstr>
  </property>
  <property fmtid="{D5CDD505-2E9C-101B-9397-08002B2CF9AE}" pid="7" name="MSIP_Label_00f30421-7766-42c6-b167-b4a273574e25_ActionId">
    <vt:lpwstr>5a563933-fa5b-4a0b-95c1-bef000edef06</vt:lpwstr>
  </property>
  <property fmtid="{D5CDD505-2E9C-101B-9397-08002B2CF9AE}" pid="8" name="MSIP_Label_00f30421-7766-42c6-b167-b4a273574e25_ContentBits">
    <vt:lpwstr>0</vt:lpwstr>
  </property>
  <property fmtid="{D5CDD505-2E9C-101B-9397-08002B2CF9AE}" pid="9" name="MSIP_Label_00f30421-7766-42c6-b167-b4a273574e25_Tag">
    <vt:lpwstr>10, 0, 1, 1</vt:lpwstr>
  </property>
</Properties>
</file>