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0C5" w:rsidRDefault="00B210C5" w:rsidP="00B210C5">
      <w:pPr>
        <w:pStyle w:val="Heading1"/>
      </w:pPr>
      <w:r>
        <w:t>Supplementary material for Chapter 2</w:t>
      </w:r>
    </w:p>
    <w:p w:rsidR="00B210C5" w:rsidRDefault="00B210C5" w:rsidP="00B210C5">
      <w:pPr>
        <w:ind w:firstLine="720"/>
      </w:pPr>
    </w:p>
    <w:p w:rsidR="00B210C5" w:rsidRDefault="00B210C5" w:rsidP="00B210C5">
      <w:pPr>
        <w:ind w:firstLine="720"/>
      </w:pPr>
      <w:r>
        <w:t>The following supplementary material is a supplement for chapter 2 showing the methodology used to synthesize and calculate figures provided in the paper.</w:t>
      </w:r>
    </w:p>
    <w:p w:rsidR="00B210C5" w:rsidRDefault="00B210C5" w:rsidP="00B210C5">
      <w:pPr>
        <w:pStyle w:val="Heading2"/>
      </w:pPr>
      <w:r>
        <w:t>Experimental Section</w:t>
      </w:r>
    </w:p>
    <w:p w:rsidR="00B210C5" w:rsidRPr="00DB5449" w:rsidRDefault="00B210C5" w:rsidP="007738C7">
      <w:pPr>
        <w:ind w:firstLine="720"/>
      </w:pPr>
      <w:r w:rsidRPr="00DB5449">
        <w:rPr>
          <w:b/>
        </w:rPr>
        <w:t>S-(</w:t>
      </w:r>
      <w:proofErr w:type="spellStart"/>
      <w:r w:rsidRPr="00DB5449">
        <w:rPr>
          <w:b/>
        </w:rPr>
        <w:t>dimethylarseno</w:t>
      </w:r>
      <w:proofErr w:type="spellEnd"/>
      <w:proofErr w:type="gramStart"/>
      <w:r w:rsidRPr="00DB5449">
        <w:rPr>
          <w:b/>
        </w:rPr>
        <w:t>)cysteine</w:t>
      </w:r>
      <w:proofErr w:type="gramEnd"/>
      <w:r w:rsidRPr="00DB5449">
        <w:rPr>
          <w:b/>
        </w:rPr>
        <w:t xml:space="preserve"> (10)</w:t>
      </w:r>
      <w:r w:rsidRPr="00DB5449">
        <w:t xml:space="preserve"> 0.445g of </w:t>
      </w:r>
      <w:proofErr w:type="spellStart"/>
      <w:r w:rsidRPr="00DB5449">
        <w:t>Cacodylic</w:t>
      </w:r>
      <w:proofErr w:type="spellEnd"/>
      <w:r w:rsidRPr="00DB5449">
        <w:t xml:space="preserve"> acid and 0.9291g of L-</w:t>
      </w:r>
      <w:proofErr w:type="spellStart"/>
      <w:r w:rsidRPr="00DB5449">
        <w:t>Cystine</w:t>
      </w:r>
      <w:proofErr w:type="spellEnd"/>
      <w:r w:rsidRPr="00DB5449">
        <w:t xml:space="preserve"> was mixed in distilled water under nitrogen for 16 hours. The precipitate was filtered dried under reduced pressure without heating. 1H NMR (500 MHz, D</w:t>
      </w:r>
      <w:r w:rsidRPr="005B2EA5">
        <w:rPr>
          <w:vertAlign w:val="subscript"/>
        </w:rPr>
        <w:t>2</w:t>
      </w:r>
      <w:r w:rsidRPr="00DB5449">
        <w:t>O) δ 3.99 – 3.91 (m, 1H), 3.24 – 3.13 (m, 1H), 1.37 (s, 1H), 1.36 (s, 1H).</w:t>
      </w:r>
    </w:p>
    <w:p w:rsidR="00B210C5" w:rsidRPr="000B7083" w:rsidRDefault="00B210C5" w:rsidP="007738C7">
      <w:pPr>
        <w:pStyle w:val="NormalWeb"/>
        <w:ind w:firstLine="720"/>
        <w:jc w:val="both"/>
        <w:rPr>
          <w:rFonts w:ascii="Calibri" w:hAnsi="Calibri"/>
        </w:rPr>
      </w:pPr>
      <w:r w:rsidRPr="000B7083">
        <w:rPr>
          <w:rFonts w:ascii="Calibri" w:hAnsi="Calibri"/>
          <w:b/>
        </w:rPr>
        <w:t>Preparation of Me</w:t>
      </w:r>
      <w:r w:rsidRPr="000B7083">
        <w:rPr>
          <w:rFonts w:ascii="Calibri" w:hAnsi="Calibri"/>
          <w:b/>
          <w:vertAlign w:val="subscript"/>
        </w:rPr>
        <w:t>2</w:t>
      </w:r>
      <w:r w:rsidRPr="000B7083">
        <w:rPr>
          <w:rFonts w:ascii="Calibri" w:hAnsi="Calibri"/>
          <w:b/>
        </w:rPr>
        <w:t xml:space="preserve">AsCys Solution. </w:t>
      </w:r>
      <w:r w:rsidRPr="000B7083">
        <w:rPr>
          <w:rFonts w:ascii="Calibri" w:hAnsi="Calibri"/>
        </w:rPr>
        <w:t>0.0115g of Me</w:t>
      </w:r>
      <w:r w:rsidRPr="000B7083">
        <w:rPr>
          <w:rFonts w:ascii="Calibri" w:hAnsi="Calibri"/>
          <w:vertAlign w:val="subscript"/>
        </w:rPr>
        <w:t>2</w:t>
      </w:r>
      <w:r w:rsidRPr="000B7083">
        <w:rPr>
          <w:rFonts w:ascii="Calibri" w:hAnsi="Calibri"/>
        </w:rPr>
        <w:t xml:space="preserve">AsCys was dissolved in 1 ml of Phosphate buffer at pH 4.2 (10% potassium phosphate buffer was prepared by the dissolution of potassium phosphate into water and subsequent adjustment of pH using </w:t>
      </w:r>
      <w:proofErr w:type="spellStart"/>
      <w:r w:rsidRPr="000B7083">
        <w:rPr>
          <w:rFonts w:ascii="Calibri" w:hAnsi="Calibri"/>
        </w:rPr>
        <w:t>NaOH</w:t>
      </w:r>
      <w:proofErr w:type="spellEnd"/>
      <w:r w:rsidRPr="000B7083">
        <w:rPr>
          <w:rFonts w:ascii="Calibri" w:hAnsi="Calibri"/>
        </w:rPr>
        <w:t xml:space="preserve">. The solution was </w:t>
      </w:r>
      <w:proofErr w:type="spellStart"/>
      <w:r w:rsidRPr="000B7083">
        <w:rPr>
          <w:rFonts w:ascii="Calibri" w:hAnsi="Calibri"/>
        </w:rPr>
        <w:t>deuterated</w:t>
      </w:r>
      <w:proofErr w:type="spellEnd"/>
      <w:r w:rsidRPr="000B7083">
        <w:rPr>
          <w:rFonts w:ascii="Calibri" w:hAnsi="Calibri"/>
        </w:rPr>
        <w:t xml:space="preserve"> by drying the mixture and re-hydrating it with D2O). This solution was diluted to form a desired concentration of </w:t>
      </w:r>
      <w:r w:rsidRPr="000B7083">
        <w:rPr>
          <w:rFonts w:ascii="Calibri" w:hAnsi="Calibri"/>
          <w:b/>
        </w:rPr>
        <w:t xml:space="preserve">6.40 </w:t>
      </w:r>
      <w:proofErr w:type="spellStart"/>
      <w:r w:rsidRPr="000B7083">
        <w:rPr>
          <w:rFonts w:ascii="Calibri" w:hAnsi="Calibri"/>
          <w:b/>
        </w:rPr>
        <w:t>mM</w:t>
      </w:r>
      <w:proofErr w:type="spellEnd"/>
      <w:r w:rsidRPr="000B7083">
        <w:rPr>
          <w:rFonts w:ascii="Calibri" w:hAnsi="Calibri"/>
        </w:rPr>
        <w:t xml:space="preserve"> by a 1/5 dilution using 200ul of the solution and 800 </w:t>
      </w:r>
      <w:proofErr w:type="spellStart"/>
      <w:r w:rsidRPr="000B7083">
        <w:rPr>
          <w:rFonts w:ascii="Calibri" w:hAnsi="Calibri"/>
        </w:rPr>
        <w:t>ul</w:t>
      </w:r>
      <w:proofErr w:type="spellEnd"/>
      <w:r w:rsidRPr="000B7083">
        <w:rPr>
          <w:rFonts w:ascii="Calibri" w:hAnsi="Calibri"/>
        </w:rPr>
        <w:t xml:space="preserve"> of buffer. To ensure the temperature is changing constantly and as expected, a plot of the solvent chemical shift against temperature. This indicates minimal changes to the pH or random errors in the temperature readings, as the R</w:t>
      </w:r>
      <w:r w:rsidRPr="000B7083">
        <w:rPr>
          <w:rFonts w:ascii="Calibri" w:hAnsi="Calibri"/>
          <w:vertAlign w:val="superscript"/>
        </w:rPr>
        <w:t>2</w:t>
      </w:r>
      <w:r w:rsidRPr="000B7083">
        <w:rPr>
          <w:rFonts w:ascii="Calibri" w:hAnsi="Calibri"/>
        </w:rPr>
        <w:t xml:space="preserve"> is 0.999. This however does not rule out the possibility of systematic errors to the temperature readings. This could be remedied by using a temperature reference. </w:t>
      </w:r>
    </w:p>
    <w:p w:rsidR="009A42D7" w:rsidRPr="009A42D7" w:rsidRDefault="00B210C5" w:rsidP="009A42D7">
      <w:pPr>
        <w:pStyle w:val="Heading1"/>
      </w:pPr>
      <w:r>
        <w:t>Kinetics determination</w:t>
      </w:r>
    </w:p>
    <w:p w:rsidR="009A42D7" w:rsidRPr="009A42D7" w:rsidRDefault="009A42D7" w:rsidP="009A42D7"/>
    <w:p w:rsidR="00F90F06" w:rsidRDefault="00F90F06" w:rsidP="00B210C5">
      <w:pPr>
        <w:ind w:firstLine="720"/>
        <w:rPr>
          <w:lang w:val="en-US" w:eastAsia="en-US"/>
        </w:rPr>
      </w:pPr>
      <w:r w:rsidRPr="00DB5449">
        <w:rPr>
          <w:lang w:val="en-US" w:eastAsia="en-US"/>
        </w:rPr>
        <w:object w:dxaOrig="6675" w:dyaOrig="1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88.5pt" o:ole="">
            <v:imagedata r:id="rId4" o:title=""/>
          </v:shape>
          <o:OLEObject Type="Embed" ProgID="ChemDraw.Document.6.0" ShapeID="_x0000_i1025" DrawAspect="Content" ObjectID="_1435607935" r:id="rId5"/>
        </w:object>
      </w:r>
    </w:p>
    <w:p w:rsidR="00B210C5" w:rsidRPr="00DB5449" w:rsidRDefault="00B210C5" w:rsidP="00F90F06">
      <w:pPr>
        <w:ind w:firstLine="720"/>
      </w:pPr>
      <w:r w:rsidRPr="00DB5449">
        <w:t xml:space="preserve">NMR data was acquired with a Varian 500 MHz instrument. All NMR acquisitions were made with 16 scans, transform size of 32k and shims were done with a gradient shimming on each measurement. Data was processed using </w:t>
      </w:r>
      <w:proofErr w:type="spellStart"/>
      <w:r w:rsidRPr="00DB5449">
        <w:t>Mnova</w:t>
      </w:r>
      <w:proofErr w:type="spellEnd"/>
      <w:r w:rsidRPr="00DB5449">
        <w:t xml:space="preserve"> 6.1.1 FID processing software. </w:t>
      </w:r>
    </w:p>
    <w:p w:rsidR="00B210C5" w:rsidRPr="00DB5449" w:rsidRDefault="00B210C5" w:rsidP="00F90F06">
      <w:pPr>
        <w:ind w:firstLine="720"/>
      </w:pPr>
      <w:r w:rsidRPr="00DB5449">
        <w:t>To determine the rate constant of the reaction, the separation of the methyl peaks were used to calculate the rate constant using the following equation:</w:t>
      </w:r>
    </w:p>
    <w:p w:rsidR="00B210C5" w:rsidRPr="00B210C5" w:rsidRDefault="00B210C5" w:rsidP="00B210C5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libri" w:hAnsi="Cambria Math"/>
                      <w:lang w:val="en-US"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eastAsia="Calibri" w:hAnsi="Cambria Math"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eastAsia="Calibri" w:hAnsi="Cambria Math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eastAsia="Calibri" w:hAnsi="Cambria Math"/>
                      <w:lang w:val="en-US"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B210C5" w:rsidRPr="00FD03C3" w:rsidRDefault="00B210C5" w:rsidP="00B210C5">
      <w:pPr>
        <w:rPr>
          <w:rFonts w:eastAsia="Calibri"/>
        </w:rPr>
      </w:pPr>
      <w:r w:rsidRPr="00DB5449">
        <w:lastRenderedPageBreak/>
        <w:t xml:space="preserve">This equation is applicable in this situation as dv and k are much larger than the bandwidth in absence of exchange (0.6 Hz). As it is not possible to lower the sample below 0 degrees due to the freezing point of water, dv was estimated using the lowest experimentally obtained separation of 7.8 Hz (solution of 1mM sample at 10 degrees Celsius). </w:t>
      </w:r>
    </w:p>
    <w:p w:rsidR="00B210C5" w:rsidRPr="00DB5449" w:rsidRDefault="00B210C5" w:rsidP="00B210C5">
      <w:pPr>
        <w:rPr>
          <w:noProof/>
        </w:rPr>
      </w:pPr>
      <w:r w:rsidRPr="00DB5449">
        <w:rPr>
          <w:noProof/>
        </w:rPr>
        <w:t xml:space="preserve"> </w:t>
      </w:r>
      <w:r w:rsidRPr="00BC29A4">
        <w:rPr>
          <w:noProof/>
          <w:lang w:val="en-US"/>
        </w:rPr>
        <w:drawing>
          <wp:inline distT="0" distB="0" distL="0" distR="0">
            <wp:extent cx="32099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0C5" w:rsidRPr="00DB5449" w:rsidRDefault="00B210C5" w:rsidP="00B210C5">
      <w:pPr>
        <w:rPr>
          <w:noProof/>
        </w:rPr>
      </w:pPr>
      <w:r w:rsidRPr="00DB5449">
        <w:rPr>
          <w:noProof/>
        </w:rPr>
        <w:tab/>
        <w:t xml:space="preserve">We notice an almost linear build up of the rate constant. </w:t>
      </w:r>
    </w:p>
    <w:p w:rsidR="00B210C5" w:rsidRPr="00DB5449" w:rsidRDefault="00B210C5" w:rsidP="00B210C5">
      <w:pPr>
        <w:jc w:val="both"/>
      </w:pPr>
      <w:r w:rsidRPr="00DB5449">
        <w:t xml:space="preserve">The NMR dynamic exchange was modeled using DNMR3 with </w:t>
      </w:r>
      <w:proofErr w:type="spellStart"/>
      <w:r w:rsidRPr="00DB5449">
        <w:t>Spinworks</w:t>
      </w:r>
      <w:proofErr w:type="spellEnd"/>
      <w:r w:rsidRPr="00DB5449">
        <w:t xml:space="preserve"> 3 software. The experimentally determined variables (low temperature limit) of the system at 5’C with a concentration of 1mM was used as the input parameter for the simulation (two spins at 1.3832 and 1.3698 with 0.6 line width). Other parameters include Permutation vector set as 2</w:t>
      </w:r>
      <w:proofErr w:type="gramStart"/>
      <w:r w:rsidRPr="00DB5449">
        <w:t>,1</w:t>
      </w:r>
      <w:proofErr w:type="gramEnd"/>
      <w:r w:rsidRPr="00DB5449">
        <w:t xml:space="preserve"> (mutual exchange of the system), the relaxation time 1 sec (same as acquisition), populations were 0 as this is a case of mutual exchange and maximum iterations = 30. The rate constant RC (1</w:t>
      </w:r>
      <w:proofErr w:type="gramStart"/>
      <w:r w:rsidRPr="00DB5449">
        <w:t>,2</w:t>
      </w:r>
      <w:proofErr w:type="gramEnd"/>
      <w:r w:rsidRPr="00DB5449">
        <w:t>) was gradually increased by 1 s</w:t>
      </w:r>
      <w:r w:rsidRPr="00DB5449">
        <w:rPr>
          <w:vertAlign w:val="superscript"/>
        </w:rPr>
        <w:t>-1</w:t>
      </w:r>
      <w:r w:rsidRPr="00DB5449">
        <w:t xml:space="preserve"> until the simulated system exhibited coalescence. It was found that a rate constant of 16 s</w:t>
      </w:r>
      <w:r w:rsidRPr="00DB5449">
        <w:rPr>
          <w:vertAlign w:val="superscript"/>
        </w:rPr>
        <w:t>-1</w:t>
      </w:r>
      <w:r w:rsidRPr="00DB5449">
        <w:t xml:space="preserve"> gave coalescence for the two peaks.</w:t>
      </w:r>
    </w:p>
    <w:p w:rsidR="00B37386" w:rsidRDefault="00B37386">
      <w:bookmarkStart w:id="0" w:name="_GoBack"/>
      <w:bookmarkEnd w:id="0"/>
    </w:p>
    <w:sectPr w:rsidR="00B37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35"/>
    <w:rsid w:val="007738C7"/>
    <w:rsid w:val="00806035"/>
    <w:rsid w:val="00971A08"/>
    <w:rsid w:val="009A42D7"/>
    <w:rsid w:val="00B210C5"/>
    <w:rsid w:val="00B37386"/>
    <w:rsid w:val="00F9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7DC4A-6A21-4419-9147-3B1588D0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0C5"/>
    <w:pPr>
      <w:spacing w:after="200" w:line="276" w:lineRule="auto"/>
    </w:pPr>
    <w:rPr>
      <w:rFonts w:ascii="Calibri" w:eastAsia="宋体" w:hAnsi="Calibri" w:cs="Times New Roman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0C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0C5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0C5"/>
    <w:rPr>
      <w:rFonts w:ascii="Cambria" w:eastAsia="宋体" w:hAnsi="Cambria" w:cs="Times New Roman"/>
      <w:b/>
      <w:bCs/>
      <w:color w:val="365F91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B210C5"/>
    <w:rPr>
      <w:rFonts w:ascii="Cambria" w:eastAsia="宋体" w:hAnsi="Cambria" w:cs="Times New Roman"/>
      <w:b/>
      <w:bCs/>
      <w:color w:val="4F81BD"/>
      <w:sz w:val="26"/>
      <w:szCs w:val="26"/>
      <w:lang w:val="en-CA"/>
    </w:rPr>
  </w:style>
  <w:style w:type="paragraph" w:styleId="NormalWeb">
    <w:name w:val="Normal (Web)"/>
    <w:basedOn w:val="Normal"/>
    <w:uiPriority w:val="99"/>
    <w:unhideWhenUsed/>
    <w:rsid w:val="00B210C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gu</dc:creator>
  <cp:keywords/>
  <dc:description/>
  <cp:lastModifiedBy>wei gu</cp:lastModifiedBy>
  <cp:revision>6</cp:revision>
  <dcterms:created xsi:type="dcterms:W3CDTF">2013-07-17T13:40:00Z</dcterms:created>
  <dcterms:modified xsi:type="dcterms:W3CDTF">2013-07-17T15:12:00Z</dcterms:modified>
</cp:coreProperties>
</file>