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2026年银行业投资分析报告</w:t>
      </w:r>
    </w:p>
    <w:p>
      <w:r>
        <w:t>银行股长期低估，PB长期低于1。</w:t>
      </w:r>
    </w:p>
    <w:p>
      <w:pPr>
        <w:pStyle w:val="Heading1"/>
      </w:pPr>
      <w:r>
        <w:t>核心观点</w:t>
      </w:r>
    </w:p>
    <w:p>
      <w:r>
        <w:t>1. 银行板块当前平均PB 0.6倍，处于历史低位</w:t>
      </w:r>
    </w:p>
    <w:p>
      <w:r>
        <w:t>2. 高股息率（5%+）提供安全边际</w:t>
      </w:r>
    </w:p>
    <w:p>
      <w:r>
        <w:t>3. 息差收窄压力下，零售银行龙头更具韧性</w:t>
      </w:r>
    </w:p>
    <w:p>
      <w:pPr>
        <w:pStyle w:val="Heading1"/>
      </w:pPr>
      <w:r>
        <w:t>风险提示</w:t>
      </w:r>
    </w:p>
    <w:p>
      <w:r>
        <w:t>资产质量恶化、息差超预期下行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