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967" w14:textId="276C94C5" w:rsidR="001046EC" w:rsidRPr="001046EC" w:rsidRDefault="001046EC" w:rsidP="001046EC">
      <w:pPr>
        <w:widowControl/>
        <w:jc w:val="center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046EC">
        <w:rPr>
          <w:rFonts w:ascii="Arial" w:eastAsia="宋体" w:hAnsi="Arial" w:cs="Arial" w:hint="eastAsia"/>
          <w:b/>
          <w:bCs/>
          <w:color w:val="000000" w:themeColor="text1"/>
          <w:kern w:val="0"/>
          <w:sz w:val="28"/>
          <w:szCs w:val="28"/>
        </w:rPr>
        <w:t>MEMO</w:t>
      </w:r>
    </w:p>
    <w:p w14:paraId="446885D1" w14:textId="12ED231A" w:rsidR="008A43A8" w:rsidRPr="008A43A8" w:rsidRDefault="008A43A8" w:rsidP="008A43A8">
      <w:pPr>
        <w:widowControl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8A43A8"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  <w:t>2020.09.</w:t>
      </w:r>
      <w:r w:rsidR="00F26CEE"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14</w:t>
      </w:r>
      <w:r w:rsidRPr="008A43A8"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  <w:t>-2020.09.1</w:t>
      </w:r>
      <w:r w:rsidR="00F26CEE"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8</w:t>
      </w:r>
    </w:p>
    <w:p w14:paraId="78E281A2" w14:textId="77777777" w:rsidR="008A43A8" w:rsidRPr="008A43A8" w:rsidRDefault="008A43A8" w:rsidP="008A43A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1"/>
        </w:rPr>
      </w:pPr>
      <w:r w:rsidRPr="008A43A8">
        <w:rPr>
          <w:rFonts w:ascii="微软雅黑" w:eastAsia="微软雅黑" w:hAnsi="微软雅黑" w:cs="Calibri" w:hint="eastAsia"/>
          <w:b/>
          <w:bCs/>
          <w:kern w:val="0"/>
          <w:szCs w:val="21"/>
        </w:rPr>
        <w:t>文献阅读：</w:t>
      </w:r>
    </w:p>
    <w:p w14:paraId="24941479" w14:textId="77777777" w:rsidR="008A43A8" w:rsidRPr="008A43A8" w:rsidRDefault="008A43A8" w:rsidP="008A43A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这一周的文献阅读主要阅读了两篇</w:t>
      </w:r>
      <w:r w:rsidRPr="008A43A8">
        <w:rPr>
          <w:rFonts w:ascii="Calibri" w:eastAsia="微软雅黑" w:hAnsi="Calibri" w:cs="Calibri"/>
          <w:kern w:val="0"/>
          <w:sz w:val="18"/>
          <w:szCs w:val="18"/>
        </w:rPr>
        <w:t>NC</w:t>
      </w: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的工作：</w:t>
      </w:r>
    </w:p>
    <w:p w14:paraId="5FE219BB" w14:textId="77777777" w:rsidR="008A43A8" w:rsidRPr="008A43A8" w:rsidRDefault="008A43A8" w:rsidP="008A43A8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第一篇是</w:t>
      </w:r>
      <w:proofErr w:type="spellStart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A.Mehonic</w:t>
      </w:r>
      <w:proofErr w:type="spellEnd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小组的工作(10.1038/s41467-020-18098-0)，主要内容通过仿真探讨器件非理想特性对网络的影响，讨论的内容比较系统和具体，并且提出来了"committee machines"来提升网络精度(在我看来，这个这机制有点像网络集成的概念)；</w:t>
      </w:r>
    </w:p>
    <w:p w14:paraId="0002087C" w14:textId="77777777" w:rsidR="008A43A8" w:rsidRPr="008A43A8" w:rsidRDefault="008A43A8" w:rsidP="008A43A8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第二篇是</w:t>
      </w:r>
      <w:proofErr w:type="spellStart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A.Sebastian</w:t>
      </w:r>
      <w:proofErr w:type="spellEnd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小组的工作(10.1038/s41467-020-16108-9)，主要内容通过仿真和实验(1 Mb PCM)探讨了在训练过程中，通过在权重中添加噪声（仅仅在前馈过程中添加噪声，噪声分布形式为高斯分布），来解决由于器件读写噪声对网络造成精度的降低；并且进一步提出了自适应批标准化统计更新的方法，改善了由于PCM的权重漂移造成精度的下降。</w:t>
      </w:r>
    </w:p>
    <w:p w14:paraId="690C1F96" w14:textId="7CF04140" w:rsidR="008A43A8" w:rsidRPr="008A43A8" w:rsidRDefault="008A43A8" w:rsidP="008A43A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下一周的调研计划是进一步调研这方面相关的文章，着重关注一下以分布的形式看待权重的相关想法。</w:t>
      </w:r>
      <w:r w:rsidR="00F26CEE">
        <w:rPr>
          <w:rFonts w:ascii="微软雅黑" w:eastAsia="微软雅黑" w:hAnsi="微软雅黑" w:cs="Calibri" w:hint="eastAsia"/>
          <w:kern w:val="0"/>
          <w:sz w:val="18"/>
          <w:szCs w:val="18"/>
        </w:rPr>
        <w:t>关注权重分布的主要原因是，在对比对抗训练和RRAM权重的噪声数学形式之后，发现了RRAM噪声导致神经网络识别精度下降的原因</w:t>
      </w:r>
      <w:r w:rsidR="00131656">
        <w:rPr>
          <w:rFonts w:ascii="微软雅黑" w:eastAsia="微软雅黑" w:hAnsi="微软雅黑" w:cs="Calibri" w:hint="eastAsia"/>
          <w:kern w:val="0"/>
          <w:sz w:val="18"/>
          <w:szCs w:val="18"/>
        </w:rPr>
        <w:t>并想出了一个可行性较高的解决方案</w:t>
      </w:r>
      <w:r w:rsidR="00F26CEE">
        <w:rPr>
          <w:rFonts w:ascii="微软雅黑" w:eastAsia="微软雅黑" w:hAnsi="微软雅黑" w:cs="Calibri" w:hint="eastAsia"/>
          <w:kern w:val="0"/>
          <w:sz w:val="18"/>
          <w:szCs w:val="18"/>
        </w:rPr>
        <w:t>，想从另外一个角度去解决这个问题，即干脆将权重看成一个分布，网络的训练过程就是挑选合适权重分布的过程。</w:t>
      </w:r>
    </w:p>
    <w:p w14:paraId="1124B395" w14:textId="77777777" w:rsidR="008A43A8" w:rsidRPr="008A43A8" w:rsidRDefault="008A43A8" w:rsidP="008A43A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b/>
          <w:bCs/>
          <w:kern w:val="0"/>
          <w:szCs w:val="21"/>
        </w:rPr>
      </w:pPr>
      <w:r w:rsidRPr="008A43A8">
        <w:rPr>
          <w:rFonts w:ascii="Calibri" w:eastAsia="微软雅黑" w:hAnsi="Calibri" w:cs="Calibri"/>
          <w:b/>
          <w:bCs/>
          <w:kern w:val="0"/>
          <w:szCs w:val="21"/>
        </w:rPr>
        <w:t>SNN</w:t>
      </w:r>
      <w:r w:rsidRPr="008A43A8">
        <w:rPr>
          <w:rFonts w:ascii="微软雅黑" w:eastAsia="微软雅黑" w:hAnsi="微软雅黑" w:cs="Calibri" w:hint="eastAsia"/>
          <w:b/>
          <w:bCs/>
          <w:kern w:val="0"/>
          <w:szCs w:val="21"/>
        </w:rPr>
        <w:t>芯片系统级验证方案：</w:t>
      </w:r>
    </w:p>
    <w:p w14:paraId="480A26A8" w14:textId="77777777" w:rsidR="008A43A8" w:rsidRPr="008A43A8" w:rsidRDefault="008A43A8" w:rsidP="008A43A8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这一周初步提出了SNN芯片的系统级验证方案：</w:t>
      </w:r>
    </w:p>
    <w:p w14:paraId="4879D877" w14:textId="07CF9D54" w:rsidR="008A43A8" w:rsidRPr="008A43A8" w:rsidRDefault="008A43A8" w:rsidP="00F26CEE">
      <w:pPr>
        <w:widowControl/>
        <w:ind w:left="1080"/>
        <w:jc w:val="center"/>
        <w:rPr>
          <w:rFonts w:ascii="Calibri" w:eastAsia="宋体" w:hAnsi="Calibri" w:cs="Calibri" w:hint="eastAsia"/>
          <w:kern w:val="0"/>
          <w:sz w:val="18"/>
          <w:szCs w:val="18"/>
        </w:rPr>
      </w:pPr>
      <w:r w:rsidRPr="008A43A8">
        <w:rPr>
          <w:noProof/>
          <w:sz w:val="18"/>
          <w:szCs w:val="18"/>
        </w:rPr>
        <w:drawing>
          <wp:inline distT="0" distB="0" distL="0" distR="0" wp14:anchorId="28223C1A" wp14:editId="1B257A40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3A7B" w14:textId="7BEDF4C1" w:rsidR="008A43A8" w:rsidRPr="008A43A8" w:rsidRDefault="008A43A8" w:rsidP="008A43A8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虽然系统级的验证方案已经初步提出来了，但是具体的一些细节需要进一步的思考与讨论，尽可能的把已经写好的代码复用起来</w:t>
      </w:r>
      <w:r w:rsidR="000A7AB8">
        <w:rPr>
          <w:rFonts w:ascii="微软雅黑" w:eastAsia="微软雅黑" w:hAnsi="微软雅黑" w:cs="Calibri" w:hint="eastAsia"/>
          <w:kern w:val="0"/>
          <w:sz w:val="18"/>
          <w:szCs w:val="18"/>
        </w:rPr>
        <w:t>，并且要及时更新验证计划</w:t>
      </w: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。另外一个工作就是需要把系统验证环境集成起来。</w:t>
      </w:r>
    </w:p>
    <w:p w14:paraId="0A3A2DB8" w14:textId="77777777" w:rsidR="008A43A8" w:rsidRPr="008A43A8" w:rsidRDefault="008A43A8" w:rsidP="008A43A8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目前遇到的问题：</w:t>
      </w:r>
    </w:p>
    <w:p w14:paraId="74F8A5AF" w14:textId="77777777" w:rsidR="008A43A8" w:rsidRPr="008A43A8" w:rsidRDefault="008A43A8" w:rsidP="008A43A8">
      <w:pPr>
        <w:widowControl/>
        <w:numPr>
          <w:ilvl w:val="1"/>
          <w:numId w:val="5"/>
        </w:numPr>
        <w:ind w:left="162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关于系统整体的复位、上电、时钟等相关的基本功能还没有具体的想法验证，需要调研相关的验证方法；</w:t>
      </w:r>
    </w:p>
    <w:p w14:paraId="01F93379" w14:textId="77777777" w:rsidR="008A43A8" w:rsidRPr="008A43A8" w:rsidRDefault="008A43A8" w:rsidP="008A43A8">
      <w:pPr>
        <w:widowControl/>
        <w:numPr>
          <w:ilvl w:val="1"/>
          <w:numId w:val="5"/>
        </w:numPr>
        <w:ind w:left="1620"/>
        <w:jc w:val="left"/>
        <w:textAlignment w:val="center"/>
        <w:rPr>
          <w:rFonts w:ascii="微软雅黑" w:eastAsia="微软雅黑" w:hAnsi="微软雅黑" w:cs="Calibri" w:hint="eastAsia"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lastRenderedPageBreak/>
        <w:t>关于系统的能耗、能效的验证方案没有，但是这一部分估计不会验证，首先这不是属于必需验证项目；其次，系统文档中没有关于这一部分的相关描述。</w:t>
      </w:r>
    </w:p>
    <w:p w14:paraId="5038570A" w14:textId="77777777" w:rsidR="008A43A8" w:rsidRPr="008A43A8" w:rsidRDefault="008A43A8" w:rsidP="008A43A8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b/>
          <w:bCs/>
          <w:kern w:val="0"/>
          <w:szCs w:val="21"/>
        </w:rPr>
      </w:pPr>
      <w:r w:rsidRPr="008A43A8">
        <w:rPr>
          <w:rFonts w:ascii="Calibri" w:eastAsia="微软雅黑" w:hAnsi="Calibri" w:cs="Calibri"/>
          <w:b/>
          <w:bCs/>
          <w:kern w:val="0"/>
          <w:szCs w:val="21"/>
        </w:rPr>
        <w:t>UVM</w:t>
      </w:r>
      <w:r w:rsidRPr="008A43A8">
        <w:rPr>
          <w:rFonts w:ascii="微软雅黑" w:eastAsia="微软雅黑" w:hAnsi="微软雅黑" w:cs="Calibri" w:hint="eastAsia"/>
          <w:b/>
          <w:bCs/>
          <w:kern w:val="0"/>
          <w:szCs w:val="21"/>
        </w:rPr>
        <w:t>的学习：</w:t>
      </w:r>
    </w:p>
    <w:p w14:paraId="1C6FE950" w14:textId="77777777" w:rsidR="008A43A8" w:rsidRPr="008A43A8" w:rsidRDefault="008A43A8" w:rsidP="008A43A8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b/>
          <w:bCs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上一周主要在学习验证的相关通识知识以及</w:t>
      </w:r>
      <w:proofErr w:type="spellStart"/>
      <w:r w:rsidRPr="008A43A8">
        <w:rPr>
          <w:rFonts w:ascii="Calibri" w:eastAsia="微软雅黑" w:hAnsi="Calibri" w:cs="Calibri"/>
          <w:kern w:val="0"/>
          <w:sz w:val="18"/>
          <w:szCs w:val="18"/>
        </w:rPr>
        <w:t>SystemVerilog</w:t>
      </w:r>
      <w:proofErr w:type="spellEnd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的基本语法，目前的进度是学习到了</w:t>
      </w:r>
      <w:r w:rsidRPr="008A43A8">
        <w:rPr>
          <w:rFonts w:ascii="Calibri" w:eastAsia="微软雅黑" w:hAnsi="Calibri" w:cs="Calibri"/>
          <w:kern w:val="0"/>
          <w:sz w:val="18"/>
          <w:szCs w:val="18"/>
        </w:rPr>
        <w:t>UVM</w:t>
      </w: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入门部分，</w:t>
      </w:r>
      <w:proofErr w:type="spellStart"/>
      <w:r w:rsidRPr="008A43A8">
        <w:rPr>
          <w:rFonts w:ascii="Calibri" w:eastAsia="微软雅黑" w:hAnsi="Calibri" w:cs="Calibri"/>
          <w:kern w:val="0"/>
          <w:sz w:val="18"/>
          <w:szCs w:val="18"/>
        </w:rPr>
        <w:t>SystemVerilog</w:t>
      </w:r>
      <w:proofErr w:type="spellEnd"/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的语法参考手册中关于设计和部分验证相关的语法已经学习完了。</w:t>
      </w:r>
    </w:p>
    <w:p w14:paraId="0C5661E8" w14:textId="65DC1BFE" w:rsidR="008A43A8" w:rsidRPr="008A43A8" w:rsidRDefault="008A43A8" w:rsidP="008A43A8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b/>
          <w:bCs/>
          <w:kern w:val="0"/>
          <w:sz w:val="18"/>
          <w:szCs w:val="18"/>
        </w:rPr>
      </w:pP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接下来的一周还是需要继续</w:t>
      </w:r>
      <w:r w:rsidRPr="008A43A8">
        <w:rPr>
          <w:rFonts w:ascii="Calibri" w:eastAsia="微软雅黑" w:hAnsi="Calibri" w:cs="Calibri"/>
          <w:kern w:val="0"/>
          <w:sz w:val="18"/>
          <w:szCs w:val="18"/>
        </w:rPr>
        <w:t>UVM</w:t>
      </w: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的知识</w:t>
      </w:r>
      <w:r w:rsidR="003666BB">
        <w:rPr>
          <w:rFonts w:ascii="微软雅黑" w:eastAsia="微软雅黑" w:hAnsi="微软雅黑" w:cs="Calibri" w:hint="eastAsia"/>
          <w:kern w:val="0"/>
          <w:sz w:val="18"/>
          <w:szCs w:val="18"/>
        </w:rPr>
        <w:t>，阅读IEEE</w:t>
      </w:r>
      <w:r w:rsidR="003666BB">
        <w:rPr>
          <w:rFonts w:ascii="微软雅黑" w:eastAsia="微软雅黑" w:hAnsi="微软雅黑" w:cs="Calibri"/>
          <w:kern w:val="0"/>
          <w:sz w:val="18"/>
          <w:szCs w:val="18"/>
        </w:rPr>
        <w:t xml:space="preserve"> </w:t>
      </w:r>
      <w:r w:rsidR="000A7AB8">
        <w:rPr>
          <w:rFonts w:ascii="微软雅黑" w:eastAsia="微软雅黑" w:hAnsi="微软雅黑" w:cs="Calibri" w:hint="eastAsia"/>
          <w:kern w:val="0"/>
          <w:sz w:val="18"/>
          <w:szCs w:val="18"/>
        </w:rPr>
        <w:t>S</w:t>
      </w:r>
      <w:r w:rsidR="003666BB">
        <w:rPr>
          <w:rFonts w:ascii="微软雅黑" w:eastAsia="微软雅黑" w:hAnsi="微软雅黑" w:cs="Calibri" w:hint="eastAsia"/>
          <w:kern w:val="0"/>
          <w:sz w:val="18"/>
          <w:szCs w:val="18"/>
        </w:rPr>
        <w:t>td</w:t>
      </w:r>
      <w:r w:rsidR="003666BB">
        <w:rPr>
          <w:rFonts w:ascii="微软雅黑" w:eastAsia="微软雅黑" w:hAnsi="微软雅黑" w:cs="Calibri"/>
          <w:kern w:val="0"/>
          <w:sz w:val="18"/>
          <w:szCs w:val="18"/>
        </w:rPr>
        <w:t xml:space="preserve"> </w:t>
      </w:r>
      <w:r w:rsidR="003666BB">
        <w:rPr>
          <w:rFonts w:ascii="微软雅黑" w:eastAsia="微软雅黑" w:hAnsi="微软雅黑" w:cs="Calibri" w:hint="eastAsia"/>
          <w:kern w:val="0"/>
          <w:sz w:val="18"/>
          <w:szCs w:val="18"/>
        </w:rPr>
        <w:t>1800.2</w:t>
      </w:r>
      <w:r w:rsidR="003666BB">
        <w:rPr>
          <w:rFonts w:ascii="微软雅黑" w:eastAsia="微软雅黑" w:hAnsi="微软雅黑" w:cs="Calibri"/>
          <w:kern w:val="0"/>
          <w:sz w:val="18"/>
          <w:szCs w:val="18"/>
        </w:rPr>
        <w:t xml:space="preserve"> </w:t>
      </w:r>
      <w:r w:rsidR="003666BB">
        <w:rPr>
          <w:rFonts w:ascii="微软雅黑" w:eastAsia="微软雅黑" w:hAnsi="微软雅黑" w:cs="Calibri" w:hint="eastAsia"/>
          <w:kern w:val="0"/>
          <w:sz w:val="18"/>
          <w:szCs w:val="18"/>
        </w:rPr>
        <w:t>标准</w:t>
      </w:r>
      <w:r w:rsidRPr="008A43A8">
        <w:rPr>
          <w:rFonts w:ascii="微软雅黑" w:eastAsia="微软雅黑" w:hAnsi="微软雅黑" w:cs="Calibri" w:hint="eastAsia"/>
          <w:kern w:val="0"/>
          <w:sz w:val="18"/>
          <w:szCs w:val="18"/>
        </w:rPr>
        <w:t>。</w:t>
      </w:r>
    </w:p>
    <w:p w14:paraId="6B5273B8" w14:textId="77777777" w:rsidR="001046EC" w:rsidRPr="001046EC" w:rsidRDefault="001046EC" w:rsidP="001046EC">
      <w:pPr>
        <w:widowControl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</w:p>
    <w:p w14:paraId="56687725" w14:textId="77777777" w:rsidR="00B677A8" w:rsidRDefault="00B677A8"/>
    <w:sectPr w:rsidR="00B6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5600"/>
    <w:multiLevelType w:val="multilevel"/>
    <w:tmpl w:val="2B6C4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5E1"/>
    <w:multiLevelType w:val="multilevel"/>
    <w:tmpl w:val="820E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F181B"/>
    <w:multiLevelType w:val="multilevel"/>
    <w:tmpl w:val="FD12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/>
    <w:lvlOverride w:ilvl="1">
      <w:startOverride w:val="1"/>
    </w:lvlOverride>
  </w:num>
  <w:num w:numId="6">
    <w:abstractNumId w:val="1"/>
    <w:lvlOverride w:ilvl="0">
      <w:startOverride w:val="3"/>
    </w:lvlOverride>
  </w:num>
  <w:num w:numId="7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87"/>
    <w:rsid w:val="000A7AB8"/>
    <w:rsid w:val="001046EC"/>
    <w:rsid w:val="00131656"/>
    <w:rsid w:val="003666BB"/>
    <w:rsid w:val="008A43A8"/>
    <w:rsid w:val="00AF6B87"/>
    <w:rsid w:val="00B677A8"/>
    <w:rsid w:val="00F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1E7"/>
  <w15:chartTrackingRefBased/>
  <w15:docId w15:val="{1CB3E5CD-8528-4BD7-8EF4-2F26F40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4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建</dc:creator>
  <cp:keywords/>
  <dc:description/>
  <cp:lastModifiedBy>卢 建</cp:lastModifiedBy>
  <cp:revision>6</cp:revision>
  <dcterms:created xsi:type="dcterms:W3CDTF">2020-09-18T03:33:00Z</dcterms:created>
  <dcterms:modified xsi:type="dcterms:W3CDTF">2020-09-18T05:14:00Z</dcterms:modified>
</cp:coreProperties>
</file>