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第一：创建spring boot 工程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父工程中可以继承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spring-boot-starter-parent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其他所有的spring boot组件多可以默认为与它一致的版本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drawing>
          <wp:inline distT="0" distB="0" distL="114300" distR="114300">
            <wp:extent cx="4038600" cy="800100"/>
            <wp:effectExtent l="0" t="0" r="0" b="0"/>
            <wp:docPr id="2" name="图片 2" descr="2018-02-08_16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2-08_1633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drawing>
          <wp:inline distT="0" distB="0" distL="114300" distR="114300">
            <wp:extent cx="3644900" cy="1270000"/>
            <wp:effectExtent l="0" t="0" r="0" b="0"/>
            <wp:docPr id="3" name="图片 3" descr="2018-02-08_16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2-08_1647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第二：rabbitmq需要依赖的包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0000" cy="584200"/>
            <wp:effectExtent l="0" t="0" r="0" b="0"/>
            <wp:docPr id="4" name="图片 4" descr="2018-02-08_16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2-08_1646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第三：rabbit两个关键类</w:t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org.springframework.amqp.rabbit.connection.CachingConnectionFactory</w:t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org.springframework.amqp.rabbit.core.RabbitTemplate</w:t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  <w:t>CashingConnectionFactory读取配置文件，负责创建队列，并且程序启动时自动注入到spring容器，可以直接用，它加载时读取mq的连接信息，如果配置文件中没有或格式不对，默认连接本地mq服务</w:t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  <w:drawing>
          <wp:inline distT="0" distB="0" distL="114300" distR="114300">
            <wp:extent cx="1682750" cy="679450"/>
            <wp:effectExtent l="0" t="0" r="6350" b="6350"/>
            <wp:docPr id="5" name="图片 5" descr="2018-02-08_16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2-08_1653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  <w:t>Rabbitmq 和host的写法固定，此处理论可以只配置host，port和用户名密码它会取默认值</w:t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  <w:t>创建交换机和队列必须用连接对象，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RabbitTemplate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在程序启动时也自动注入到了容器中，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CachingConnectionFactory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是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RabbitTemplate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的依赖</w:t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对于多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mq的情况：由于只能默认读取一个，所以要认为处理，通过value（）从配置文件中读取到配置信息，生成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CachingConnectionFactory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和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RabbitTemplate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，由于是人为读取配置信息，所以配置文件中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mq的写法可以自定义，怎么配置，就怎么读取</w:t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drawing>
          <wp:inline distT="0" distB="0" distL="114300" distR="114300">
            <wp:extent cx="1885950" cy="1968500"/>
            <wp:effectExtent l="0" t="0" r="6350" b="0"/>
            <wp:docPr id="1" name="图片 1" descr="2018-02-08_17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2-08_1703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监听对象的handler对象问题：</w:t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drawing>
          <wp:inline distT="0" distB="0" distL="114300" distR="114300">
            <wp:extent cx="4908550" cy="615950"/>
            <wp:effectExtent l="0" t="0" r="6350" b="6350"/>
            <wp:docPr id="7" name="图片 7" descr="2018-02-08_17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2-08_1701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方法名必须为handleMessage,否则报错，注解可加可不加</w:t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  <w:drawing>
          <wp:inline distT="0" distB="0" distL="114300" distR="114300">
            <wp:extent cx="5272405" cy="2950210"/>
            <wp:effectExtent l="0" t="0" r="10795" b="8890"/>
            <wp:docPr id="6" name="图片 6" descr="2018-02-08_16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2-08_1651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F31A2"/>
    <w:rsid w:val="48E254DB"/>
    <w:rsid w:val="6318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weijj</dc:creator>
  <cp:lastModifiedBy>weijj</cp:lastModifiedBy>
  <dcterms:modified xsi:type="dcterms:W3CDTF">2018-02-08T09:04:10Z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