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color w:val="000000"/>
          <w:sz w:val="48"/>
        </w:rPr>
        <w:t>造物工程台产品需求文档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文档定位：</w:t>
      </w:r>
      <w:r>
        <w:rPr>
          <w:rFonts w:ascii="Microsoft YaHei" w:hAnsi="Microsoft YaHei" w:eastAsia="Microsoft YaHei"/>
          <w:b w:val="0"/>
          <w:color w:val="000000"/>
          <w:sz w:val="21"/>
        </w:rPr>
        <w:t>面向 3D 打印产品开发与量产准备的多模态人工智能工程工作台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件是后续产品、算法、前端、后端、CAD、切片和制造团队共同使用的需求基线。它定义要解决的问题、必须交付的结果、允许自动化的范围、必须保留人工责任的环节，以及每个阶段的验收证据。任何新功能都应先回答：它是否让团队更接近这份文档定义的最终结果；如果不能，就不应进入核心版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文档版本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v1.0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适用对象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产品负责人、AI/算法、全栈、CAD/几何、切片、制造和质量团队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当前基线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造物工程台 v33，已部署私有 Sites，主要代码为 TypeScript，CAD 执行器为 Python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核心目标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在保证工程质量与可追溯性的前提下，把产品开发团队的重复性投入降低约 90%；该数字必须通过真实项目测量，不得预先当作承诺</w:t>
            </w:r>
          </w:p>
        </w:tc>
      </w:tr>
    </w:tbl>
    <w:p>
      <w:pPr>
        <w:spacing w:after="40"/>
      </w:pPr>
    </w:p>
    <w:p>
      <w:pPr>
        <w:pStyle w:val="SmallNote"/>
      </w:pPr>
      <w:r>
        <w:rPr>
          <w:rFonts w:ascii="Microsoft YaHei" w:hAnsi="Microsoft YaHei" w:eastAsia="Microsoft YaHei"/>
          <w:b w:val="0"/>
          <w:color w:val="555555"/>
          <w:sz w:val="18"/>
        </w:rPr>
        <w:t>阅读方法：先看第 1–4 章理解方向，再用第 5–12 章做开发拆解，最后用第 13–16 章做验收和防跑偏检查。</w:t>
      </w:r>
    </w:p>
    <w:p>
      <w:pPr>
        <w:pStyle w:val="Heading1"/>
      </w:pPr>
      <w:r>
        <w:t>1 最终目的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建设一个以 AI 为交互入口、以工程规则和制造数据为约束、以 CAD/几何/切片执行器为工具、以版本和证据为底座的 3D 打印产品开发平台。用户可以用自然语言、图片或 3D 文件描述产品，并填写目标工艺和应用场景；系统负责整理需求、提出多个方案、调用 3D 生成能力、组织工程处理、输出可编辑的制造工程资料，并允许用户继续用文字、图片或新的 3D 文件进行修改。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最终交付物不是一张效果图，也不是一个未经验证的 GLB，而是一份能够被工程师接手、修改、检查、切片、打印和继续迭代的工程项目包。系统必须把 AI 的推测、供应商生成结果、确定性几何检查、机器材料参考参数和实机验证分开标记，不能把其中任何一项伪装成另一项。</w:t>
      </w:r>
    </w:p>
    <w:p>
      <w:pPr>
        <w:pStyle w:val="Heading1"/>
      </w:pPr>
      <w:r>
        <w:t>2 要解决的业务问题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现状问题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目标改善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方案想法分散在聊天、图片、文件夹和个人经验中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以项目为单位保存需求、参考资料、模型、版本和决策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文字到图片、图片到 3D、分件、CAD、切片之间反复搬运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由 AI 工作流编排工具调用各个专业执行器，并保存输入输出指纹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量产约束往往在后期才发现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在生成前就填写数量、尺寸、工艺、设备、材料、连接、公差和包装要求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重复改版需要重新解释结构和历史决定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通过版本、零件身份、接口锁定和多模态上下文继续编辑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效果图被误认为可生产模型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设置数字检查、制造检查、物理验证和责任签核的独立状态</w:t>
            </w:r>
          </w:p>
        </w:tc>
      </w:tr>
    </w:tbl>
    <w:p>
      <w:pPr>
        <w:spacing w:after="40"/>
      </w:pPr>
    </w:p>
    <w:p>
      <w:pPr>
        <w:pStyle w:val="Heading1"/>
      </w:pPr>
      <w:r>
        <w:t>3 产品定义和边界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产品定义为一个工程工作台，而不是单一模型生成器。它应当在同一项目中承载创意探索、工程约束、模型处理、制造准备和迭代记录。系统可以自动化重复工作，但工程责任必须通过状态、证据和人工确认显式保留。</w:t>
      </w:r>
    </w:p>
    <w:p>
      <w:pPr>
        <w:pStyle w:val="Heading2"/>
      </w:pPr>
      <w:r>
        <w:t>3.1 必须做到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同一项目支持文字、单图、多视图和带贴图或不带贴图的 3D 文件输入。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支持文创/玩具和工业产品两类场景，并允许填写量产数量、目标尺寸、连接方式、拆件策略、底座、外壳、颜色和贴图要求。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从输入生成可追踪的方案任务和候选资产，而不是只返回一个临时下载链接。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每个零件能够绑定目标工艺、设备、材料和参数参考，并在导出包中形成 BOM 与制造计划。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任何二次编辑都基于一个明确的项目版本，旧检查在输入改变后自动失效。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对供应商返回不确定、网络超时、下载链接失效和文件格式异常提供可恢复路径，避免重复扣费和重复生成。</w:t>
      </w:r>
    </w:p>
    <w:p>
      <w:pPr>
        <w:pStyle w:val="Heading2"/>
      </w:pPr>
      <w:r>
        <w:t>3.2 当前不应承诺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AI 单独判断模型已经满足工业强度、寿命、法规或量产放行。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公开资料中的层厚、温度、速度或曝光值可以直接当作某台机器和某批材料的生产参数。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Tripo 的生成分件可以替代 Magics、CAD 工程师或装配验证。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系统目前已经自动控制拓竹、联泰、SLS、SLM/LPBF、MJF 或材料喷射机器。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通过数字网格检查就等于完成首件打印和实物验收。</w:t>
      </w:r>
    </w:p>
    <w:p>
      <w:pPr>
        <w:pStyle w:val="Heading1"/>
      </w:pPr>
      <w:r>
        <w:t>4 用户和典型使用场景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必须看到的结果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产品/创意人员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描述想法、上传参考图、比较方案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方案图、候选 3D、差异说明、可继续编辑的项目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3D 建模工程师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修正结构、拆件、建立接口和 CAD 参数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总装模型、分件模型、接口尺寸、CAD 参数源和版本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工艺工程师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选择机器材料、制定排版和切片策略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每件工艺绑定、参数快照、切片任务、待验证项目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制造人员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执行 CAD/切片/打印并回传结果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任务包、真实作业文件、执行日志、首件和测量记录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项目负责人/质量人员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审核结果、追溯责任和放行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版本比较、检查证据、审批状态、异常和返工记录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典型项目可以是一个文创摆件，也可以是一个工业支架。两者共用项目、版本、资产和证据框架，但强度、尺寸、公差、材料和验证要求必须由场景决定，不能用文创项目的标准替代工业项目。</w:t>
      </w:r>
    </w:p>
    <w:p>
      <w:pPr>
        <w:pStyle w:val="Heading1"/>
      </w:pPr>
      <w:r>
        <w:t>5 端到端业务流程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建立项目：填写产品名称、用途、目标尺寸、计划数量、连接方式、优先工艺和备注。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输入素材：输入文字，上传单张图或 2–4 张标记了 front/back/left/right 的多视图，或者上传现有 3D 文件。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AI 需求整理：抽取功能、外观、结构、尺寸、工艺和未确定问题；AI 先给出结构化建议，不直接覆盖用户模型。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概念探索：可生成 2D 设定图或多个外观方向；设定图只能作为设计参考。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3D 方案：调用 Tripo 生成或导入模型，保存供应商任务编号、请求参数和项目版本。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候选回收：下载并保存模型或图片到私有对象存储，检查格式、尺寸、贴图和文件指纹。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工程处理：预览候选，确定真实尺寸，进行分件、连接、底座、外壳、CAD 参数化和接口锁定。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工艺准备：为每个零件绑定工艺、设备、材料和公开参考参数；生成制造计划和切片任务。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验证与放行：完成几何、拓扑、壁厚、支撑、装配、切片、首件、尺寸、强度和质量签核。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二次编辑：用文字、图片或新的 3D 文件提出修改；系统创建新版本并保留旧版本和旧证据。</w:t>
      </w:r>
    </w:p>
    <w:p>
      <w:pPr>
        <w:pStyle w:val="Heading1"/>
      </w:pPr>
      <w:r>
        <w:t>6 输入需求</w:t>
      </w:r>
    </w:p>
    <w:p>
      <w:pPr>
        <w:pStyle w:val="Heading2"/>
      </w:pPr>
      <w:r>
        <w:t>6.1 文字输入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文字输入必须支持自然语言，但服务器要把它转换为结构化项目字段和任务请求。原文要保留；抽取结果要能看到来源和待确认项。系统不能默认为用户没有说过的尺寸、材料、法规或强度等级。</w:t>
      </w:r>
    </w:p>
    <w:p>
      <w:pPr>
        <w:pStyle w:val="Heading2"/>
      </w:pPr>
      <w:r>
        <w:t>6.2 图片输入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支持 PNG、JPEG、WebP。单图用于图片到 3D；2–4 张图片用于多视图，必须标记唯一的 front，其他视角可为 back、left、right。上传在服务端完成，浏览器不接触 Tripo 密钥。</w:t>
      </w:r>
    </w:p>
    <w:p>
      <w:pPr>
        <w:pStyle w:val="Heading2"/>
      </w:pPr>
      <w:r>
        <w:t>6.3 3D 输入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Tripo 受控导入支持 GLB、GLTF、FBX、OBJ、STL 和 3MF；平台对模型大小、扩展名、外部资源、贴图嵌入和文件指纹进行校验。浏览器预览器的解码能力可以小于供应商导入能力，导入任务不能因此丢失。带贴图模型优先使用嵌入贴图的 GLB；外部 OBJ 材料和外链资源必须明确拒绝或转为待处理。</w:t>
      </w:r>
    </w:p>
    <w:p>
      <w:pPr>
        <w:pStyle w:val="Heading2"/>
      </w:pPr>
      <w:r>
        <w:t>6.4 应用场景预设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domain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工业产品或文创/玩具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影响风险等级、默认检查和提示词，不代替工程判断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targetSize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目标最长尺寸，毫米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生成和导入后必须再次按模型包围盒确认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quantity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计划数量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用于工艺和成本规划，不能推导真实产能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preferredProcess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FDM、SLA、LCD、SLS、LPBF/SLM、MJF、MJT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只作为优先意图，最终以每件绑定为准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partStrategy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一体、拆件或自动判断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自动判断必须输出理由和待确认项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assembly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一体、螺丝、胶接、卡扣、磁吸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接口和装配校验必须独立记录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machine/material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目标设备和材料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优先从版本化资料库选择，手写值要标记未校准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toleranceMm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接口和装配目标公差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不能被 AI 静默修改；修改后检查过期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needsBase/Enclosure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底座或亚克力外壳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应进入 BOM 和制造计划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colorCount/texture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颜色数量和贴图要求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必须区分模型贴图、逐面颜色和多材料打印</w:t>
            </w:r>
          </w:p>
        </w:tc>
      </w:tr>
    </w:tbl>
    <w:p>
      <w:pPr>
        <w:spacing w:after="40"/>
      </w:pPr>
    </w:p>
    <w:p>
      <w:pPr>
        <w:pStyle w:val="Heading1"/>
      </w:pPr>
      <w:r>
        <w:t>7 AI 工作流需求</w:t>
      </w:r>
    </w:p>
    <w:p>
      <w:pPr>
        <w:pStyle w:val="Heading2"/>
      </w:pPr>
      <w:r>
        <w:t>7.1 AI 角色分工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AI/模块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不能越权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多模态工程主控模型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理解文字/图片/模型元数据，抽取需求，提出方案和工程动作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不能声称凭元数据读完整网格；不能绕过校验直接改几何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概念图模型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生成设定图、外观方向和变体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不能保证尺寸、结构、强度或可打印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Tripo 3D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文字/图片/多视图到 3D，模型导入和部分后处理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不能替代 CAD、Magics、切片和实机验证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确定性几何模块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测量、格式检查、拓扑检查、指纹和导出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不能把有限检查扩大解释为完整制造合格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CAD 执行器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按受控参数生成实体、STEP/BREP/STL 和装配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不能执行任意用户代码或未知命令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切片执行器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调用指定版本切片软件并回传任务结果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不能把文件对应证明成 G-code 来源或首件合格</w:t>
            </w:r>
          </w:p>
        </w:tc>
      </w:tr>
    </w:tbl>
    <w:p>
      <w:pPr>
        <w:spacing w:after="40"/>
      </w:pPr>
    </w:p>
    <w:p>
      <w:pPr>
        <w:pStyle w:val="Heading2"/>
      </w:pPr>
      <w:r>
        <w:t>7.2 AI 输出格式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AI 规划必须返回结构化 JSON，而不是只返回自然语言。至少包括 summary、questions、proposedActions、evidenceUsed、requiredChecks、riskFlags 和 confidence。每个 proposedAction 必须带 action 类型、目标 partId 或 designId、参数和理由。服务器只允许白名单动作，例如修改参数化底座尺寸、修改 CAD 参数或推荐工艺；未知动作必须拒绝。</w:t>
      </w:r>
    </w:p>
    <w:p>
      <w:pPr>
        <w:pStyle w:val="Heading2"/>
      </w:pPr>
      <w:r>
        <w:t>7.3 垂类 AI 的建设原则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阶段不应从零训练一个大模型。先用通用多模态模型加结构化工程知识库、内部成功项目检索、规则校验和人工反馈闭环。只有在积累了足够的真实项目、失败案例、参数版本和审核结果后，才评估微调或专用模型。内部数据应分成需求、几何、工艺、切片、实测和决策六类，并保留项目版本和数据许可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数据建设的第一步是把已有成功项目整理成可检索、可对比、可复盘的样本，而不是直接拿文件夹训练模型。每个样本至少要关联原始需求、方案候选、总装和分件模型、机器/材料/切片版本、检查结果、首件测量、返工原因和最终决策。内部检索库与离线评测集必须分开；评测集不得因为模型调试反复泄漏。</w:t>
      </w:r>
    </w:p>
    <w:p>
      <w:pPr>
        <w:pStyle w:val="Heading1"/>
      </w:pPr>
      <w:r>
        <w:t>8 Tripo API 需求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Tripo 必须通过服务端调用，API Key 只能放在 Sites 生产 Secret。每个任务保存原始输入、项目版本、请求字段、区域、模型版本和 clientRequestId。任务超时或供应商已受理但本地未确认时进入 submission_unknown；重试原编号不得再次生成，只有明确“另起方案”才能新建任务。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当前接口/机制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验收要求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文字到 3D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/generation/text-to-model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请求参数、任务编号、状态、模型文件和回收记录完整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图片到 3D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/files + /generation/image-to-model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参考图归属、大小、格式和上传指纹可追溯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多视图到 3D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/files + /generation/multiview-to-model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2–4 张、唯一 front、视角映射准确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设定图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/generation/text-to-image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图片保存为私有资产，可重新挂为 3D 参考图；不宣称可制造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模型导入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/files 或 /files/presign + /models/import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大文件和 3MF 走预签名流程，失败不重复提交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后处理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segment、complete、decimate、texture、convert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保留源 task_id 和后处理关系，结果继续回收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任务管理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GET /tasks/{task_id}、POST /tasks/list、Webhook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批量失败可逐项回退，Webhook 不执行长耗时下载</w:t>
            </w:r>
          </w:p>
        </w:tc>
      </w:tr>
    </w:tbl>
    <w:p>
      <w:pPr>
        <w:spacing w:after="40"/>
      </w:pPr>
    </w:p>
    <w:p>
      <w:pPr>
        <w:pStyle w:val="SmallNote"/>
      </w:pPr>
      <w:r>
        <w:rPr>
          <w:rFonts w:ascii="Microsoft YaHei" w:hAnsi="Microsoft YaHei" w:eastAsia="Microsoft YaHei"/>
          <w:b w:val="0"/>
          <w:color w:val="555555"/>
          <w:sz w:val="18"/>
        </w:rPr>
        <w:t>Tripo 官方任务生命周期、文件上传和 Webhook 文档应作为接口变更的第一手依据，而不是依赖旧代码中的假设。</w:t>
      </w:r>
    </w:p>
    <w:p>
      <w:pPr>
        <w:pStyle w:val="Heading1"/>
      </w:pPr>
      <w:r>
        <w:t>9 几何、CAD 和分件需求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候选模型加入项目前，必须指定实际最长尺寸并保存缩放记录；原始尺寸和工程尺寸都要可追踪。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总装模型和零件模型要共享稳定的 partId；零件重命名不能破坏任务、检查和 BOM 关联。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接口孔、轴、卡扣、螺丝柱和连接面必须有锁定状态；AI 改版默认不得静默修改锁定接口。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参数化 CAD 设计要保存参数、特征步骤、输入版本、执行器版本和结果文件指纹。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Magics 或其他正式分件器接入后，必须保存原模型、分件规则、人工修正、分件结果和工程师确认。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几何检查至少区分：格式可读、尺寸、三角拓扑、自交/水密、壁厚、支撑、装配干涉和强度；未执行项目不能显示为通过。</w:t>
      </w:r>
    </w:p>
    <w:p>
      <w:pPr>
        <w:pStyle w:val="Heading1"/>
      </w:pPr>
      <w:r>
        <w:t>10 工艺和切片需求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工艺资料库是工程决策的输入，不是生产许可。每个 profile 必须有机器、材料、来源、版本、适用范围、未知参数和校准状态。每个零件可以绑定一个 profile，并在制造计划中记录实际绑定快照。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工艺族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必须记录的维度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量产前必须补齐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FDM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喷嘴、层高、壁数、填充、温度、速度、支撑、排版、颜色槽位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材料批次、设备校准、切片工程、G-code 来源和首件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SLA/LCD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层厚、曝光/扫描、支撑、清洗固化、材料版本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树脂料号、曝光工艺包、支撑和变形实测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SLS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粉末、层厚、温度、排版、粉末刷新和后处理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设备/粉末批次、热管理和尺寸实测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SLM/LPBF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金属粉末、层厚、激光和扫描策略、支撑、热处理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完整参数包、粉末复用、热处理和检测规范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MJF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材料、层厚、融合剂/细化剂、冷却和后处理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机台配置、材料批次、颜色和尺寸实测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MJT/材料喷射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材料通道、层厚、颜色、支撑、固化和后处理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材料槽位、颜色一致性、支撑去除和耐久性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第一阶段可继续使用固定的 Bambu 离线试切任务包，但界面和导出必须明确它是参考试切，不是自动打印，也不是生产放行。后续应以适配器方式接入 Bambu、Orca、联泰及其他原厂切片器。</w:t>
      </w:r>
    </w:p>
    <w:p>
      <w:pPr>
        <w:pStyle w:val="Heading1"/>
      </w:pPr>
      <w:r>
        <w:t>11 工程交付物需求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用户点击工程导出时，系统应生成一个结构清晰、可移交和可复核的 ZIP 包。每个文件必须能追溯到项目 ID、版本、零件 ID 或任务 ID。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路径/文件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assembly/assembly.glb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总装预览模型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零件位置、单位和方向有说明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parts/*.stl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每个零件的毫米 STL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文件指纹、零件 ID 和当前几何对应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project.json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项目字段、零件、版本、参考图和 CAD 参数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可重新载入并继续编辑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BOM.csv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零件、数量、工艺、机器、材料和状态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没有未绑定零件被隐藏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manufacturing/plan.json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按零件的制造计划、参数、未知项和待验收项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标记 reference_only 或 validated 状态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manufacturing/parameter-sheet.csv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参数表和公开来源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值、单位、来源和适用性说明齐全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checks.json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数字、制造和物理检查记录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stale、not_run、failed、passed 清晰可见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cad-native/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STEP/BREP/STL、装配和 CAD 报告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关联 CAD 任务和执行器版本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README.txt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单位、边界、验证责任和使用说明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禁止把草稿误作生产批准文件</w:t>
            </w:r>
          </w:p>
        </w:tc>
      </w:tr>
    </w:tbl>
    <w:p>
      <w:pPr>
        <w:spacing w:after="40"/>
      </w:pPr>
    </w:p>
    <w:p>
      <w:pPr>
        <w:pStyle w:val="Heading1"/>
      </w:pPr>
      <w:r>
        <w:t>12 多模态二次编辑需求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二次编辑是核心能力，不应被设计成重新开始一个项目。用户可以输入新的文字、上传修改示意图、上传新的参考图或新的 3D 模型，并指定修改对象。系统必须先识别修改意图、影响的零件和受保护接口，再生成建议。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编辑类型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系统行为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文字修改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底座直径增加到 120 mm，孔径不变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生成结构化动作，校验参数范围，保存新版本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图片修改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上传新的外观草图，保留现有安装孔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把图片作为参考输入，与锁定接口和项目版本关联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3D 修改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上传新外壳模型替换候选外壳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验证文件归属、单位、尺寸和零件映射，保留旧资产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工艺修改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从 PLA 改为 PETG 或 SLA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重新检查构建空间、壁厚、支撑、切片和材料假设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AI 只能提出和解释修改。只有通过白名单的参数化动作、CAD 执行器或人工确认的资产替换，才能改变项目模型。任何修改都会使受影响的旧检查变为 stale。</w:t>
      </w:r>
    </w:p>
    <w:p>
      <w:pPr>
        <w:pStyle w:val="Heading1"/>
      </w:pPr>
      <w:r>
        <w:t>13 数据、版本和安全需求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D1 保存项目、版本、任务、检查、设备和执行记录；R2 保存模型、图片、CAD 和切片文件。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所有写操作绑定当前登录用户；资产、模型和任务必须验证归属，禁止跨项目引用。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API Key、Webhook Secret、AI Key 只能存于运行时 Secret；源码包、日志和浏览器状态不能包含密钥。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供应商临时下载地址只允许 HTTPS 和已确认的主机白名单；下载不跟随不受控跳转。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每个候选、导出文件、执行结果和切片结果都有 SHA-256 或等效内容指纹。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版本不可静默覆盖；保存新草稿、应用 AI 修改、附加候选和恢复历史都要产生新版本或明确任务记录。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本机 CAD 执行器使用设备身份、配对码、租约、回执和签名；软件签名不能被解释为硬件可信或产品合格。</w:t>
      </w:r>
    </w:p>
    <w:p>
      <w:pPr>
        <w:pStyle w:val="Heading1"/>
      </w:pPr>
      <w:r>
        <w:t>14 非功能需求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可靠性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网络超时、供应商结果未知、回收失败和执行器断线都能恢复原任务，不重复生成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可追溯性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能够从导出 STL 反查项目版本、零件、任务、工艺和检查记录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安全性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服务端验证身份、来源、版本、资产归属和输入大小；不执行任意代码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可编辑性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项目、参数、参考图、模型资产和制造计划都能被后续版本继续使用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可解释性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建议要显示理由、引用的证据、风险和待确认问题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性能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浏览器检查必须有资源上限和明确拒绝；大模型和大文件任务走异步队列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兼容性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前端适配现代浏览器；本机 CAD 执行器先锁定 Windows x64/Python 3.12，其他平台另行验证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可运营性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记录 API 用量、任务耗时、失败原因、返工次数和人工节省测量</w:t>
            </w:r>
          </w:p>
        </w:tc>
      </w:tr>
    </w:tbl>
    <w:p>
      <w:pPr>
        <w:spacing w:after="40"/>
      </w:pPr>
    </w:p>
    <w:p>
      <w:pPr>
        <w:pStyle w:val="Heading1"/>
      </w:pPr>
      <w:r>
        <w:t>15 分阶段开发路线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必须交付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 基线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稳定项目、版本、资产和 Tripo 任务骨架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多模态输入、幂等、回收、基础导出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真实账户小样本端到端通过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P1 工程可用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让工程师能处理候选并交接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制造计划、BOM、CAD 参数、接口锁定、人工审核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 个真实项目可追溯完成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P2 工艺适配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减少切片和设备搬运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Bambu/Orca/联泰适配器、结果回传、设备材料版本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每种设备完成校准样件和结果对应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P3 生产验证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形成首件和量产质量闭环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壁厚/支撑/变形/强度、首件、测量、签核、异常闭环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质量团队批准放行流程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P4 垂类智能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用内部数据提升方案和工艺建议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项目知识库、失败案例检索、反馈学习、离线评测集</w:t>
            </w:r>
          </w:p>
        </w:tc>
        <w:tc>
          <w:tcPr>
            <w:tcW w:type="dxa" w:w="24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在保留质量门槛下达到目标效率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每阶段都要先完成真实项目的可测验收，再扩展自动化范围。不能因为 AI 生成效果看起来好，就跳过工程和物理验证阶段。</w:t>
      </w:r>
    </w:p>
    <w:p>
      <w:pPr>
        <w:pStyle w:val="Heading1"/>
      </w:pPr>
      <w:r>
        <w:t>16 成功指标和 90% 节省目标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90% 是业务目标，不是技术事实。测量必须以团队真实项目为样本，先记录当前基线，再比较使用平台后的同类项目。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建议门槛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开发人工小时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从需求冻结到工程包可交接的人员小时，按阶段记录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成熟阶段中位数降低 90% 作为目标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首轮可用率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第一次候选无需大幅返工即可进入工程处理的比例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逐阶段提升，不能以降低检查标准换取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返工率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因尺寸、接口、工艺或打印失败产生的返工次数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不应因自动化而上升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首件通过率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一次打印并通过尺寸/功能验收的比例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工业项目必须单独统计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任务重复率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同一意图因网络或操作产生重复供应商任务的比例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目标为 0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追溯完整率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导出文件可以反查项目、版本、零件、任务和参数的比例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目标为 100%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统计时要分别报告 AI 等待时间、工程师审核时间、机器执行时间和实际打印时间，不能把机器等待误算成人工节省。至少使用 30 个覆盖文创和工业、不同尺寸和不同工艺的真实项目做第一轮评估。</w:t>
      </w:r>
    </w:p>
    <w:p>
      <w:pPr>
        <w:pStyle w:val="Heading1"/>
      </w:pPr>
      <w:r>
        <w:t>17 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验收编号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必须证明的事情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AC-01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文字、图片、多视图和 3D 文件都能进入正确流程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真实文件端到端任务记录和结果资产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AC-02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任务重试不会重复生成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并发、超时、submission_unknown 和供应商回执测试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AC-03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模型和设定图被保存并校验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R2 对象、文件指纹、格式/GLB 检查结果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AC-04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项目修改可追溯且旧检查失效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版本 diff、stale 检查和恢复历史记录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AC-05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每个零件可绑定工艺和制造计划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BOM、plan.json、parameter-sheet.csv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AC-06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建议不会越权修改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白名单动作、拒绝未知动作、接口锁定测试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AC-07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本机 CAD 结果可验证来源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设备登记、租约、回执签名和结果指纹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AC-08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切片结果不会被误标为生产合格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结果状态、限制说明和人工签核字段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AC-09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真实 Tripo 账号可联调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连接诊断、余额、任务、回收、Webhook 和用量记录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AC-10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效率目标可量化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基线表、试点项目样本、人工小时和质量指标报告</w:t>
            </w:r>
          </w:p>
        </w:tc>
      </w:tr>
    </w:tbl>
    <w:p>
      <w:pPr>
        <w:spacing w:after="40"/>
      </w:pPr>
    </w:p>
    <w:p>
      <w:pPr>
        <w:pStyle w:val="Heading1"/>
      </w:pPr>
      <w:r>
        <w:t>18 防止项目跑偏的决策规则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先保证工程包可追溯，再追求生成效果；没有版本、零件身份和输入指纹的功能不能进入核心链路。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先做工具编排和知识检索，再考虑训练垂类大模型；没有高质量标注和评测集就不从零训练。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任何显示“生产可用”的字段必须有对应机器、材料、版本和实测证据；公开参考值只能显示为 reference_only。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AI 生成结果必须进入检查门，不得直接覆盖用户正在编辑的几何。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每新增一种打印工艺，都要同时新增资料库 schema、设备适配器、切片结果合同和验收样件。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每个自动化动作都要能说明失败时如何恢复、如何取消、如何审计和如何避免重复扣费。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每个版本都要回答：输入是什么、AI 做了什么、确定性工具做了什么、谁审核了什么、哪些项目仍未验证。</w:t>
      </w:r>
    </w:p>
    <w:p>
      <w:pPr>
        <w:pStyle w:val="Heading1"/>
      </w:pPr>
      <w:r>
        <w:t>19 当前系统基线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截至 v33，系统已经具备 TypeScript/React/Vinext/Cloudflare Worker 的全栈骨架、D1/R2 数据与文件存储、Tripo 服务端生成/导入/回收、设定图作为 3D 参考图、AI 规划和受限应用、版本管理、基础几何与拓扑检查、15 个工艺参考 profile、本机 CadQuery 执行器接口、Bambu 离线试切任务，以及包含制造计划的工程导出。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当前仍需真实 API Key 才能完成线上 Tripo 账户联调；Magics 正式分件、原厂切片器自动化、复杂 CAD、完整制造检查、首件和量产签核仍属于后续阶段。当前工作台应被称为“AI 辅助工程开发平台”，不能被宣传为无需工程师的自动生产系统。</w:t>
      </w:r>
    </w:p>
    <w:p>
      <w:pPr>
        <w:pStyle w:val="Heading2"/>
      </w:pPr>
      <w:r>
        <w:t>19.1 当前技术选型与职责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当前选型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在本项目中的职责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交互层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TypeScript + React + Vinext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项目表单、多模态上传、任务状态、3D/图片预览、版本和审核界面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平台运行层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Cloudflare Workers / Sites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服务端 API、鉴权、异步任务编排、Webhook 和部署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数据层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Cloudflare D1 + R2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D1 保存项目/版本/任务/检查记录；R2 保存图片、模型、CAD 和切片文件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AI 层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GPT-6 Astra 或豆包 API、设定图模型、Tripo API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需求理解、方案解释、概念图、文字/图片/多视图到 3D；输出必须受结构化合同约束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几何/CAD 层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确定性几何检查 + Python/CadQuery；Materialise Magics 作为人工/专业分件工具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测量、格式/拓扑检查、参数化 CAD、正式分件和人工修正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切片/制造层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Bambu Studio、Orca Slicer、联泰 SLA 软件及后续工艺适配器</w:t>
            </w:r>
          </w:p>
        </w:tc>
        <w:tc>
          <w:tcPr>
            <w:tcW w:type="dxa" w:w="3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生成和回收切片工程，绑定机器/材料/参数，保留实机验证证据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技术选型可以替换，但职责边界不能被替换掉：AI 负责理解和提出建议，确定性工具负责执行和检查，工程师负责确认，制造现场负责首件和量产证据。</w:t>
      </w:r>
    </w:p>
    <w:p>
      <w:pPr>
        <w:pStyle w:val="Heading1"/>
      </w:pPr>
      <w:r>
        <w:t>20 术语表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315A7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项目版本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某一时刻完整需求、零件和检查状态的冻结快照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资产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存放在 R2 的图片、模型、CAD 或切片文件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幂等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同一个请求重复发送时只产生一个供应商任务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回收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查询供应商任务并把临时结果下载保存到自己的工程资产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profile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某个机器加材料的版本化工艺参考组合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reference_only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仅供方案和评审参考，尚未经过真实校准或生产验证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stale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输入已经变化，原来的检查结果不能再代表当前模型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首件</w:t>
            </w:r>
          </w:p>
        </w:tc>
        <w:tc>
          <w:tcPr>
            <w:tcW w:type="dxa" w:w="49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before="0" w:after="4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正式批量生产前打印并测量的第一件产品</w:t>
            </w:r>
          </w:p>
        </w:tc>
      </w:tr>
    </w:tbl>
    <w:p>
      <w:pPr>
        <w:spacing w:after="40"/>
      </w:pPr>
    </w:p>
    <w:p>
      <w:pPr>
        <w:pStyle w:val="SmallNote"/>
      </w:pPr>
      <w:r>
        <w:rPr>
          <w:rFonts w:ascii="Microsoft YaHei" w:hAnsi="Microsoft YaHei" w:eastAsia="Microsoft YaHei"/>
          <w:b w:val="0"/>
          <w:color w:val="555555"/>
          <w:sz w:val="18"/>
        </w:rPr>
        <w:t>本需求文档应随版本迭代。若实现、宣传或交付要求与本文冲突，先更新需求基线并记录原因，再修改代码。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00"/>
    </w:pPr>
    <w:rPr>
      <w:rFonts w:ascii="Microsoft YaHei" w:hAnsi="Microsoft YaHei" w:eastAsia="Microsoft YaHe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