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C6339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分工：</w:t>
      </w:r>
    </w:p>
    <w:p w14:paraId="7196F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屈展池：搭建agent，组织各部分，配合文本编纂</w:t>
      </w:r>
    </w:p>
    <w:p w14:paraId="1DCFD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强竟瑶：视频拍摄制作，文本编纂，了解搭建过程</w:t>
      </w:r>
    </w:p>
    <w:p w14:paraId="608AE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朱冠睿：搭建agent，配合文本编纂</w:t>
      </w:r>
    </w:p>
    <w:p w14:paraId="03B80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朱宣健：知识图谱搭建，</w:t>
      </w:r>
      <w:r>
        <w:rPr>
          <w:rFonts w:hint="eastAsia"/>
          <w:sz w:val="24"/>
          <w:szCs w:val="32"/>
          <w:lang w:val="en-US" w:eastAsia="zh-CN"/>
        </w:rPr>
        <w:t>搭建agent</w:t>
      </w:r>
    </w:p>
    <w:p w14:paraId="3460D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刘楚月：知识图谱搭建，配合价格预测模型制作</w:t>
      </w:r>
    </w:p>
    <w:p w14:paraId="3B941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张立涵：价格预测模型制作</w:t>
      </w:r>
    </w:p>
    <w:p w14:paraId="60590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7FE53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5BAAAA4C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模块规格：</w:t>
      </w:r>
    </w:p>
    <w:p w14:paraId="5163A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TrustWise 智能硫磺定价决策系统 - 模块规格说明书</w:t>
      </w:r>
    </w:p>
    <w:p w14:paraId="49F85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一、系统概述</w:t>
      </w:r>
    </w:p>
    <w:p w14:paraId="48088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TrustWise 是一个面向化工企业的智能硫磺定价决策系统，采用三层架构设计，结合大语言模型、知识图谱和机器学习预测模型，为企业提供价格预测、采购建议和市场分析等智能决策支持。</w:t>
      </w:r>
    </w:p>
    <w:p w14:paraId="5A276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47733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二、模块架构总览</w:t>
      </w:r>
    </w:p>
    <w:p w14:paraId="070C5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4310" cy="5103495"/>
            <wp:effectExtent l="0" t="0" r="889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8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 三、核心模块详细规格</w:t>
      </w:r>
    </w:p>
    <w:p w14:paraId="7515D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3.1 表现层模块</w:t>
      </w:r>
    </w:p>
    <w:p w14:paraId="63B5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6FCFD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3.1.1 仪表盘模块 (Dashboard)</w:t>
      </w:r>
    </w:p>
    <w:p w14:paraId="2CFD9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4150" cy="230568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3.1.2 Agent决策助手模块 (Agent Chat)</w:t>
      </w:r>
    </w:p>
    <w:p w14:paraId="1DDFC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8595" cy="2804160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B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3.1.3 企业分析模块 (Enterprise)</w:t>
      </w:r>
    </w:p>
    <w:p w14:paraId="0A215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2405" cy="3847465"/>
            <wp:effectExtent l="0" t="0" r="1079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E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3.1.4 采购报告模块 (Reports)</w:t>
      </w:r>
    </w:p>
    <w:p w14:paraId="3C8BE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2405" cy="2723515"/>
            <wp:effectExtent l="0" t="0" r="1079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0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3.1.5 文档模块 (Document)</w:t>
      </w:r>
    </w:p>
    <w:p w14:paraId="1B3FE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3040" cy="1219200"/>
            <wp:effectExtent l="0" t="0" r="1016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7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3.2 业务层模块</w:t>
      </w:r>
    </w:p>
    <w:p w14:paraId="53053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106E2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3.2.1 价格预测模块</w:t>
      </w:r>
    </w:p>
    <w:p w14:paraId="64358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1135" cy="4042410"/>
            <wp:effectExtent l="0" t="0" r="1206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1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3.2.2 知识图谱模块</w:t>
      </w:r>
    </w:p>
    <w:p w14:paraId="23383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9230" cy="4925060"/>
            <wp:effectExtent l="0" t="0" r="127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0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3.2.3 供需分析模块</w:t>
      </w:r>
    </w:p>
    <w:p w14:paraId="6DF58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4886960" cy="3368040"/>
            <wp:effectExtent l="0" t="0" r="254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E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3.2.4 聊天服务模块</w:t>
      </w:r>
    </w:p>
    <w:p w14:paraId="7D495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2405" cy="3484245"/>
            <wp:effectExtent l="0" t="0" r="1079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7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3.2.5 报告生成模块</w:t>
      </w:r>
    </w:p>
    <w:p w14:paraId="10E41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1135" cy="2190750"/>
            <wp:effectExtent l="0" t="0" r="1206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3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3.3 数据层模块</w:t>
      </w:r>
    </w:p>
    <w:p w14:paraId="46BA7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3.3.1 数据库模块</w:t>
      </w:r>
    </w:p>
    <w:p w14:paraId="762FA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9230" cy="4432935"/>
            <wp:effectExtent l="0" t="0" r="127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3.3.2 外部数据接入模块</w:t>
      </w:r>
    </w:p>
    <w:p w14:paraId="591CC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7325" cy="2499995"/>
            <wp:effectExtent l="0" t="0" r="317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C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617F3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#### 3.3.3 企业数据模块</w:t>
      </w:r>
    </w:p>
    <w:p w14:paraId="349BB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0500" cy="4271010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C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3.4 认证授权模块</w:t>
      </w:r>
    </w:p>
    <w:p w14:paraId="6FA55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9865" cy="3395980"/>
            <wp:effectExtent l="0" t="0" r="63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0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3.5 UI组件模块</w:t>
      </w:r>
    </w:p>
    <w:p w14:paraId="6E9C2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5420" cy="3722370"/>
            <wp:effectExtent l="0" t="0" r="508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A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3.6 Hooks模块</w:t>
      </w:r>
    </w:p>
    <w:p w14:paraId="2F250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72405" cy="3153410"/>
            <wp:effectExtent l="0" t="0" r="1079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5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 四、API接口规格</w:t>
      </w:r>
    </w:p>
    <w:p w14:paraId="22197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4.1 核心API列表</w:t>
      </w:r>
    </w:p>
    <w:p w14:paraId="2D480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模块 | API路径 | 方法 | 功能 |</w:t>
      </w:r>
    </w:p>
    <w:p w14:paraId="0C57F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聊天 | `/api/chat` | POST | AI对话 |</w:t>
      </w:r>
    </w:p>
    <w:p w14:paraId="620AF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会话 | `/api/conversations` | GET/POST | 会话管理 |</w:t>
      </w:r>
    </w:p>
    <w:p w14:paraId="4A1B1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价格预测 | `/api/prediction` | GET | 价格预测 |</w:t>
      </w:r>
    </w:p>
    <w:p w14:paraId="7B8B6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企业预测 | `/api/enterprise-predictions` | GET | 企业预测 |</w:t>
      </w:r>
    </w:p>
    <w:p w14:paraId="482F8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供需分析 | `/api/supply-demand` | GET | 供需数据 |</w:t>
      </w:r>
    </w:p>
    <w:p w14:paraId="2E704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知识图谱 | `/api/neo4j/graph` | GET | 图谱数据 |</w:t>
      </w:r>
    </w:p>
    <w:p w14:paraId="3F073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企业数据 | `/api/enterprises` | GET | 企业列表 |</w:t>
      </w:r>
    </w:p>
    <w:p w14:paraId="36655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报告 | `/api/reports` | GET/POST | 报告管理 |</w:t>
      </w:r>
    </w:p>
    <w:p w14:paraId="7C699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库存 | `/api/inventory` | GET | 库存数据 |</w:t>
      </w:r>
    </w:p>
    <w:p w14:paraId="55160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价格 | `/api/prices` | GET | 价格数据 |</w:t>
      </w:r>
    </w:p>
    <w:p w14:paraId="5D5BB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4528C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4.2 外部数据API</w:t>
      </w:r>
    </w:p>
    <w:p w14:paraId="133C8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数据源 | API路径 | 参数 |</w:t>
      </w:r>
    </w:p>
    <w:p w14:paraId="593F2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原油价格 | `/api/external-data/akshare?type=oil` | type=oil |</w:t>
      </w:r>
    </w:p>
    <w:p w14:paraId="6DAE5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BDI指数 | `/api/external-data/akshare?type=bdi` | type=bdi |</w:t>
      </w:r>
    </w:p>
    <w:p w14:paraId="1492A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布伦特原油 | `/api/external-data/akshare?type=brent` | type=brent |</w:t>
      </w:r>
    </w:p>
    <w:p w14:paraId="0730B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美元汇率 | `/api/external-data/akshare?type=usdcny` | type=usdcny |</w:t>
      </w:r>
    </w:p>
    <w:p w14:paraId="0EBDE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GDELT新闻 | `/api/external-data/gdelt` | - |</w:t>
      </w:r>
    </w:p>
    <w:p w14:paraId="0E55A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EIA油价 | `/api/external-data/eia/oil-price` | - |</w:t>
      </w:r>
    </w:p>
    <w:p w14:paraId="6E17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FRED数据 | `/api/external-data/fred` | - |</w:t>
      </w:r>
    </w:p>
    <w:p w14:paraId="69C23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16E86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 五、数据流规格</w:t>
      </w:r>
    </w:p>
    <w:p w14:paraId="5131B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58867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5.1 用户问答数据流</w:t>
      </w:r>
    </w:p>
    <w:p w14:paraId="61B1F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8595" cy="1153795"/>
            <wp:effectExtent l="0" t="0" r="190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5.2 价格预测数据流</w:t>
      </w:r>
    </w:p>
    <w:p w14:paraId="2C5F4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7E70F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9865" cy="9899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5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5.3 知识图谱数据流</w:t>
      </w:r>
    </w:p>
    <w:p w14:paraId="25B6F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drawing>
          <wp:inline distT="0" distB="0" distL="114300" distR="114300">
            <wp:extent cx="5267960" cy="1574165"/>
            <wp:effectExtent l="0" t="0" r="254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---</w:t>
      </w:r>
    </w:p>
    <w:p w14:paraId="1282E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7684D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 六、配置规格</w:t>
      </w:r>
    </w:p>
    <w:p w14:paraId="3A139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1A809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6.1 环境变量</w:t>
      </w:r>
    </w:p>
    <w:p w14:paraId="28316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5C8CD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变量名 | 必需 | 说明 |</w:t>
      </w:r>
    </w:p>
    <w:p w14:paraId="4729F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|:-------|:-----|:-----|</w:t>
      </w:r>
    </w:p>
    <w:p w14:paraId="4DB8F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OPENAI_API_KEY | 是 | OpenAI API密钥 |</w:t>
      </w:r>
    </w:p>
    <w:p w14:paraId="2AEA7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OPENAI_BASE_URL | 是 | API基础URL |</w:t>
      </w:r>
    </w:p>
    <w:p w14:paraId="4FD01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DATABASE_URL | 否 | PostgreSQL连接字符串 |</w:t>
      </w:r>
    </w:p>
    <w:p w14:paraId="683E5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NEO4J_URI | 否 | Neo4j连接URI |</w:t>
      </w:r>
    </w:p>
    <w:p w14:paraId="43FCB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NEO4J_USER | 否 | Neo4j用户名 |</w:t>
      </w:r>
    </w:p>
    <w:p w14:paraId="0BA51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NEO4J_PASSWORD | 否 | Neo4j密码 |</w:t>
      </w:r>
    </w:p>
    <w:p w14:paraId="288E7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BETTER_AUTH_URL | 是 | 认证服务URL |</w:t>
      </w:r>
    </w:p>
    <w:p w14:paraId="56E95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NODE_ENV | 是 | 运行环境 |</w:t>
      </w:r>
    </w:p>
    <w:p w14:paraId="6103A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603D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### 6.2 模型配置</w:t>
      </w:r>
    </w:p>
    <w:p w14:paraId="411D0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模型 | 用途 | 配置位置 |</w:t>
      </w:r>
    </w:p>
    <w:p w14:paraId="0916C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DeepSeek-V3 | 对话生成 | `src/lib/chat-models.ts` |</w:t>
      </w:r>
    </w:p>
    <w:p w14:paraId="66C0A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Hybrid ARIMA + XGBoost | 价格预测 | `src/services/prediction.ts` |</w:t>
      </w:r>
    </w:p>
    <w:p w14:paraId="2D446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---</w:t>
      </w:r>
    </w:p>
    <w:p w14:paraId="03183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 七、性能规格</w:t>
      </w:r>
    </w:p>
    <w:p w14:paraId="63AEB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指标 | 目标值 |</w:t>
      </w:r>
    </w:p>
    <w:p w14:paraId="4BFCC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页面加载时间 | &lt; 2s |</w:t>
      </w:r>
    </w:p>
    <w:p w14:paraId="44EF5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API响应时间 | &lt; 500ms |</w:t>
      </w:r>
    </w:p>
    <w:p w14:paraId="03234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AI对话响应 | &lt; 5s |</w:t>
      </w:r>
    </w:p>
    <w:p w14:paraId="5D1D9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图谱渲染时间 | &lt; 1s |</w:t>
      </w:r>
    </w:p>
    <w:p w14:paraId="61C38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并发用户数 | ≥ 100 |</w:t>
      </w:r>
    </w:p>
    <w:p w14:paraId="77538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---</w:t>
      </w:r>
    </w:p>
    <w:p w14:paraId="3A463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 八、安全规格</w:t>
      </w:r>
    </w:p>
    <w:p w14:paraId="2059B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p w14:paraId="36B09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安全措施 | 说明 |</w:t>
      </w:r>
    </w:p>
    <w:p w14:paraId="0480D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|:---------|:-----|</w:t>
      </w:r>
    </w:p>
    <w:p w14:paraId="50E53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身份认证 | Better Auth + JWT |</w:t>
      </w:r>
    </w:p>
    <w:p w14:paraId="08A2E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权限控制 | RBAC角色权限 |</w:t>
      </w:r>
    </w:p>
    <w:p w14:paraId="0B2E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数据加密 | HTTPS传输加密 |</w:t>
      </w:r>
    </w:p>
    <w:p w14:paraId="74F24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SQL注入防护 | Drizzle ORM参数化查询 |</w:t>
      </w:r>
    </w:p>
    <w:p w14:paraId="6DEA4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XSS防护 | React自动转义 |</w:t>
      </w:r>
    </w:p>
    <w:p w14:paraId="1D4D9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---</w:t>
      </w:r>
    </w:p>
    <w:p w14:paraId="2C012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## 九、版本信息</w:t>
      </w:r>
    </w:p>
    <w:p w14:paraId="097E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项目 | 版本 |</w:t>
      </w:r>
    </w:p>
    <w:p w14:paraId="3258D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Next.js | 16.1.6 |</w:t>
      </w:r>
    </w:p>
    <w:p w14:paraId="50DEB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React | 18.x |</w:t>
      </w:r>
    </w:p>
    <w:p w14:paraId="3065B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Node.js | ≥ 18.17.0 |</w:t>
      </w:r>
    </w:p>
    <w:p w14:paraId="6D861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PostgreSQL | ≥ 14.0 |</w:t>
      </w:r>
    </w:p>
    <w:p w14:paraId="7BADC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| Neo4j | ≥ 4.4 |</w:t>
      </w:r>
    </w:p>
    <w:p w14:paraId="5FD4F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---</w:t>
      </w:r>
    </w:p>
    <w:p w14:paraId="473CE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bookmarkStart w:id="0" w:name="_GoBack"/>
      <w:bookmarkEnd w:id="0"/>
    </w:p>
    <w:p w14:paraId="3C622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51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2026-03-27T14:17:27Z</dcterms:created>
  <dc:creator>13599</dc:creator>
  <cp:lastModifiedBy>zc.</cp:lastModifiedBy>
  <dcterms:modified xsi:type="dcterms:W3CDTF">2026-03-27T14:41:40Z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eyJoZGlkIjoiMzQxNTBiMmE2N2RmOWM2M2VlZjYwYjk5NzNjNDQxZmUiLCJ1c2VySWQiOiIxMjQxNjQ0NTk0In0=</vt:lpwstr>
  </property>
  <property fmtid="{D5CDD505-2E9C-101B-9397-08002B2CF9AE}" pid="4" name="ICV">
    <vt:lpwstr>5152EC4A8E2C4D9F9C7CCDB7CCFC7300_12</vt:lpwstr>
  </property>
</Properties>
</file>