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472E" w:rsidRPr="00014FA1" w:rsidRDefault="00BD472E" w:rsidP="009C622C">
      <w:pPr>
        <w:rPr>
          <w:b/>
          <w:sz w:val="22"/>
        </w:rPr>
      </w:pPr>
      <w:r w:rsidRPr="00014FA1">
        <w:rPr>
          <w:b/>
          <w:sz w:val="22"/>
        </w:rPr>
        <w:t>Background</w:t>
      </w:r>
    </w:p>
    <w:p w:rsidR="009C622C" w:rsidRDefault="00BD472E" w:rsidP="009C622C">
      <w:pPr>
        <w:rPr>
          <w:sz w:val="22"/>
        </w:rPr>
      </w:pPr>
      <w:r>
        <w:rPr>
          <w:sz w:val="22"/>
        </w:rPr>
        <w:t>The objective is to transform the current sales model by forming a mobile sales force geared towards a most digitized sales process by enabling self-service acquisition, optimizing the leads management process, digitizing the application journey for both new and existing customers, as well as, enhancing the existing sales dashboard.</w:t>
      </w:r>
      <w:r w:rsidR="003A4B56">
        <w:rPr>
          <w:sz w:val="22"/>
        </w:rPr>
        <w:t xml:space="preserve"> </w:t>
      </w:r>
    </w:p>
    <w:p w:rsidR="003F3F25" w:rsidRDefault="009338F3" w:rsidP="009C622C">
      <w:pPr>
        <w:rPr>
          <w:sz w:val="22"/>
        </w:rPr>
      </w:pPr>
      <w:r>
        <w:rPr>
          <w:sz w:val="22"/>
        </w:rPr>
        <w:t xml:space="preserve">Dashboard sales existing the </w:t>
      </w:r>
      <w:proofErr w:type="spellStart"/>
      <w:r>
        <w:rPr>
          <w:sz w:val="22"/>
        </w:rPr>
        <w:t>enhanceing</w:t>
      </w:r>
      <w:proofErr w:type="spellEnd"/>
      <w:r>
        <w:rPr>
          <w:sz w:val="22"/>
        </w:rPr>
        <w:t xml:space="preserve"> as well as customers </w:t>
      </w:r>
      <w:proofErr w:type="spellStart"/>
      <w:r>
        <w:rPr>
          <w:sz w:val="22"/>
        </w:rPr>
        <w:t>exising</w:t>
      </w:r>
      <w:proofErr w:type="spellEnd"/>
      <w:r>
        <w:rPr>
          <w:sz w:val="22"/>
        </w:rPr>
        <w:t xml:space="preserve"> and new both for journey application the</w:t>
      </w:r>
      <w:r w:rsidR="003A4B56">
        <w:rPr>
          <w:sz w:val="22"/>
        </w:rPr>
        <w:t xml:space="preserve"> digitizing process management leads the optimizing acquisition self-service enabling by process sales digitizing most a towards geared forces sales mobile a forming by model sales current the transform to is the objective.</w:t>
      </w:r>
    </w:p>
    <w:p w:rsidR="00371707" w:rsidRPr="00014FA1" w:rsidRDefault="00AA6988" w:rsidP="009C622C">
      <w:pPr>
        <w:rPr>
          <w:b/>
          <w:sz w:val="22"/>
        </w:rPr>
      </w:pPr>
      <w:r w:rsidRPr="00014FA1">
        <w:rPr>
          <w:b/>
          <w:sz w:val="22"/>
        </w:rPr>
        <w:t>System Architecture</w:t>
      </w:r>
    </w:p>
    <w:p w:rsidR="00AA6988" w:rsidRDefault="00AA6988" w:rsidP="009C622C">
      <w:pPr>
        <w:rPr>
          <w:sz w:val="22"/>
        </w:rPr>
      </w:pPr>
      <w:r>
        <w:rPr>
          <w:noProof/>
          <w:sz w:val="22"/>
        </w:rPr>
        <w:drawing>
          <wp:inline distT="0" distB="0" distL="0" distR="0">
            <wp:extent cx="6858000" cy="46208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00C99A.tmp"/>
                    <pic:cNvPicPr/>
                  </pic:nvPicPr>
                  <pic:blipFill>
                    <a:blip r:embed="rId5">
                      <a:extLst>
                        <a:ext uri="{28A0092B-C50C-407E-A947-70E740481C1C}">
                          <a14:useLocalDpi xmlns:a14="http://schemas.microsoft.com/office/drawing/2010/main" val="0"/>
                        </a:ext>
                      </a:extLst>
                    </a:blip>
                    <a:stretch>
                      <a:fillRect/>
                    </a:stretch>
                  </pic:blipFill>
                  <pic:spPr>
                    <a:xfrm>
                      <a:off x="0" y="0"/>
                      <a:ext cx="6858000" cy="4620895"/>
                    </a:xfrm>
                    <a:prstGeom prst="rect">
                      <a:avLst/>
                    </a:prstGeom>
                  </pic:spPr>
                </pic:pic>
              </a:graphicData>
            </a:graphic>
          </wp:inline>
        </w:drawing>
      </w:r>
    </w:p>
    <w:p w:rsidR="003F3F25" w:rsidRDefault="003F3F25" w:rsidP="009C622C">
      <w:pPr>
        <w:rPr>
          <w:sz w:val="22"/>
        </w:rPr>
      </w:pPr>
    </w:p>
    <w:p w:rsidR="003F3F25" w:rsidRDefault="003F3F25" w:rsidP="009C622C">
      <w:pPr>
        <w:rPr>
          <w:sz w:val="22"/>
        </w:rPr>
      </w:pPr>
    </w:p>
    <w:p w:rsidR="003F3F25" w:rsidRDefault="003F3F25" w:rsidP="009C622C">
      <w:pPr>
        <w:rPr>
          <w:sz w:val="22"/>
        </w:rPr>
      </w:pPr>
    </w:p>
    <w:p w:rsidR="003F3F25" w:rsidRDefault="003F3F25" w:rsidP="009C622C">
      <w:pPr>
        <w:rPr>
          <w:sz w:val="22"/>
        </w:rPr>
      </w:pPr>
    </w:p>
    <w:p w:rsidR="003F3F25" w:rsidRDefault="003F3F25" w:rsidP="009C622C">
      <w:pPr>
        <w:rPr>
          <w:sz w:val="22"/>
        </w:rPr>
      </w:pPr>
    </w:p>
    <w:p w:rsidR="00014FA1" w:rsidRDefault="00014FA1" w:rsidP="009C622C">
      <w:pPr>
        <w:rPr>
          <w:sz w:val="22"/>
        </w:rPr>
      </w:pPr>
    </w:p>
    <w:p w:rsidR="00AA6988" w:rsidRPr="00014FA1" w:rsidRDefault="003F3F25" w:rsidP="009C622C">
      <w:pPr>
        <w:rPr>
          <w:b/>
          <w:sz w:val="22"/>
        </w:rPr>
      </w:pPr>
      <w:r w:rsidRPr="00014FA1">
        <w:rPr>
          <w:b/>
          <w:sz w:val="22"/>
        </w:rPr>
        <w:lastRenderedPageBreak/>
        <w:t>Solution Architecture</w:t>
      </w:r>
    </w:p>
    <w:p w:rsidR="00AA6988" w:rsidRDefault="003F3F25" w:rsidP="009C622C">
      <w:pPr>
        <w:rPr>
          <w:sz w:val="22"/>
        </w:rPr>
      </w:pPr>
      <w:r>
        <w:rPr>
          <w:noProof/>
          <w:sz w:val="22"/>
        </w:rPr>
        <w:drawing>
          <wp:inline distT="0" distB="0" distL="0" distR="0">
            <wp:extent cx="6822831" cy="53243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0064BD.tmp"/>
                    <pic:cNvPicPr/>
                  </pic:nvPicPr>
                  <pic:blipFill>
                    <a:blip r:embed="rId6">
                      <a:extLst>
                        <a:ext uri="{28A0092B-C50C-407E-A947-70E740481C1C}">
                          <a14:useLocalDpi xmlns:a14="http://schemas.microsoft.com/office/drawing/2010/main" val="0"/>
                        </a:ext>
                      </a:extLst>
                    </a:blip>
                    <a:stretch>
                      <a:fillRect/>
                    </a:stretch>
                  </pic:blipFill>
                  <pic:spPr>
                    <a:xfrm>
                      <a:off x="0" y="0"/>
                      <a:ext cx="6832538" cy="5331910"/>
                    </a:xfrm>
                    <a:prstGeom prst="rect">
                      <a:avLst/>
                    </a:prstGeom>
                  </pic:spPr>
                </pic:pic>
              </a:graphicData>
            </a:graphic>
          </wp:inline>
        </w:drawing>
      </w:r>
    </w:p>
    <w:p w:rsidR="00AA6988" w:rsidRDefault="00014FA1" w:rsidP="009C622C">
      <w:pPr>
        <w:rPr>
          <w:sz w:val="22"/>
        </w:rPr>
      </w:pPr>
      <w:r>
        <w:rPr>
          <w:b/>
          <w:bCs/>
          <w:sz w:val="23"/>
          <w:szCs w:val="23"/>
        </w:rPr>
        <w:t>BRM Users</w:t>
      </w:r>
      <w:r w:rsidR="00B60E45">
        <w:rPr>
          <w:b/>
          <w:bCs/>
          <w:sz w:val="23"/>
          <w:szCs w:val="23"/>
        </w:rPr>
        <w:t xml:space="preserve">   </w:t>
      </w:r>
    </w:p>
    <w:p w:rsidR="00AA6988" w:rsidRDefault="003F3F25" w:rsidP="009C622C">
      <w:pPr>
        <w:rPr>
          <w:sz w:val="22"/>
        </w:rPr>
      </w:pPr>
      <w:r>
        <w:rPr>
          <w:sz w:val="22"/>
        </w:rPr>
        <w:t>The BRM solution is designed for Business Banking users such as Relationship managers, Branch BB users, BET team, etc. These business users interact with BRM through the Desktop &amp; Tablet, Mobile unified interface provided by Microsoft Dynamics 365.</w:t>
      </w:r>
      <w:r w:rsidR="00AB5CEB">
        <w:rPr>
          <w:sz w:val="22"/>
        </w:rPr>
        <w:t xml:space="preserve">   </w:t>
      </w:r>
    </w:p>
    <w:p w:rsidR="00014FA1" w:rsidRPr="00014FA1" w:rsidRDefault="00014FA1" w:rsidP="009C622C">
      <w:pPr>
        <w:rPr>
          <w:b/>
          <w:sz w:val="22"/>
        </w:rPr>
      </w:pPr>
      <w:r w:rsidRPr="00014FA1">
        <w:rPr>
          <w:b/>
          <w:sz w:val="22"/>
        </w:rPr>
        <w:t>Application Layer</w:t>
      </w:r>
      <w:r w:rsidR="00B60E45">
        <w:rPr>
          <w:b/>
          <w:sz w:val="22"/>
        </w:rPr>
        <w:t xml:space="preserve">    </w:t>
      </w:r>
    </w:p>
    <w:p w:rsidR="00AA6988" w:rsidRDefault="003F3F25" w:rsidP="009C622C">
      <w:pPr>
        <w:rPr>
          <w:sz w:val="22"/>
        </w:rPr>
      </w:pPr>
      <w:r>
        <w:rPr>
          <w:sz w:val="22"/>
        </w:rPr>
        <w:t>Application Layer, that is built on Dynamics 365 Customer Engagement, contains the core application logic and the solution components.</w:t>
      </w:r>
      <w:r w:rsidR="00AB5CEB" w:rsidRPr="00AB5CEB">
        <w:t xml:space="preserve"> </w:t>
      </w:r>
    </w:p>
    <w:p w:rsidR="003F3F25" w:rsidRPr="003F3F25" w:rsidRDefault="003F3F25" w:rsidP="003F3F25">
      <w:pPr>
        <w:pStyle w:val="Default"/>
        <w:rPr>
          <w:rFonts w:ascii="Arial" w:hAnsi="Arial" w:cstheme="minorBidi"/>
          <w:color w:val="auto"/>
          <w:sz w:val="22"/>
          <w:szCs w:val="22"/>
        </w:rPr>
      </w:pPr>
      <w:r w:rsidRPr="003F3F25">
        <w:rPr>
          <w:rFonts w:ascii="Arial" w:hAnsi="Arial" w:cstheme="minorBidi"/>
          <w:color w:val="auto"/>
          <w:sz w:val="22"/>
          <w:szCs w:val="22"/>
        </w:rPr>
        <w:t xml:space="preserve">Integration between systems should consider accessing through </w:t>
      </w:r>
      <w:proofErr w:type="spellStart"/>
      <w:r w:rsidRPr="003F3F25">
        <w:rPr>
          <w:rFonts w:ascii="Arial" w:hAnsi="Arial" w:cstheme="minorBidi"/>
          <w:color w:val="auto"/>
          <w:sz w:val="22"/>
          <w:szCs w:val="22"/>
        </w:rPr>
        <w:t>Microservice</w:t>
      </w:r>
      <w:proofErr w:type="spellEnd"/>
      <w:r w:rsidRPr="003F3F25">
        <w:rPr>
          <w:rFonts w:ascii="Arial" w:hAnsi="Arial" w:cstheme="minorBidi"/>
          <w:color w:val="auto"/>
          <w:sz w:val="22"/>
          <w:szCs w:val="22"/>
        </w:rPr>
        <w:t xml:space="preserve"> layer. </w:t>
      </w:r>
    </w:p>
    <w:p w:rsidR="003F3F25" w:rsidRPr="003F3F25" w:rsidRDefault="003F3F25" w:rsidP="003F3F25">
      <w:pPr>
        <w:pStyle w:val="Default"/>
        <w:rPr>
          <w:rFonts w:ascii="Arial" w:hAnsi="Arial" w:cstheme="minorBidi"/>
          <w:color w:val="auto"/>
          <w:sz w:val="22"/>
          <w:szCs w:val="22"/>
        </w:rPr>
      </w:pPr>
    </w:p>
    <w:p w:rsidR="00AA6988" w:rsidRDefault="003F3F25" w:rsidP="00C96F14">
      <w:pPr>
        <w:pStyle w:val="Default"/>
        <w:rPr>
          <w:rFonts w:ascii="Arial" w:hAnsi="Arial" w:cstheme="minorBidi"/>
          <w:color w:val="auto"/>
          <w:sz w:val="22"/>
          <w:szCs w:val="22"/>
        </w:rPr>
      </w:pPr>
      <w:r w:rsidRPr="003F3F25">
        <w:rPr>
          <w:rFonts w:ascii="Arial" w:hAnsi="Arial" w:cstheme="minorBidi"/>
          <w:color w:val="auto"/>
          <w:sz w:val="22"/>
          <w:szCs w:val="22"/>
        </w:rPr>
        <w:t xml:space="preserve">System will store documents in BRM document repository (i.e. SharePoint) while processing and archive the documents in enterprise document repository (i.e. EWF). </w:t>
      </w:r>
      <w:r w:rsidR="00AB5CEB">
        <w:rPr>
          <w:rFonts w:ascii="Arial" w:hAnsi="Arial" w:cstheme="minorBidi"/>
          <w:color w:val="auto"/>
          <w:sz w:val="22"/>
          <w:szCs w:val="22"/>
        </w:rPr>
        <w:t xml:space="preserve">      </w:t>
      </w:r>
    </w:p>
    <w:p w:rsidR="00C96F14" w:rsidRPr="00C96F14" w:rsidRDefault="00C96F14" w:rsidP="00C96F14">
      <w:pPr>
        <w:pStyle w:val="Default"/>
        <w:rPr>
          <w:rFonts w:ascii="Arial" w:hAnsi="Arial" w:cstheme="minorBidi"/>
          <w:color w:val="auto"/>
          <w:sz w:val="22"/>
          <w:szCs w:val="22"/>
        </w:rPr>
      </w:pPr>
      <w:r>
        <w:rPr>
          <w:rFonts w:ascii="Arial" w:hAnsi="Arial" w:cstheme="minorBidi"/>
          <w:color w:val="auto"/>
          <w:sz w:val="22"/>
          <w:szCs w:val="22"/>
        </w:rPr>
        <w:t xml:space="preserve">                 </w:t>
      </w:r>
    </w:p>
    <w:p w:rsidR="00014FA1" w:rsidRDefault="003F3F25" w:rsidP="009C622C">
      <w:pPr>
        <w:rPr>
          <w:sz w:val="22"/>
        </w:rPr>
      </w:pPr>
      <w:r>
        <w:rPr>
          <w:sz w:val="22"/>
        </w:rPr>
        <w:t xml:space="preserve">The out of the box Dynamics 365 Customer engagement modules will be extended to implement the UOB specific business processes for Leads, Lending, </w:t>
      </w:r>
      <w:r w:rsidR="00D517A6">
        <w:rPr>
          <w:sz w:val="22"/>
        </w:rPr>
        <w:t>Liabilities,</w:t>
      </w:r>
      <w:r>
        <w:rPr>
          <w:sz w:val="22"/>
        </w:rPr>
        <w:t xml:space="preserve"> Campaign management and Customer 360 views etc.</w:t>
      </w:r>
    </w:p>
    <w:p w:rsidR="00AA6988" w:rsidRPr="00014FA1" w:rsidRDefault="003F3F25" w:rsidP="009C622C">
      <w:pPr>
        <w:rPr>
          <w:b/>
          <w:sz w:val="22"/>
        </w:rPr>
      </w:pPr>
      <w:r w:rsidRPr="00014FA1">
        <w:rPr>
          <w:b/>
          <w:sz w:val="22"/>
        </w:rPr>
        <w:lastRenderedPageBreak/>
        <w:t>Solution Blueprint</w:t>
      </w:r>
    </w:p>
    <w:p w:rsidR="003F3F25" w:rsidRDefault="003F3F25" w:rsidP="009C622C">
      <w:pPr>
        <w:rPr>
          <w:sz w:val="22"/>
        </w:rPr>
      </w:pPr>
      <w:r>
        <w:rPr>
          <w:noProof/>
          <w:sz w:val="22"/>
        </w:rPr>
        <w:drawing>
          <wp:inline distT="0" distB="0" distL="0" distR="0">
            <wp:extent cx="6774755" cy="3172216"/>
            <wp:effectExtent l="0" t="0" r="762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00EA0E.tmp"/>
                    <pic:cNvPicPr/>
                  </pic:nvPicPr>
                  <pic:blipFill>
                    <a:blip r:embed="rId7" cstate="print">
                      <a:extLst>
                        <a:ext uri="{28A0092B-C50C-407E-A947-70E740481C1C}">
                          <a14:useLocalDpi xmlns:a14="http://schemas.microsoft.com/office/drawing/2010/main" val="0"/>
                        </a:ext>
                      </a:extLst>
                    </a:blip>
                    <a:stretch>
                      <a:fillRect/>
                    </a:stretch>
                  </pic:blipFill>
                  <pic:spPr>
                    <a:xfrm>
                      <a:off x="0" y="0"/>
                      <a:ext cx="6834548" cy="3200213"/>
                    </a:xfrm>
                    <a:prstGeom prst="rect">
                      <a:avLst/>
                    </a:prstGeom>
                  </pic:spPr>
                </pic:pic>
              </a:graphicData>
            </a:graphic>
          </wp:inline>
        </w:drawing>
      </w:r>
    </w:p>
    <w:p w:rsidR="00014FA1" w:rsidRDefault="00014FA1" w:rsidP="00014FA1">
      <w:pPr>
        <w:pStyle w:val="Default"/>
        <w:rPr>
          <w:sz w:val="22"/>
          <w:szCs w:val="22"/>
        </w:rPr>
      </w:pPr>
      <w:r>
        <w:rPr>
          <w:sz w:val="22"/>
          <w:szCs w:val="22"/>
        </w:rPr>
        <w:t xml:space="preserve">The core framework components of the Application Layer are </w:t>
      </w:r>
    </w:p>
    <w:p w:rsidR="00014FA1" w:rsidRDefault="00014FA1" w:rsidP="00014FA1">
      <w:pPr>
        <w:pStyle w:val="Default"/>
        <w:spacing w:after="30"/>
        <w:rPr>
          <w:sz w:val="22"/>
          <w:szCs w:val="22"/>
        </w:rPr>
      </w:pPr>
      <w:r>
        <w:rPr>
          <w:sz w:val="22"/>
          <w:szCs w:val="22"/>
        </w:rPr>
        <w:t xml:space="preserve"> Unified Interface </w:t>
      </w:r>
    </w:p>
    <w:p w:rsidR="00014FA1" w:rsidRDefault="00014FA1" w:rsidP="00014FA1">
      <w:pPr>
        <w:pStyle w:val="Default"/>
        <w:spacing w:after="30"/>
        <w:rPr>
          <w:sz w:val="22"/>
          <w:szCs w:val="22"/>
        </w:rPr>
      </w:pPr>
      <w:r>
        <w:rPr>
          <w:sz w:val="22"/>
          <w:szCs w:val="22"/>
        </w:rPr>
        <w:t xml:space="preserve"> Database Engine </w:t>
      </w:r>
    </w:p>
    <w:p w:rsidR="00014FA1" w:rsidRDefault="00014FA1" w:rsidP="00014FA1">
      <w:pPr>
        <w:pStyle w:val="Default"/>
        <w:spacing w:after="30"/>
        <w:rPr>
          <w:sz w:val="22"/>
          <w:szCs w:val="22"/>
        </w:rPr>
      </w:pPr>
      <w:r>
        <w:rPr>
          <w:sz w:val="22"/>
          <w:szCs w:val="22"/>
        </w:rPr>
        <w:t xml:space="preserve"> Plugins </w:t>
      </w:r>
    </w:p>
    <w:p w:rsidR="00014FA1" w:rsidRDefault="00014FA1" w:rsidP="00014FA1">
      <w:pPr>
        <w:pStyle w:val="Default"/>
        <w:spacing w:after="30"/>
        <w:rPr>
          <w:sz w:val="22"/>
          <w:szCs w:val="22"/>
        </w:rPr>
      </w:pPr>
      <w:r>
        <w:rPr>
          <w:sz w:val="22"/>
          <w:szCs w:val="22"/>
        </w:rPr>
        <w:t xml:space="preserve"> Actions </w:t>
      </w:r>
    </w:p>
    <w:p w:rsidR="00014FA1" w:rsidRDefault="00014FA1" w:rsidP="00014FA1">
      <w:pPr>
        <w:pStyle w:val="Default"/>
        <w:spacing w:after="30"/>
        <w:rPr>
          <w:sz w:val="22"/>
          <w:szCs w:val="22"/>
        </w:rPr>
      </w:pPr>
      <w:r>
        <w:rPr>
          <w:sz w:val="22"/>
          <w:szCs w:val="22"/>
        </w:rPr>
        <w:t xml:space="preserve"> Web API </w:t>
      </w:r>
    </w:p>
    <w:p w:rsidR="00014FA1" w:rsidRDefault="00014FA1" w:rsidP="00014FA1">
      <w:pPr>
        <w:pStyle w:val="Default"/>
        <w:spacing w:after="30"/>
        <w:rPr>
          <w:sz w:val="22"/>
          <w:szCs w:val="22"/>
        </w:rPr>
      </w:pPr>
      <w:r>
        <w:rPr>
          <w:sz w:val="22"/>
          <w:szCs w:val="22"/>
        </w:rPr>
        <w:t xml:space="preserve"> Workflows </w:t>
      </w:r>
    </w:p>
    <w:p w:rsidR="00014FA1" w:rsidRDefault="00014FA1" w:rsidP="00014FA1">
      <w:pPr>
        <w:pStyle w:val="Default"/>
        <w:spacing w:after="30"/>
        <w:rPr>
          <w:sz w:val="22"/>
          <w:szCs w:val="22"/>
        </w:rPr>
      </w:pPr>
      <w:r>
        <w:rPr>
          <w:sz w:val="22"/>
          <w:szCs w:val="22"/>
        </w:rPr>
        <w:t xml:space="preserve"> SharePoint </w:t>
      </w:r>
    </w:p>
    <w:p w:rsidR="00014FA1" w:rsidRDefault="00014FA1" w:rsidP="00014FA1">
      <w:pPr>
        <w:pStyle w:val="Default"/>
        <w:rPr>
          <w:sz w:val="22"/>
          <w:szCs w:val="22"/>
        </w:rPr>
      </w:pPr>
      <w:r>
        <w:rPr>
          <w:sz w:val="22"/>
          <w:szCs w:val="22"/>
        </w:rPr>
        <w:t xml:space="preserve"> Reporting Engine (SSRS) </w:t>
      </w:r>
    </w:p>
    <w:p w:rsidR="00AA6988" w:rsidRDefault="00AA6988" w:rsidP="009C622C">
      <w:pPr>
        <w:rPr>
          <w:sz w:val="22"/>
        </w:rPr>
      </w:pPr>
    </w:p>
    <w:p w:rsidR="00BC059D" w:rsidRPr="00BC059D" w:rsidRDefault="00BC059D" w:rsidP="009C622C">
      <w:pPr>
        <w:rPr>
          <w:b/>
          <w:sz w:val="22"/>
        </w:rPr>
      </w:pPr>
      <w:r w:rsidRPr="00BC059D">
        <w:rPr>
          <w:b/>
        </w:rPr>
        <w:t>Plugins</w:t>
      </w:r>
    </w:p>
    <w:p w:rsidR="00BC059D" w:rsidRDefault="00BC059D" w:rsidP="009C622C">
      <w:pPr>
        <w:rPr>
          <w:sz w:val="22"/>
        </w:rPr>
      </w:pPr>
      <w:r>
        <w:rPr>
          <w:sz w:val="22"/>
        </w:rPr>
        <w:t>The objective of custom plug-in code is to enhance or modify the standard features/behavior of Dynamics 365 by injecting custom business logic into the execution of nearly any task a user performs.</w:t>
      </w:r>
    </w:p>
    <w:p w:rsidR="00AA6988" w:rsidRPr="00BC059D" w:rsidRDefault="00BC059D" w:rsidP="009C622C">
      <w:pPr>
        <w:rPr>
          <w:b/>
        </w:rPr>
      </w:pPr>
      <w:r w:rsidRPr="00BC059D">
        <w:rPr>
          <w:b/>
        </w:rPr>
        <w:t>Integration Layer</w:t>
      </w:r>
    </w:p>
    <w:p w:rsidR="00BC059D" w:rsidRPr="00BC059D" w:rsidRDefault="00BC059D" w:rsidP="00BC059D">
      <w:pPr>
        <w:pStyle w:val="Default"/>
        <w:rPr>
          <w:rFonts w:ascii="Arial" w:hAnsi="Arial" w:cstheme="minorBidi"/>
          <w:color w:val="auto"/>
          <w:sz w:val="22"/>
          <w:szCs w:val="22"/>
        </w:rPr>
      </w:pPr>
      <w:r w:rsidRPr="00BC059D">
        <w:rPr>
          <w:rFonts w:ascii="Arial" w:hAnsi="Arial" w:cstheme="minorBidi"/>
          <w:color w:val="auto"/>
          <w:sz w:val="22"/>
          <w:szCs w:val="22"/>
        </w:rPr>
        <w:t xml:space="preserve">Integration Layer is built leverage on BRM components, SSIS, EAI and the Microservices (Java Spring Boot) to interact with the UOB Banking systems in online and batch modes. The key components of the integration layer are: </w:t>
      </w:r>
    </w:p>
    <w:p w:rsidR="00BC059D" w:rsidRPr="00BC059D" w:rsidRDefault="00BC059D" w:rsidP="00BC059D">
      <w:pPr>
        <w:pStyle w:val="Default"/>
        <w:spacing w:after="30"/>
        <w:rPr>
          <w:rFonts w:ascii="Arial" w:hAnsi="Arial" w:cstheme="minorBidi"/>
          <w:color w:val="auto"/>
          <w:sz w:val="22"/>
          <w:szCs w:val="22"/>
        </w:rPr>
      </w:pPr>
      <w:r w:rsidRPr="00BC059D">
        <w:rPr>
          <w:rFonts w:ascii="Arial" w:hAnsi="Arial" w:cstheme="minorBidi"/>
          <w:color w:val="auto"/>
          <w:sz w:val="22"/>
          <w:szCs w:val="22"/>
        </w:rPr>
        <w:t xml:space="preserve"> Microsoft SQL Server Integration Services (SSIS) and .NET console program – Batch mode integration with the backend systems for offline file transfer. </w:t>
      </w:r>
    </w:p>
    <w:p w:rsidR="00BC059D" w:rsidRPr="00BC059D" w:rsidRDefault="00BC059D" w:rsidP="00BC059D">
      <w:pPr>
        <w:pStyle w:val="Default"/>
        <w:spacing w:after="30"/>
        <w:rPr>
          <w:rFonts w:ascii="Arial" w:hAnsi="Arial" w:cstheme="minorBidi"/>
          <w:color w:val="auto"/>
          <w:sz w:val="22"/>
          <w:szCs w:val="22"/>
        </w:rPr>
      </w:pPr>
      <w:r w:rsidRPr="00BC059D">
        <w:rPr>
          <w:rFonts w:ascii="Arial" w:hAnsi="Arial" w:cstheme="minorBidi"/>
          <w:color w:val="auto"/>
          <w:sz w:val="22"/>
          <w:szCs w:val="22"/>
        </w:rPr>
        <w:t xml:space="preserve"> WebAPI – For online integration with backend systems to retrieve data and expose core BRM services for Microservices to consume. </w:t>
      </w:r>
    </w:p>
    <w:p w:rsidR="00BC059D" w:rsidRPr="00BC059D" w:rsidRDefault="00BC059D" w:rsidP="00BC059D">
      <w:pPr>
        <w:pStyle w:val="Default"/>
        <w:spacing w:after="30"/>
        <w:rPr>
          <w:rFonts w:ascii="Arial" w:hAnsi="Arial" w:cstheme="minorBidi"/>
          <w:color w:val="auto"/>
          <w:sz w:val="22"/>
          <w:szCs w:val="22"/>
        </w:rPr>
      </w:pPr>
      <w:r w:rsidRPr="00BC059D">
        <w:rPr>
          <w:rFonts w:ascii="Arial" w:hAnsi="Arial" w:cstheme="minorBidi"/>
          <w:color w:val="auto"/>
          <w:sz w:val="22"/>
          <w:szCs w:val="22"/>
        </w:rPr>
        <w:t xml:space="preserve"> Microservices </w:t>
      </w:r>
    </w:p>
    <w:p w:rsidR="00BC059D" w:rsidRDefault="00BC059D" w:rsidP="00BC059D">
      <w:pPr>
        <w:pStyle w:val="Default"/>
        <w:rPr>
          <w:rFonts w:ascii="Arial" w:hAnsi="Arial" w:cstheme="minorBidi"/>
          <w:color w:val="auto"/>
          <w:sz w:val="22"/>
          <w:szCs w:val="22"/>
        </w:rPr>
      </w:pPr>
      <w:r w:rsidRPr="00BC059D">
        <w:rPr>
          <w:rFonts w:ascii="Arial" w:hAnsi="Arial" w:cstheme="minorBidi"/>
          <w:color w:val="auto"/>
          <w:sz w:val="22"/>
          <w:szCs w:val="22"/>
        </w:rPr>
        <w:t xml:space="preserve"> EAI </w:t>
      </w:r>
    </w:p>
    <w:p w:rsidR="00BC059D" w:rsidRPr="00BC059D" w:rsidRDefault="00BC059D" w:rsidP="00BC059D">
      <w:pPr>
        <w:pStyle w:val="Default"/>
        <w:rPr>
          <w:rFonts w:ascii="Arial" w:hAnsi="Arial" w:cstheme="minorBidi"/>
          <w:color w:val="auto"/>
          <w:sz w:val="22"/>
          <w:szCs w:val="22"/>
        </w:rPr>
      </w:pPr>
    </w:p>
    <w:p w:rsidR="00BC059D" w:rsidRDefault="00BC059D" w:rsidP="009C622C">
      <w:pPr>
        <w:rPr>
          <w:sz w:val="22"/>
        </w:rPr>
      </w:pPr>
      <w:r>
        <w:rPr>
          <w:b/>
          <w:bCs/>
          <w:sz w:val="22"/>
        </w:rPr>
        <w:t>Integration Layer – Microservices</w:t>
      </w:r>
    </w:p>
    <w:p w:rsidR="00AA6988" w:rsidRDefault="00BC059D" w:rsidP="009C622C">
      <w:pPr>
        <w:rPr>
          <w:sz w:val="22"/>
        </w:rPr>
      </w:pPr>
      <w:r>
        <w:rPr>
          <w:sz w:val="22"/>
        </w:rPr>
        <w:t>Microservices component will be developed to primarily integrate the other channels (such as PWEB) with BRM. The details of the Microservices are described under Section 3.</w:t>
      </w:r>
    </w:p>
    <w:p w:rsidR="00BC059D" w:rsidRDefault="00BC059D" w:rsidP="00BC059D">
      <w:pPr>
        <w:pStyle w:val="Default"/>
        <w:rPr>
          <w:rFonts w:ascii="Arial" w:hAnsi="Arial" w:cstheme="minorBidi"/>
          <w:b/>
          <w:bCs/>
          <w:color w:val="auto"/>
          <w:sz w:val="22"/>
          <w:szCs w:val="22"/>
        </w:rPr>
      </w:pPr>
      <w:r w:rsidRPr="00BC059D">
        <w:rPr>
          <w:rFonts w:ascii="Arial" w:hAnsi="Arial" w:cstheme="minorBidi"/>
          <w:b/>
          <w:bCs/>
          <w:color w:val="auto"/>
          <w:sz w:val="22"/>
          <w:szCs w:val="22"/>
        </w:rPr>
        <w:lastRenderedPageBreak/>
        <w:t xml:space="preserve">Backend Layer </w:t>
      </w:r>
    </w:p>
    <w:p w:rsidR="00BC059D" w:rsidRPr="00BC059D" w:rsidRDefault="00BC059D" w:rsidP="00BC059D">
      <w:pPr>
        <w:pStyle w:val="Default"/>
        <w:rPr>
          <w:rFonts w:ascii="Arial" w:hAnsi="Arial" w:cstheme="minorBidi"/>
          <w:b/>
          <w:bCs/>
          <w:color w:val="auto"/>
          <w:sz w:val="22"/>
          <w:szCs w:val="22"/>
        </w:rPr>
      </w:pPr>
    </w:p>
    <w:p w:rsidR="00BC059D" w:rsidRDefault="00BC059D" w:rsidP="00BC059D">
      <w:pPr>
        <w:pStyle w:val="Default"/>
        <w:rPr>
          <w:sz w:val="22"/>
          <w:szCs w:val="22"/>
        </w:rPr>
      </w:pPr>
      <w:r>
        <w:rPr>
          <w:sz w:val="22"/>
          <w:szCs w:val="22"/>
        </w:rPr>
        <w:t xml:space="preserve">Backend layer consists of non BRM systems that are existing in the UOB today. </w:t>
      </w:r>
    </w:p>
    <w:p w:rsidR="00BC059D" w:rsidRDefault="00BC059D" w:rsidP="00BC059D">
      <w:pPr>
        <w:pStyle w:val="Default"/>
        <w:spacing w:after="30"/>
        <w:rPr>
          <w:sz w:val="22"/>
          <w:szCs w:val="22"/>
        </w:rPr>
      </w:pPr>
      <w:r>
        <w:rPr>
          <w:sz w:val="22"/>
          <w:szCs w:val="22"/>
        </w:rPr>
        <w:t xml:space="preserve"> UOB Core banking systems that provide the services and data to BRM. </w:t>
      </w:r>
    </w:p>
    <w:p w:rsidR="00BC059D" w:rsidRDefault="00BC059D" w:rsidP="00BC059D">
      <w:pPr>
        <w:pStyle w:val="Default"/>
        <w:spacing w:after="30"/>
        <w:rPr>
          <w:sz w:val="22"/>
          <w:szCs w:val="22"/>
        </w:rPr>
      </w:pPr>
      <w:r>
        <w:rPr>
          <w:sz w:val="22"/>
          <w:szCs w:val="22"/>
        </w:rPr>
        <w:t xml:space="preserve"> Email/SMS gateway for customer communications </w:t>
      </w:r>
    </w:p>
    <w:p w:rsidR="00AA6988" w:rsidRPr="00BC059D" w:rsidRDefault="00BC059D" w:rsidP="00BC059D">
      <w:pPr>
        <w:pStyle w:val="Default"/>
        <w:rPr>
          <w:sz w:val="22"/>
          <w:szCs w:val="22"/>
        </w:rPr>
      </w:pPr>
      <w:r>
        <w:rPr>
          <w:sz w:val="22"/>
          <w:szCs w:val="22"/>
        </w:rPr>
        <w:t xml:space="preserve"> External systems (External to Bank) accessed through internal gateway </w:t>
      </w:r>
    </w:p>
    <w:p w:rsidR="00AA6988" w:rsidRPr="00BC059D" w:rsidRDefault="00BC059D" w:rsidP="009C622C">
      <w:pPr>
        <w:rPr>
          <w:b/>
          <w:bCs/>
          <w:sz w:val="22"/>
        </w:rPr>
      </w:pPr>
      <w:r w:rsidRPr="00BC059D">
        <w:rPr>
          <w:b/>
          <w:bCs/>
          <w:sz w:val="22"/>
        </w:rPr>
        <w:t>Integration Architecture</w:t>
      </w:r>
    </w:p>
    <w:p w:rsidR="00AA6988" w:rsidRDefault="00BC059D" w:rsidP="009C622C">
      <w:pPr>
        <w:rPr>
          <w:sz w:val="22"/>
        </w:rPr>
      </w:pPr>
      <w:r>
        <w:rPr>
          <w:noProof/>
          <w:sz w:val="22"/>
        </w:rPr>
        <w:drawing>
          <wp:inline distT="0" distB="0" distL="0" distR="0">
            <wp:extent cx="6858000" cy="35960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009E7B.tmp"/>
                    <pic:cNvPicPr/>
                  </pic:nvPicPr>
                  <pic:blipFill>
                    <a:blip r:embed="rId8">
                      <a:extLst>
                        <a:ext uri="{28A0092B-C50C-407E-A947-70E740481C1C}">
                          <a14:useLocalDpi xmlns:a14="http://schemas.microsoft.com/office/drawing/2010/main" val="0"/>
                        </a:ext>
                      </a:extLst>
                    </a:blip>
                    <a:stretch>
                      <a:fillRect/>
                    </a:stretch>
                  </pic:blipFill>
                  <pic:spPr>
                    <a:xfrm>
                      <a:off x="0" y="0"/>
                      <a:ext cx="6858000" cy="3596005"/>
                    </a:xfrm>
                    <a:prstGeom prst="rect">
                      <a:avLst/>
                    </a:prstGeom>
                  </pic:spPr>
                </pic:pic>
              </a:graphicData>
            </a:graphic>
          </wp:inline>
        </w:drawing>
      </w:r>
    </w:p>
    <w:p w:rsidR="00AA6988" w:rsidRDefault="00BC059D" w:rsidP="009C622C">
      <w:pPr>
        <w:rPr>
          <w:b/>
          <w:bCs/>
          <w:sz w:val="23"/>
          <w:szCs w:val="23"/>
        </w:rPr>
      </w:pPr>
      <w:r>
        <w:rPr>
          <w:b/>
          <w:bCs/>
          <w:sz w:val="23"/>
          <w:szCs w:val="23"/>
        </w:rPr>
        <w:t>BRM Batch Integration (Offline integration)</w:t>
      </w:r>
    </w:p>
    <w:p w:rsidR="00BC059D" w:rsidRDefault="00BC059D" w:rsidP="009C622C">
      <w:pPr>
        <w:rPr>
          <w:noProof/>
          <w:sz w:val="22"/>
        </w:rPr>
      </w:pPr>
    </w:p>
    <w:p w:rsidR="00BC059D" w:rsidRDefault="00BC059D" w:rsidP="009C622C">
      <w:pPr>
        <w:rPr>
          <w:sz w:val="22"/>
        </w:rPr>
      </w:pPr>
      <w:r>
        <w:rPr>
          <w:noProof/>
          <w:sz w:val="22"/>
        </w:rPr>
        <w:drawing>
          <wp:inline distT="0" distB="0" distL="0" distR="0">
            <wp:extent cx="6503573" cy="3369213"/>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00A8C4.tmp"/>
                    <pic:cNvPicPr/>
                  </pic:nvPicPr>
                  <pic:blipFill>
                    <a:blip r:embed="rId9">
                      <a:extLst>
                        <a:ext uri="{28A0092B-C50C-407E-A947-70E740481C1C}">
                          <a14:useLocalDpi xmlns:a14="http://schemas.microsoft.com/office/drawing/2010/main" val="0"/>
                        </a:ext>
                      </a:extLst>
                    </a:blip>
                    <a:stretch>
                      <a:fillRect/>
                    </a:stretch>
                  </pic:blipFill>
                  <pic:spPr>
                    <a:xfrm>
                      <a:off x="0" y="0"/>
                      <a:ext cx="6518112" cy="3376745"/>
                    </a:xfrm>
                    <a:prstGeom prst="rect">
                      <a:avLst/>
                    </a:prstGeom>
                  </pic:spPr>
                </pic:pic>
              </a:graphicData>
            </a:graphic>
          </wp:inline>
        </w:drawing>
      </w:r>
    </w:p>
    <w:p w:rsidR="009338F3" w:rsidRDefault="00BC059D" w:rsidP="009C622C">
      <w:pPr>
        <w:rPr>
          <w:b/>
          <w:bCs/>
          <w:sz w:val="23"/>
          <w:szCs w:val="23"/>
        </w:rPr>
      </w:pPr>
      <w:r>
        <w:rPr>
          <w:b/>
          <w:bCs/>
          <w:sz w:val="23"/>
          <w:szCs w:val="23"/>
        </w:rPr>
        <w:lastRenderedPageBreak/>
        <w:t>BRM Online Integration</w:t>
      </w:r>
      <w:r w:rsidR="009338F3">
        <w:rPr>
          <w:b/>
          <w:bCs/>
          <w:sz w:val="23"/>
          <w:szCs w:val="23"/>
        </w:rPr>
        <w:t xml:space="preserve">  </w:t>
      </w:r>
    </w:p>
    <w:p w:rsidR="00BC059D" w:rsidRDefault="00BC059D" w:rsidP="009C622C">
      <w:pPr>
        <w:rPr>
          <w:sz w:val="22"/>
        </w:rPr>
      </w:pPr>
      <w:r>
        <w:rPr>
          <w:noProof/>
          <w:sz w:val="22"/>
        </w:rPr>
        <w:drawing>
          <wp:inline distT="0" distB="0" distL="0" distR="0">
            <wp:extent cx="6858000" cy="4273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00D909.tmp"/>
                    <pic:cNvPicPr/>
                  </pic:nvPicPr>
                  <pic:blipFill>
                    <a:blip r:embed="rId10">
                      <a:extLst>
                        <a:ext uri="{28A0092B-C50C-407E-A947-70E740481C1C}">
                          <a14:useLocalDpi xmlns:a14="http://schemas.microsoft.com/office/drawing/2010/main" val="0"/>
                        </a:ext>
                      </a:extLst>
                    </a:blip>
                    <a:stretch>
                      <a:fillRect/>
                    </a:stretch>
                  </pic:blipFill>
                  <pic:spPr>
                    <a:xfrm>
                      <a:off x="0" y="0"/>
                      <a:ext cx="6858000" cy="4273550"/>
                    </a:xfrm>
                    <a:prstGeom prst="rect">
                      <a:avLst/>
                    </a:prstGeom>
                  </pic:spPr>
                </pic:pic>
              </a:graphicData>
            </a:graphic>
          </wp:inline>
        </w:drawing>
      </w:r>
    </w:p>
    <w:p w:rsidR="009338F3" w:rsidRDefault="0041593A" w:rsidP="009338F3">
      <w:pPr>
        <w:autoSpaceDE w:val="0"/>
        <w:autoSpaceDN w:val="0"/>
        <w:adjustRightInd w:val="0"/>
        <w:spacing w:after="0" w:line="240" w:lineRule="auto"/>
        <w:rPr>
          <w:rFonts w:ascii="Microsoft YaHei" w:eastAsia="Microsoft YaHei" w:hAnsiTheme="minorHAnsi" w:cs="Microsoft YaHei"/>
          <w:color w:val="000000"/>
          <w:sz w:val="21"/>
          <w:szCs w:val="21"/>
        </w:rPr>
      </w:pPr>
      <w:r w:rsidRPr="0041593A">
        <w:rPr>
          <w:b/>
          <w:bCs/>
          <w:sz w:val="23"/>
          <w:szCs w:val="23"/>
        </w:rPr>
        <w:t xml:space="preserve">Microservices </w:t>
      </w:r>
      <w:r w:rsidR="0060376B">
        <w:rPr>
          <w:b/>
          <w:bCs/>
          <w:sz w:val="23"/>
          <w:szCs w:val="23"/>
        </w:rPr>
        <w:t xml:space="preserve">       </w:t>
      </w:r>
      <w:r w:rsidR="0060376B">
        <w:rPr>
          <w:rFonts w:ascii="Microsoft YaHei" w:eastAsia="Microsoft YaHei" w:hAnsiTheme="minorHAnsi" w:cs="Microsoft YaHei" w:hint="eastAsia"/>
          <w:color w:val="000000"/>
          <w:sz w:val="21"/>
          <w:szCs w:val="21"/>
        </w:rPr>
        <w:t>微服务自成一套</w:t>
      </w:r>
      <w:r w:rsidR="0060376B">
        <w:rPr>
          <w:rFonts w:ascii="Microsoft YaHei" w:eastAsia="Microsoft YaHei" w:hAnsiTheme="minorHAnsi" w:cs="Microsoft YaHei"/>
          <w:color w:val="000000"/>
          <w:sz w:val="21"/>
          <w:szCs w:val="21"/>
        </w:rPr>
        <w:t xml:space="preserve">   </w:t>
      </w:r>
      <w:r w:rsidR="0060376B">
        <w:rPr>
          <w:rFonts w:ascii="Microsoft YaHei" w:eastAsia="Microsoft YaHei" w:hAnsiTheme="minorHAnsi" w:cs="Microsoft YaHei" w:hint="eastAsia"/>
          <w:color w:val="000000"/>
          <w:sz w:val="21"/>
          <w:szCs w:val="21"/>
        </w:rPr>
        <w:t>其他系统可调用</w:t>
      </w:r>
    </w:p>
    <w:p w:rsidR="009338F3" w:rsidRPr="009338F3" w:rsidRDefault="009338F3" w:rsidP="009338F3">
      <w:pPr>
        <w:autoSpaceDE w:val="0"/>
        <w:autoSpaceDN w:val="0"/>
        <w:adjustRightInd w:val="0"/>
        <w:spacing w:after="0" w:line="240" w:lineRule="auto"/>
        <w:rPr>
          <w:rFonts w:ascii="Microsoft YaHei" w:eastAsia="Microsoft YaHei" w:hAnsiTheme="minorHAnsi" w:cs="Microsoft YaHei"/>
          <w:color w:val="000000"/>
          <w:sz w:val="21"/>
          <w:szCs w:val="21"/>
        </w:rPr>
      </w:pPr>
    </w:p>
    <w:p w:rsidR="00AA6988" w:rsidRDefault="0041593A" w:rsidP="0041593A">
      <w:pPr>
        <w:rPr>
          <w:sz w:val="22"/>
        </w:rPr>
      </w:pPr>
      <w:r>
        <w:rPr>
          <w:sz w:val="22"/>
        </w:rPr>
        <w:t>Microservices component will be developed to primarily integrate the other channels (such as PWEB) with BRM. For the core functional modules built in BRM such as Leads, Application Opening for Liabilities accounts, Lending accounts and Repayment accounts BRM provides the User Interface which is mostly used by the internal users. However, these services need to be consumed by non-BRM channels such as PWEB which provides public interface for external users. Microservices services expose the BRM services to be consumed by the partners and 3</w:t>
      </w:r>
      <w:r>
        <w:rPr>
          <w:sz w:val="14"/>
          <w:szCs w:val="14"/>
        </w:rPr>
        <w:t xml:space="preserve">rd </w:t>
      </w:r>
      <w:r>
        <w:rPr>
          <w:sz w:val="22"/>
        </w:rPr>
        <w:t>party vendors such as PWEB, FINTECH etc.</w:t>
      </w:r>
      <w:r w:rsidR="0060567D">
        <w:rPr>
          <w:sz w:val="22"/>
        </w:rPr>
        <w:t xml:space="preserve">       </w:t>
      </w:r>
    </w:p>
    <w:p w:rsidR="009338F3" w:rsidRDefault="007237EB" w:rsidP="0041593A">
      <w:pPr>
        <w:autoSpaceDE w:val="0"/>
        <w:autoSpaceDN w:val="0"/>
        <w:adjustRightInd w:val="0"/>
        <w:spacing w:after="0" w:line="240" w:lineRule="auto"/>
        <w:rPr>
          <w:rFonts w:ascii="Microsoft YaHei" w:eastAsia="Microsoft YaHei" w:hAnsiTheme="minorHAnsi" w:cs="Microsoft YaHei"/>
          <w:noProof/>
          <w:color w:val="000000"/>
          <w:sz w:val="21"/>
          <w:szCs w:val="21"/>
        </w:rPr>
      </w:pPr>
      <w:r>
        <w:rPr>
          <w:b/>
          <w:bCs/>
          <w:sz w:val="23"/>
          <w:szCs w:val="23"/>
        </w:rPr>
        <w:t>Performance Requirements</w:t>
      </w:r>
    </w:p>
    <w:p w:rsidR="009338F3" w:rsidRDefault="007237EB" w:rsidP="0041593A">
      <w:pPr>
        <w:autoSpaceDE w:val="0"/>
        <w:autoSpaceDN w:val="0"/>
        <w:adjustRightInd w:val="0"/>
        <w:spacing w:after="0" w:line="240" w:lineRule="auto"/>
        <w:rPr>
          <w:b/>
          <w:bCs/>
          <w:sz w:val="23"/>
          <w:szCs w:val="23"/>
        </w:rPr>
      </w:pPr>
      <w:r>
        <w:rPr>
          <w:rFonts w:ascii="Microsoft YaHei" w:eastAsia="Microsoft YaHei" w:hAnsiTheme="minorHAnsi" w:cs="Microsoft YaHei"/>
          <w:noProof/>
          <w:color w:val="000000"/>
          <w:sz w:val="21"/>
          <w:szCs w:val="21"/>
        </w:rPr>
        <w:drawing>
          <wp:inline distT="0" distB="0" distL="0" distR="0" wp14:anchorId="696C680C" wp14:editId="7EE0765D">
            <wp:extent cx="4610958" cy="2532184"/>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0011F8.tmp"/>
                    <pic:cNvPicPr/>
                  </pic:nvPicPr>
                  <pic:blipFill>
                    <a:blip r:embed="rId11">
                      <a:extLst>
                        <a:ext uri="{28A0092B-C50C-407E-A947-70E740481C1C}">
                          <a14:useLocalDpi xmlns:a14="http://schemas.microsoft.com/office/drawing/2010/main" val="0"/>
                        </a:ext>
                      </a:extLst>
                    </a:blip>
                    <a:stretch>
                      <a:fillRect/>
                    </a:stretch>
                  </pic:blipFill>
                  <pic:spPr>
                    <a:xfrm>
                      <a:off x="0" y="0"/>
                      <a:ext cx="4656861" cy="2557392"/>
                    </a:xfrm>
                    <a:prstGeom prst="rect">
                      <a:avLst/>
                    </a:prstGeom>
                  </pic:spPr>
                </pic:pic>
              </a:graphicData>
            </a:graphic>
          </wp:inline>
        </w:drawing>
      </w:r>
    </w:p>
    <w:p w:rsidR="007237EB" w:rsidRDefault="007237EB" w:rsidP="0041593A">
      <w:pPr>
        <w:autoSpaceDE w:val="0"/>
        <w:autoSpaceDN w:val="0"/>
        <w:adjustRightInd w:val="0"/>
        <w:spacing w:after="0" w:line="240" w:lineRule="auto"/>
        <w:rPr>
          <w:b/>
          <w:bCs/>
          <w:sz w:val="23"/>
          <w:szCs w:val="23"/>
        </w:rPr>
      </w:pPr>
      <w:r>
        <w:rPr>
          <w:b/>
          <w:bCs/>
          <w:sz w:val="23"/>
          <w:szCs w:val="23"/>
        </w:rPr>
        <w:lastRenderedPageBreak/>
        <w:t>Performance Best Practices</w:t>
      </w:r>
      <w:r w:rsidR="00F7751E">
        <w:rPr>
          <w:b/>
          <w:bCs/>
          <w:sz w:val="23"/>
          <w:szCs w:val="23"/>
        </w:rPr>
        <w:t xml:space="preserve">                 </w:t>
      </w:r>
    </w:p>
    <w:p w:rsidR="00630DA0" w:rsidRDefault="00470718" w:rsidP="0041593A">
      <w:pPr>
        <w:autoSpaceDE w:val="0"/>
        <w:autoSpaceDN w:val="0"/>
        <w:adjustRightInd w:val="0"/>
        <w:spacing w:after="0" w:line="240" w:lineRule="auto"/>
        <w:rPr>
          <w:rFonts w:ascii="Microsoft YaHei" w:eastAsia="Microsoft YaHei" w:hAnsiTheme="minorHAnsi" w:cs="Microsoft YaHei"/>
          <w:noProof/>
          <w:color w:val="000000"/>
          <w:sz w:val="21"/>
          <w:szCs w:val="21"/>
        </w:rPr>
      </w:pPr>
      <w:r>
        <w:rPr>
          <w:rFonts w:ascii="Microsoft YaHei" w:eastAsia="Microsoft YaHei" w:hAnsiTheme="minorHAnsi" w:cs="Microsoft YaHei"/>
          <w:noProof/>
          <w:color w:val="000000"/>
          <w:sz w:val="21"/>
          <w:szCs w:val="21"/>
        </w:rPr>
        <w:t xml:space="preserve">                                                                                                                                                                                                                                                                                                                                                                                                                                                                                                                                </w:t>
      </w:r>
    </w:p>
    <w:p w:rsidR="007237EB" w:rsidRDefault="00E15D82" w:rsidP="0041593A">
      <w:pPr>
        <w:autoSpaceDE w:val="0"/>
        <w:autoSpaceDN w:val="0"/>
        <w:adjustRightInd w:val="0"/>
        <w:spacing w:after="0" w:line="240" w:lineRule="auto"/>
        <w:rPr>
          <w:rFonts w:ascii="Microsoft YaHei" w:eastAsia="Microsoft YaHei" w:hAnsiTheme="minorHAnsi" w:cs="Microsoft YaHei"/>
          <w:color w:val="000000"/>
          <w:sz w:val="21"/>
          <w:szCs w:val="21"/>
        </w:rPr>
      </w:pPr>
      <w:r>
        <w:rPr>
          <w:rFonts w:ascii="Microsoft YaHei" w:eastAsia="Microsoft YaHei" w:hAnsiTheme="minorHAnsi" w:cs="Microsoft YaHei"/>
          <w:noProof/>
          <w:color w:val="000000"/>
          <w:sz w:val="21"/>
          <w:szCs w:val="21"/>
        </w:rPr>
        <w:drawing>
          <wp:inline distT="0" distB="0" distL="0" distR="0" wp14:anchorId="2543B2BC" wp14:editId="312C9D2E">
            <wp:extent cx="6850966" cy="198247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00648.tmp"/>
                    <pic:cNvPicPr/>
                  </pic:nvPicPr>
                  <pic:blipFill rotWithShape="1">
                    <a:blip r:embed="rId12">
                      <a:extLst>
                        <a:ext uri="{28A0092B-C50C-407E-A947-70E740481C1C}">
                          <a14:useLocalDpi xmlns:a14="http://schemas.microsoft.com/office/drawing/2010/main" val="0"/>
                        </a:ext>
                      </a:extLst>
                    </a:blip>
                    <a:srcRect l="102"/>
                    <a:stretch/>
                  </pic:blipFill>
                  <pic:spPr bwMode="auto">
                    <a:xfrm>
                      <a:off x="0" y="0"/>
                      <a:ext cx="6850966" cy="1982470"/>
                    </a:xfrm>
                    <a:prstGeom prst="rect">
                      <a:avLst/>
                    </a:prstGeom>
                    <a:ln>
                      <a:noFill/>
                    </a:ln>
                    <a:extLst>
                      <a:ext uri="{53640926-AAD7-44D8-BBD7-CCE9431645EC}">
                        <a14:shadowObscured xmlns:a14="http://schemas.microsoft.com/office/drawing/2010/main"/>
                      </a:ext>
                    </a:extLst>
                  </pic:spPr>
                </pic:pic>
              </a:graphicData>
            </a:graphic>
          </wp:inline>
        </w:drawing>
      </w:r>
      <w:r w:rsidR="007237EB">
        <w:rPr>
          <w:rFonts w:ascii="Microsoft YaHei" w:eastAsia="Microsoft YaHei" w:hAnsiTheme="minorHAnsi" w:cs="Microsoft YaHei"/>
          <w:noProof/>
          <w:color w:val="000000"/>
          <w:sz w:val="21"/>
          <w:szCs w:val="21"/>
        </w:rPr>
        <w:drawing>
          <wp:inline distT="0" distB="0" distL="0" distR="0">
            <wp:extent cx="6842809" cy="427519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00469E.tmp"/>
                    <pic:cNvPicPr/>
                  </pic:nvPicPr>
                  <pic:blipFill rotWithShape="1">
                    <a:blip r:embed="rId13">
                      <a:extLst>
                        <a:ext uri="{28A0092B-C50C-407E-A947-70E740481C1C}">
                          <a14:useLocalDpi xmlns:a14="http://schemas.microsoft.com/office/drawing/2010/main" val="0"/>
                        </a:ext>
                      </a:extLst>
                    </a:blip>
                    <a:srcRect l="205" t="654" r="1"/>
                    <a:stretch/>
                  </pic:blipFill>
                  <pic:spPr bwMode="auto">
                    <a:xfrm>
                      <a:off x="0" y="0"/>
                      <a:ext cx="6843931" cy="4275894"/>
                    </a:xfrm>
                    <a:prstGeom prst="rect">
                      <a:avLst/>
                    </a:prstGeom>
                    <a:ln>
                      <a:noFill/>
                    </a:ln>
                    <a:extLst>
                      <a:ext uri="{53640926-AAD7-44D8-BBD7-CCE9431645EC}">
                        <a14:shadowObscured xmlns:a14="http://schemas.microsoft.com/office/drawing/2010/main"/>
                      </a:ext>
                    </a:extLst>
                  </pic:spPr>
                </pic:pic>
              </a:graphicData>
            </a:graphic>
          </wp:inline>
        </w:drawing>
      </w:r>
    </w:p>
    <w:p w:rsidR="00E15D82" w:rsidRDefault="00E15D82" w:rsidP="009C622C">
      <w:pPr>
        <w:rPr>
          <w:sz w:val="22"/>
        </w:rPr>
      </w:pPr>
    </w:p>
    <w:p w:rsidR="00E15D82" w:rsidRDefault="00E15D82" w:rsidP="009C622C">
      <w:pPr>
        <w:rPr>
          <w:sz w:val="22"/>
        </w:rPr>
      </w:pPr>
    </w:p>
    <w:p w:rsidR="00E15D82" w:rsidRDefault="00E15D82" w:rsidP="009C622C">
      <w:pPr>
        <w:rPr>
          <w:sz w:val="22"/>
        </w:rPr>
      </w:pPr>
    </w:p>
    <w:p w:rsidR="0041593A" w:rsidRDefault="0041593A" w:rsidP="009C622C">
      <w:pPr>
        <w:rPr>
          <w:sz w:val="22"/>
        </w:rPr>
      </w:pPr>
      <w:r>
        <w:rPr>
          <w:rFonts w:hint="eastAsia"/>
          <w:sz w:val="22"/>
        </w:rPr>
        <w:t>什么是</w:t>
      </w:r>
      <w:r>
        <w:rPr>
          <w:rFonts w:hint="eastAsia"/>
          <w:sz w:val="22"/>
        </w:rPr>
        <w:t>M</w:t>
      </w:r>
      <w:r>
        <w:rPr>
          <w:sz w:val="22"/>
        </w:rPr>
        <w:t>icrosoft Dynamic 365</w:t>
      </w:r>
    </w:p>
    <w:p w:rsidR="007237EB" w:rsidRDefault="0041593A" w:rsidP="009C622C">
      <w:pPr>
        <w:rPr>
          <w:sz w:val="22"/>
        </w:rPr>
      </w:pPr>
      <w:r>
        <w:rPr>
          <w:sz w:val="22"/>
        </w:rPr>
        <w:t xml:space="preserve">Deployment </w:t>
      </w:r>
      <w:r>
        <w:rPr>
          <w:rFonts w:hint="eastAsia"/>
          <w:sz w:val="22"/>
        </w:rPr>
        <w:t>流程</w:t>
      </w:r>
      <w:r>
        <w:rPr>
          <w:rFonts w:hint="eastAsia"/>
          <w:sz w:val="22"/>
        </w:rPr>
        <w:t xml:space="preserve">   </w:t>
      </w:r>
      <w:proofErr w:type="gramStart"/>
      <w:r>
        <w:rPr>
          <w:rFonts w:hint="eastAsia"/>
          <w:sz w:val="22"/>
        </w:rPr>
        <w:t>现有系统</w:t>
      </w:r>
      <w:r>
        <w:rPr>
          <w:rFonts w:hint="eastAsia"/>
          <w:sz w:val="22"/>
        </w:rPr>
        <w:t xml:space="preserve">  to</w:t>
      </w:r>
      <w:proofErr w:type="gramEnd"/>
      <w:r>
        <w:rPr>
          <w:rFonts w:hint="eastAsia"/>
          <w:sz w:val="22"/>
        </w:rPr>
        <w:t>-be</w:t>
      </w:r>
      <w:r>
        <w:rPr>
          <w:rFonts w:hint="eastAsia"/>
          <w:sz w:val="22"/>
        </w:rPr>
        <w:t>系统</w:t>
      </w:r>
      <w:r>
        <w:rPr>
          <w:rFonts w:hint="eastAsia"/>
          <w:sz w:val="22"/>
        </w:rPr>
        <w:t xml:space="preserve">   </w:t>
      </w:r>
      <w:r>
        <w:rPr>
          <w:rFonts w:hint="eastAsia"/>
          <w:sz w:val="22"/>
        </w:rPr>
        <w:t>一部分一部分替换</w:t>
      </w:r>
      <w:r>
        <w:rPr>
          <w:rFonts w:hint="eastAsia"/>
          <w:sz w:val="22"/>
        </w:rPr>
        <w:t>or</w:t>
      </w:r>
      <w:r>
        <w:rPr>
          <w:sz w:val="22"/>
        </w:rPr>
        <w:t xml:space="preserve"> </w:t>
      </w:r>
      <w:r>
        <w:rPr>
          <w:rFonts w:hint="eastAsia"/>
          <w:sz w:val="22"/>
        </w:rPr>
        <w:t>整体换</w:t>
      </w:r>
    </w:p>
    <w:p w:rsidR="007237EB" w:rsidRDefault="007237EB" w:rsidP="009C622C">
      <w:pPr>
        <w:rPr>
          <w:sz w:val="22"/>
        </w:rPr>
      </w:pPr>
      <w:r>
        <w:rPr>
          <w:sz w:val="22"/>
        </w:rPr>
        <w:t xml:space="preserve">How to test </w:t>
      </w:r>
    </w:p>
    <w:p w:rsidR="0041593A" w:rsidRDefault="007237EB" w:rsidP="009C622C">
      <w:pPr>
        <w:rPr>
          <w:sz w:val="22"/>
        </w:rPr>
      </w:pPr>
      <w:r>
        <w:rPr>
          <w:rFonts w:hint="eastAsia"/>
          <w:sz w:val="22"/>
        </w:rPr>
        <w:t>从</w:t>
      </w:r>
      <w:r>
        <w:rPr>
          <w:rFonts w:hint="eastAsia"/>
          <w:sz w:val="22"/>
        </w:rPr>
        <w:t>Ac</w:t>
      </w:r>
      <w:r>
        <w:rPr>
          <w:sz w:val="22"/>
        </w:rPr>
        <w:t xml:space="preserve"> </w:t>
      </w:r>
      <w:r>
        <w:rPr>
          <w:rFonts w:hint="eastAsia"/>
          <w:sz w:val="22"/>
        </w:rPr>
        <w:t>得到代码</w:t>
      </w:r>
      <w:r>
        <w:rPr>
          <w:rFonts w:hint="eastAsia"/>
          <w:sz w:val="22"/>
        </w:rPr>
        <w:t xml:space="preserve"> </w:t>
      </w:r>
    </w:p>
    <w:p w:rsidR="00C805E4" w:rsidRPr="009C622C" w:rsidRDefault="00C805E4" w:rsidP="009C622C">
      <w:pPr>
        <w:tabs>
          <w:tab w:val="left" w:pos="2730"/>
        </w:tabs>
      </w:pPr>
      <w:bookmarkStart w:id="0" w:name="_GoBack"/>
      <w:bookmarkEnd w:id="0"/>
    </w:p>
    <w:sectPr w:rsidR="00C805E4" w:rsidRPr="009C622C" w:rsidSect="009C622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CF3C50"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622C"/>
    <w:rsid w:val="00014FA1"/>
    <w:rsid w:val="000C4F31"/>
    <w:rsid w:val="00151199"/>
    <w:rsid w:val="001A38A5"/>
    <w:rsid w:val="001F6D69"/>
    <w:rsid w:val="002327DD"/>
    <w:rsid w:val="00371707"/>
    <w:rsid w:val="003A2FB0"/>
    <w:rsid w:val="003A4B56"/>
    <w:rsid w:val="003F3F25"/>
    <w:rsid w:val="0041593A"/>
    <w:rsid w:val="00470718"/>
    <w:rsid w:val="005244DA"/>
    <w:rsid w:val="00567E35"/>
    <w:rsid w:val="0060376B"/>
    <w:rsid w:val="0060567D"/>
    <w:rsid w:val="00630DA0"/>
    <w:rsid w:val="00692882"/>
    <w:rsid w:val="006F24EE"/>
    <w:rsid w:val="007237EB"/>
    <w:rsid w:val="0080655C"/>
    <w:rsid w:val="008C7C24"/>
    <w:rsid w:val="009338F3"/>
    <w:rsid w:val="00960D7A"/>
    <w:rsid w:val="00980413"/>
    <w:rsid w:val="009C622C"/>
    <w:rsid w:val="00A76968"/>
    <w:rsid w:val="00AA6988"/>
    <w:rsid w:val="00AB5CEB"/>
    <w:rsid w:val="00B60E45"/>
    <w:rsid w:val="00BC059D"/>
    <w:rsid w:val="00BD472E"/>
    <w:rsid w:val="00BF0BEB"/>
    <w:rsid w:val="00C51201"/>
    <w:rsid w:val="00C805E4"/>
    <w:rsid w:val="00C96F14"/>
    <w:rsid w:val="00D25A41"/>
    <w:rsid w:val="00D517A6"/>
    <w:rsid w:val="00D708BE"/>
    <w:rsid w:val="00E15D82"/>
    <w:rsid w:val="00F7751E"/>
    <w:rsid w:val="00F845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2166C2"/>
  <w15:chartTrackingRefBased/>
  <w15:docId w15:val="{7BA0C6E8-F165-45A5-B6B0-DC29D701E0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24EE"/>
    <w:rPr>
      <w:rFonts w:ascii="Arial" w:hAnsi="Arial"/>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C622C"/>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image" Target="media/image9.tmp"/><Relationship Id="rId3" Type="http://schemas.openxmlformats.org/officeDocument/2006/relationships/settings" Target="settings.xml"/><Relationship Id="rId7" Type="http://schemas.openxmlformats.org/officeDocument/2006/relationships/image" Target="media/image3.tmp"/><Relationship Id="rId12" Type="http://schemas.openxmlformats.org/officeDocument/2006/relationships/image" Target="media/image8.tmp"/><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tmp"/><Relationship Id="rId11" Type="http://schemas.openxmlformats.org/officeDocument/2006/relationships/image" Target="media/image7.tmp"/><Relationship Id="rId5" Type="http://schemas.openxmlformats.org/officeDocument/2006/relationships/image" Target="media/image1.tmp"/><Relationship Id="rId15" Type="http://schemas.openxmlformats.org/officeDocument/2006/relationships/theme" Target="theme/theme1.xml"/><Relationship Id="rId10" Type="http://schemas.openxmlformats.org/officeDocument/2006/relationships/image" Target="media/image6.tmp"/><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D801C6-1D93-4274-8D16-37EB2E8662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1950</TotalTime>
  <Pages>6</Pages>
  <Words>674</Words>
  <Characters>3843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United Overseas Bank Limited</Company>
  <LinksUpToDate>false</LinksUpToDate>
  <CharactersWithSpaces>4508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Keyao WEI (TS)</dc:creator>
  <cp:keywords/>
  <dc:description/>
  <cp:lastModifiedBy>Keyao WEI (TS)</cp:lastModifiedBy>
  <cp:revision>2</cp:revision>
  <dcterms:created xsi:type="dcterms:W3CDTF">2019-10-01T01:50:00Z</dcterms:created>
  <dcterms:modified xsi:type="dcterms:W3CDTF">2019-10-22T09:39:00Z</dcterms:modified>
</cp:coreProperties>
</file>