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7E" w:rsidRDefault="00845F7E" w:rsidP="00845F7E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845F7E" w:rsidRDefault="00845F7E" w:rsidP="00845F7E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6-19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6-25</w:t>
      </w:r>
      <w:r>
        <w:rPr>
          <w:i/>
          <w:color w:val="548DD4" w:themeColor="text2" w:themeTint="99"/>
        </w:rPr>
        <w:t>]</w:t>
      </w:r>
    </w:p>
    <w:p w:rsidR="00845F7E" w:rsidRDefault="00845F7E" w:rsidP="00845F7E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3E4A8B3A" wp14:editId="4CCC0869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A6B83E7" wp14:editId="19B01401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12FC3119" wp14:editId="6FF4518A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0AE90396" wp14:editId="283B4CE9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06026210" wp14:editId="2478A401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845F7E" w:rsidRDefault="00845F7E" w:rsidP="00845F7E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33889F0" wp14:editId="6B109247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5F7E" w:rsidRDefault="00845F7E" w:rsidP="00845F7E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845F7E" w:rsidRPr="00111475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</w:t>
            </w:r>
            <w:r>
              <w:rPr>
                <w:rFonts w:asciiTheme="minorEastAsia" w:eastAsiaTheme="minorEastAsia" w:hAnsiTheme="minorEastAsia" w:cs="宋体" w:hint="eastAsia"/>
              </w:rPr>
              <w:t>高明健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845F7E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DD7373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做展示PPT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111475" w:rsidRDefault="00845F7E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Default="00845F7E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proofErr w:type="spellStart"/>
            <w:r>
              <w:rPr>
                <w:rFonts w:asciiTheme="minorEastAsia" w:hAnsiTheme="minorEastAsia" w:cs="宋体" w:hint="eastAsia"/>
              </w:rPr>
              <w:t>邢旭东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F7E" w:rsidRPr="00845F7E" w:rsidRDefault="00845F7E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完成</w:t>
            </w:r>
          </w:p>
        </w:tc>
      </w:tr>
    </w:tbl>
    <w:p w:rsidR="00845F7E" w:rsidRDefault="00845F7E" w:rsidP="00845F7E"/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845F7E" w:rsidRPr="00B7412C" w:rsidRDefault="00845F7E" w:rsidP="00845F7E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  <w:r w:rsidR="00377856">
        <w:rPr>
          <w:rFonts w:hint="eastAsia"/>
        </w:rPr>
        <w:t>，进行最后收尾工作</w:t>
      </w:r>
    </w:p>
    <w:p w:rsidR="00845F7E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845F7E" w:rsidRPr="00111475" w:rsidRDefault="00845F7E" w:rsidP="00845F7E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845F7E" w:rsidRPr="00111475" w:rsidRDefault="00845F7E" w:rsidP="00845F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p w:rsidR="00845F7E" w:rsidRDefault="00377856" w:rsidP="00377856">
      <w:pPr>
        <w:ind w:left="420"/>
      </w:pPr>
      <w:r>
        <w:rPr>
          <w:rFonts w:hint="eastAsia"/>
        </w:rPr>
        <w:t>无</w:t>
      </w:r>
      <w:bookmarkStart w:id="0" w:name="_GoBack"/>
      <w:bookmarkEnd w:id="0"/>
    </w:p>
    <w:p w:rsidR="00845F7E" w:rsidRDefault="00845F7E" w:rsidP="00845F7E"/>
    <w:p w:rsidR="00845F7E" w:rsidRPr="009410DF" w:rsidRDefault="00845F7E" w:rsidP="00845F7E"/>
    <w:p w:rsidR="00845F7E" w:rsidRDefault="00845F7E" w:rsidP="00845F7E"/>
    <w:p w:rsidR="00845F7E" w:rsidRDefault="00845F7E" w:rsidP="00845F7E"/>
    <w:p w:rsidR="00845F7E" w:rsidRDefault="00845F7E" w:rsidP="00845F7E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35" w:rsidRDefault="00093735" w:rsidP="00845F7E">
      <w:pPr>
        <w:spacing w:line="240" w:lineRule="auto"/>
      </w:pPr>
      <w:r>
        <w:separator/>
      </w:r>
    </w:p>
  </w:endnote>
  <w:endnote w:type="continuationSeparator" w:id="0">
    <w:p w:rsidR="00093735" w:rsidRDefault="00093735" w:rsidP="00845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35" w:rsidRDefault="00093735" w:rsidP="00845F7E">
      <w:pPr>
        <w:spacing w:line="240" w:lineRule="auto"/>
      </w:pPr>
      <w:r>
        <w:separator/>
      </w:r>
    </w:p>
  </w:footnote>
  <w:footnote w:type="continuationSeparator" w:id="0">
    <w:p w:rsidR="00093735" w:rsidRDefault="00093735" w:rsidP="00845F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62"/>
    <w:rsid w:val="00070D93"/>
    <w:rsid w:val="00093735"/>
    <w:rsid w:val="00210A32"/>
    <w:rsid w:val="00377856"/>
    <w:rsid w:val="00845F7E"/>
    <w:rsid w:val="008E7462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F7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7E"/>
    <w:rPr>
      <w:sz w:val="18"/>
      <w:szCs w:val="18"/>
    </w:rPr>
  </w:style>
  <w:style w:type="paragraph" w:styleId="a5">
    <w:name w:val="List Paragraph"/>
    <w:basedOn w:val="a"/>
    <w:uiPriority w:val="34"/>
    <w:qFormat/>
    <w:rsid w:val="00845F7E"/>
    <w:pPr>
      <w:ind w:firstLineChars="200" w:firstLine="420"/>
    </w:pPr>
  </w:style>
  <w:style w:type="table" w:styleId="a6">
    <w:name w:val="Table Grid"/>
    <w:basedOn w:val="a1"/>
    <w:uiPriority w:val="59"/>
    <w:rsid w:val="00845F7E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5F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F7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F7E"/>
    <w:rPr>
      <w:sz w:val="18"/>
      <w:szCs w:val="18"/>
    </w:rPr>
  </w:style>
  <w:style w:type="paragraph" w:styleId="a5">
    <w:name w:val="List Paragraph"/>
    <w:basedOn w:val="a"/>
    <w:uiPriority w:val="34"/>
    <w:qFormat/>
    <w:rsid w:val="00845F7E"/>
    <w:pPr>
      <w:ind w:firstLineChars="200" w:firstLine="420"/>
    </w:pPr>
  </w:style>
  <w:style w:type="table" w:styleId="a6">
    <w:name w:val="Table Grid"/>
    <w:basedOn w:val="a1"/>
    <w:uiPriority w:val="59"/>
    <w:rsid w:val="00845F7E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5F7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5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3238912"/>
        <c:axId val="323244800"/>
      </c:lineChart>
      <c:catAx>
        <c:axId val="323238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23244800"/>
        <c:crosses val="autoZero"/>
        <c:auto val="1"/>
        <c:lblAlgn val="ctr"/>
        <c:lblOffset val="100"/>
        <c:noMultiLvlLbl val="0"/>
      </c:catAx>
      <c:valAx>
        <c:axId val="32324480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323238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17152"/>
        <c:axId val="324018944"/>
      </c:lineChart>
      <c:dateAx>
        <c:axId val="3240171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24018944"/>
        <c:crosses val="autoZero"/>
        <c:auto val="1"/>
        <c:lblOffset val="100"/>
        <c:baseTimeUnit val="days"/>
      </c:dateAx>
      <c:valAx>
        <c:axId val="324018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4017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44672"/>
        <c:axId val="324046208"/>
      </c:lineChart>
      <c:catAx>
        <c:axId val="324044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4046208"/>
        <c:crosses val="autoZero"/>
        <c:auto val="1"/>
        <c:lblAlgn val="ctr"/>
        <c:lblOffset val="100"/>
        <c:noMultiLvlLbl val="0"/>
      </c:catAx>
      <c:valAx>
        <c:axId val="324046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4044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073344"/>
        <c:axId val="324074880"/>
      </c:lineChart>
      <c:catAx>
        <c:axId val="324073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4074880"/>
        <c:crosses val="autoZero"/>
        <c:auto val="1"/>
        <c:lblAlgn val="ctr"/>
        <c:lblOffset val="100"/>
        <c:noMultiLvlLbl val="0"/>
      </c:catAx>
      <c:valAx>
        <c:axId val="32407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4073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3450752"/>
        <c:axId val="323452288"/>
      </c:lineChart>
      <c:catAx>
        <c:axId val="323450752"/>
        <c:scaling>
          <c:orientation val="minMax"/>
        </c:scaling>
        <c:delete val="0"/>
        <c:axPos val="b"/>
        <c:majorTickMark val="out"/>
        <c:minorTickMark val="none"/>
        <c:tickLblPos val="nextTo"/>
        <c:crossAx val="323452288"/>
        <c:crosses val="autoZero"/>
        <c:auto val="1"/>
        <c:lblAlgn val="ctr"/>
        <c:lblOffset val="100"/>
        <c:noMultiLvlLbl val="0"/>
      </c:catAx>
      <c:valAx>
        <c:axId val="323452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3450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3483520"/>
        <c:axId val="3234850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3623552"/>
        <c:axId val="323622016"/>
      </c:lineChart>
      <c:catAx>
        <c:axId val="32348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323485056"/>
        <c:crosses val="autoZero"/>
        <c:auto val="1"/>
        <c:lblAlgn val="ctr"/>
        <c:lblOffset val="100"/>
        <c:noMultiLvlLbl val="0"/>
      </c:catAx>
      <c:valAx>
        <c:axId val="3234850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23483520"/>
        <c:crosses val="autoZero"/>
        <c:crossBetween val="between"/>
      </c:valAx>
      <c:valAx>
        <c:axId val="32362201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323623552"/>
        <c:crosses val="max"/>
        <c:crossBetween val="between"/>
      </c:valAx>
      <c:catAx>
        <c:axId val="323623552"/>
        <c:scaling>
          <c:orientation val="minMax"/>
        </c:scaling>
        <c:delete val="1"/>
        <c:axPos val="b"/>
        <c:majorTickMark val="out"/>
        <c:minorTickMark val="none"/>
        <c:tickLblPos val="nextTo"/>
        <c:crossAx val="32362201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3</cp:revision>
  <dcterms:created xsi:type="dcterms:W3CDTF">2018-06-25T12:37:00Z</dcterms:created>
  <dcterms:modified xsi:type="dcterms:W3CDTF">2018-06-25T12:44:00Z</dcterms:modified>
</cp:coreProperties>
</file>