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before="800" w:after="200"/>
        <w:jc w:val="center"/>
      </w:pPr>
      <w:r>
        <w:rPr>
          <w:rFonts w:ascii="Times New Roman" w:cs="Times New Roman" w:eastAsia="Times New Roman" w:hAnsi="Times New Roman"/>
          <w:color w:val="64748B"/>
          <w:sz w:val="28"/>
          <w:szCs w:val="28"/>
        </w:rPr>
        <w:t xml:space="preserve">REPORTE DE ESTRATEGIA</w:t>
      </w:r>
    </w:p>
    <w:p>
      <w:pPr>
        <w:spacing w:after="100"/>
        <w:jc w:val="center"/>
      </w:pPr>
      <w:r>
        <w:rPr>
          <w:rFonts w:ascii="Times New Roman" w:cs="Times New Roman" w:eastAsia="Times New Roman" w:hAnsi="Times New Roman"/>
          <w:color w:val="64748B"/>
          <w:sz w:val="28"/>
          <w:szCs w:val="28"/>
        </w:rPr>
        <w:t xml:space="preserve">DE PRODUCTO Y DISEÑO</w:t>
      </w:r>
    </w:p>
    <w:p>
      <w:pPr>
        <w:spacing w:before="600" w:after="400"/>
        <w:jc w:val="center"/>
      </w:pPr>
      <w:r>
        <w:rPr>
          <w:rFonts w:ascii="Times New Roman" w:cs="Times New Roman" w:eastAsia="Times New Roman" w:hAnsi="Times New Roman"/>
          <w:b/>
          <w:bCs/>
          <w:color w:val="020617"/>
          <w:sz w:val="96"/>
          <w:szCs w:val="96"/>
        </w:rPr>
        <w:t xml:space="preserve">BIOMOV</w:t>
      </w:r>
    </w:p>
    <w:p>
      <w:pPr>
        <w:spacing w:before="400" w:after="200"/>
        <w:jc w:val="center"/>
      </w:pPr>
      <w:r>
        <w:rPr>
          <w:rFonts w:ascii="Times New Roman" w:cs="Times New Roman" w:eastAsia="Times New Roman" w:hAnsi="Times New Roman"/>
          <w:i/>
          <w:iCs/>
          <w:color w:val="64748B"/>
          <w:sz w:val="28"/>
          <w:szCs w:val="28"/>
        </w:rPr>
        <w:t xml:space="preserve">Ecosistema Disruptivo de Entrenamiento</w:t>
      </w:r>
    </w:p>
    <w:p>
      <w:pPr>
        <w:spacing w:before="200" w:after="200"/>
        <w:jc w:val="center"/>
      </w:pPr>
      <w:r>
        <w:rPr>
          <w:rFonts w:ascii="Times New Roman" w:cs="Times New Roman" w:eastAsia="Times New Roman" w:hAnsi="Times New Roman"/>
          <w:color w:val="94A3B8"/>
          <w:sz w:val="22"/>
          <w:szCs w:val="22"/>
        </w:rPr>
        <w:t xml:space="preserve">Inteligencia Artificial • Ciencia de la Fuerza • HealthTech</w:t>
      </w:r>
    </w:p>
    <w:p>
      <w:pPr>
        <w:spacing w:before="3000"/>
      </w:pPr>
    </w:p>
    <w:p>
      <w:pPr>
        <w:jc w:val="center"/>
      </w:pPr>
      <w:r>
        <w:rPr>
          <w:rFonts w:ascii="Times New Roman" w:cs="Times New Roman" w:eastAsia="Times New Roman" w:hAnsi="Times New Roman"/>
          <w:color w:val="1E293B"/>
          <w:sz w:val="22"/>
          <w:szCs w:val="22"/>
        </w:rPr>
        <w:t xml:space="preserve">Documento Estratégico 2026</w:t>
      </w:r>
    </w:p>
    <w:p>
      <w:pPr>
        <w:sectPr>
          <w:pgSz w:w="11906" w:h="16838" w:orient="portrait"/>
          <w:pgMar w:top="0" w:right="0" w:bottom="0" w:left="0" w:header="708" w:footer="708" w:gutter="0"/>
          <w:pgNumType/>
          <w:docGrid w:linePitch="360"/>
        </w:sectPr>
      </w:pPr>
    </w:p>
    <w:sdt>
      <w:sdtPr>
        <w:alias w:val="Tabla de Contenidos"/>
      </w:sdtPr>
      <w:sdtContent>
        <w:p>
          <w:r>
            <w:fldChar w:fldCharType="begin" w:dirty="true"/>
            <w:instrText xml:space="preserve">TOC \h \o "1-3"</w:instrText>
            <w:fldChar w:fldCharType="separate"/>
          </w:r>
        </w:p>
        <w:p>
          <w:pPr>
            <w:pStyle w:val="9"/>
            <w:tabs>
              <w:tab w:val="right" w:leader="dot" w:pos="9026"/>
            </w:tabs>
          </w:pPr>
          <w:r>
            <w:t>1. Visión Estratégica y Fundamentos Científicos</w:t>
          </w:r>
          <w:r>
            <w:tab/>
          </w:r>
          <w:r>
            <w:t>3</w:t>
          </w:r>
        </w:p>
        <w:p>
          <w:pPr>
            <w:pStyle w:val="9"/>
            <w:tabs>
              <w:tab w:val="right" w:leader="dot" w:pos="9026"/>
            </w:tabs>
          </w:pPr>
          <w:r>
            <w:t>2. Arquitectura de Adherencia: El Gap del Asesoramiento Profesional</w:t>
          </w:r>
          <w:r>
            <w:tab/>
          </w:r>
          <w:r>
            <w:t>4</w:t>
          </w:r>
        </w:p>
        <w:p>
          <w:pPr>
            <w:pStyle w:val="11"/>
            <w:ind w:left="360"/>
            <w:tabs>
              <w:tab w:val="right" w:leader="dot" w:pos="9026"/>
            </w:tabs>
          </w:pPr>
          <w:r>
            <w:t>Estrategias de Diseño para la Retención Crítica</w:t>
          </w:r>
          <w:r>
            <w:tab/>
          </w:r>
          <w:r>
            <w:t>4</w:t>
          </w:r>
        </w:p>
        <w:p>
          <w:pPr>
            <w:pStyle w:val="11"/>
            <w:ind w:left="360"/>
            <w:tabs>
              <w:tab w:val="right" w:leader="dot" w:pos="9026"/>
            </w:tabs>
          </w:pPr>
          <w:r>
            <w:t>Matriz de Soluciones de Diseño BIOMOV</w:t>
          </w:r>
          <w:r>
            <w:tab/>
          </w:r>
          <w:r>
            <w:t>5</w:t>
          </w:r>
        </w:p>
        <w:p>
          <w:pPr>
            <w:pStyle w:val="9"/>
            <w:tabs>
              <w:tab w:val="right" w:leader="dot" w:pos="9026"/>
            </w:tabs>
          </w:pPr>
          <w:r>
            <w:t>3. El Motor de IA: Inteligencia Percibida (PI) y Antropomorfismo (PA)</w:t>
          </w:r>
          <w:r>
            <w:tab/>
          </w:r>
          <w:r>
            <w:t>5</w:t>
          </w:r>
        </w:p>
        <w:p>
          <w:pPr>
            <w:pStyle w:val="11"/>
            <w:ind w:left="360"/>
            <w:tabs>
              <w:tab w:val="right" w:leader="dot" w:pos="9026"/>
            </w:tabs>
          </w:pPr>
          <w:r>
            <w:t>Capacidades del Algoritmo de Alto Impacto</w:t>
          </w:r>
          <w:r>
            <w:tab/>
          </w:r>
          <w:r>
            <w:t>6</w:t>
          </w:r>
        </w:p>
        <w:p>
          <w:pPr>
            <w:pStyle w:val="9"/>
            <w:tabs>
              <w:tab w:val="right" w:leader="dot" w:pos="9026"/>
            </w:tabs>
          </w:pPr>
          <w:r>
            <w:t>4. Guía de Prototipado para el Diseñador Web (UI/UX)</w:t>
          </w:r>
          <w:r>
            <w:tab/>
          </w:r>
          <w:r>
            <w:t>6</w:t>
          </w:r>
        </w:p>
        <w:p>
          <w:pPr>
            <w:pStyle w:val="9"/>
            <w:tabs>
              <w:tab w:val="right" w:leader="dot" w:pos="9026"/>
            </w:tabs>
          </w:pPr>
          <w:r>
            <w:t>5. Nutrición y Recuperación: El Soporte de la Adaptación</w:t>
          </w:r>
          <w:r>
            <w:tab/>
          </w:r>
          <w:r>
            <w:t>7</w:t>
          </w:r>
        </w:p>
        <w:p>
          <w:pPr>
            <w:pStyle w:val="11"/>
            <w:ind w:left="360"/>
            <w:tabs>
              <w:tab w:val="right" w:leader="dot" w:pos="9026"/>
            </w:tabs>
          </w:pPr>
          <w:r>
            <w:t>Gestión de Macronutrientes Específicos</w:t>
          </w:r>
          <w:r>
            <w:tab/>
          </w:r>
          <w:r>
            <w:t>7</w:t>
          </w:r>
        </w:p>
        <w:p>
          <w:pPr>
            <w:pStyle w:val="11"/>
            <w:ind w:left="360"/>
            <w:tabs>
              <w:tab w:val="right" w:leader="dot" w:pos="9026"/>
            </w:tabs>
          </w:pPr>
          <w:r>
            <w:t>Suplementación y Mitigación de Inflamación</w:t>
          </w:r>
          <w:r>
            <w:tab/>
          </w:r>
          <w:r>
            <w:t>7</w:t>
          </w:r>
        </w:p>
        <w:p>
          <w:pPr>
            <w:pStyle w:val="9"/>
            <w:tabs>
              <w:tab w:val="right" w:leader="dot" w:pos="9026"/>
            </w:tabs>
          </w:pPr>
          <w:r>
            <w:t>6. Roadmap de Funcionalidades P0 (Prioridad Máxima 2026)</w:t>
          </w:r>
          <w:r>
            <w:tab/>
          </w:r>
          <w:r>
            <w:t>8</w:t>
          </w:r>
        </w:p>
        <w:p>
          <w:r>
            <w:fldChar w:fldCharType="end"/>
          </w:r>
        </w:p>
      </w:sdtContent>
    </w:sdt>
    <w:p>
      <w:pPr>
        <w:spacing w:before="200" w:after="400"/>
        <w:jc w:val="center"/>
      </w:pPr>
      <w:r>
        <w:rPr>
          <w:rFonts w:ascii="Times New Roman" w:cs="Times New Roman" w:eastAsia="Times New Roman" w:hAnsi="Times New Roman"/>
          <w:i/>
          <w:iCs/>
          <w:color w:val="999999"/>
          <w:sz w:val="18"/>
          <w:szCs w:val="18"/>
        </w:rPr>
        <w:t xml:space="preserve">Nota: Haga clic derecho en la Tabla de Contenidos y seleccione "Actualizar campo" para mostrar los números de página correctos.</w:t>
      </w:r>
    </w:p>
    <w:p>
      <w:r>
        <w:br w:type="page"/>
      </w:r>
    </w:p>
    <w:p>
      <w:pPr>
        <w:pStyle w:val="Heading1"/>
      </w:pPr>
      <w:r>
        <w:t xml:space="preserve">1. Visión Estratégica y Fundamentos Científicos</w:t>
      </w:r>
    </w:p>
    <w:p>
      <w:pPr>
        <w:spacing w:after="200" w:line="312"/>
      </w:pPr>
      <w:r>
        <w:rPr>
          <w:rFonts w:ascii="Times New Roman" w:cs="Times New Roman" w:eastAsia="Times New Roman" w:hAnsi="Times New Roman"/>
          <w:color w:val="1E293B"/>
          <w:sz w:val="22"/>
          <w:szCs w:val="22"/>
        </w:rPr>
        <w:t xml:space="preserve">BIOMOV no es una herramienta de seguimiento; es un ecosistema disruptivo diseñado bajo los parámetros de la "Ciencia de la Fuerza". Mientras el mercado se satura con aplicaciones que utilizan la "IA" como una etiqueta de marketing vacía, BIOMOV se posiciona mediante la integración de principios biológicos y arquitecturas de datos masivos. Nuestra propuesta de valor se centra en optimizar la Adaptación Neurológica —mejorando la eficiencia del reclutamiento de unidades motoras antes de buscar la hipertrofia estructural— y en la gestión de la Demanda Metabólica para maximizar la ventana de recuperación del usuario.</w:t>
      </w:r>
    </w:p>
    <w:p>
      <w:pPr>
        <w:spacing w:after="200" w:line="312"/>
      </w:pPr>
      <w:r>
        <w:rPr>
          <w:rFonts w:ascii="Times New Roman" w:cs="Times New Roman" w:eastAsia="Times New Roman" w:hAnsi="Times New Roman"/>
          <w:color w:val="1E293B"/>
          <w:sz w:val="22"/>
          <w:szCs w:val="22"/>
        </w:rPr>
        <w:t xml:space="preserve">Para trascender la obsolescencia funcional y prevenir los estancamientos (plateaus), BIOMOV traduce los cuatro pilares del entrenamiento en arquitecturas técnicas precisas que fundamentan todas las decisiones de diseño y desarrollo del producto:</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Sobrecarga Progresiva: </w:t>
      </w:r>
      <w:r>
        <w:rPr>
          <w:rFonts w:ascii="Times New Roman" w:cs="Times New Roman" w:eastAsia="Times New Roman" w:hAnsi="Times New Roman"/>
          <w:color w:val="1E293B"/>
          <w:sz w:val="22"/>
          <w:szCs w:val="22"/>
        </w:rPr>
        <w:t xml:space="preserve">El motor prescribe aumentos granulares en el estrés mecánico. Basándonos en datos que demuestran que el seguimiento algorítmico mejora el 1RM un 27% más rápido que el entrenamiento manual, BIOMOV automatiza la progresión para evitar la infraestimulación y garantizar resultados medibles.</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Especificidad: </w:t>
      </w:r>
      <w:r>
        <w:rPr>
          <w:rFonts w:ascii="Times New Roman" w:cs="Times New Roman" w:eastAsia="Times New Roman" w:hAnsi="Times New Roman"/>
          <w:color w:val="1E293B"/>
          <w:sz w:val="22"/>
          <w:szCs w:val="22"/>
        </w:rPr>
        <w:t xml:space="preserve">Los protocolos diferencian drásticamente entre el reclutamiento de Fibras Tipo I (Slow-Twitch) para resistencia y Fibras Tipo II (Fast-Twitch) para potencia y fuerza máxima, asegurando que la selección de ejercicios compuestos mantenga una alta fidelidad biomecánica con el objetivo del usuario.</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Recuperación: </w:t>
      </w:r>
      <w:r>
        <w:rPr>
          <w:rFonts w:ascii="Times New Roman" w:cs="Times New Roman" w:eastAsia="Times New Roman" w:hAnsi="Times New Roman"/>
          <w:color w:val="1E293B"/>
          <w:sz w:val="22"/>
          <w:szCs w:val="22"/>
        </w:rPr>
        <w:t xml:space="preserve">La aplicación gestiona la reparación de micro-desgarros tisulares exigiendo un mínimo de 48 horas de descanso entre estímulos para el mismo grupo muscular, optimizando la supercompensación y previniendo el sobreentrenamiento.</w:t>
      </w:r>
    </w:p>
    <w:p>
      <w:pPr>
        <w:pStyle w:val="ListParagraph"/>
        <w:numPr>
          <w:ilvl w:val="0"/>
          <w:numId w:val="2"/>
        </w:numPr>
        <w:spacing w:after="200" w:line="312"/>
      </w:pPr>
      <w:r>
        <w:rPr>
          <w:rFonts w:ascii="Times New Roman" w:cs="Times New Roman" w:eastAsia="Times New Roman" w:hAnsi="Times New Roman"/>
          <w:b/>
          <w:bCs/>
          <w:color w:val="1E293B"/>
          <w:sz w:val="22"/>
          <w:szCs w:val="22"/>
        </w:rPr>
        <w:t xml:space="preserve">Variación: </w:t>
      </w:r>
      <w:r>
        <w:rPr>
          <w:rFonts w:ascii="Times New Roman" w:cs="Times New Roman" w:eastAsia="Times New Roman" w:hAnsi="Times New Roman"/>
          <w:color w:val="1E293B"/>
          <w:sz w:val="22"/>
          <w:szCs w:val="22"/>
        </w:rPr>
        <w:t xml:space="preserve">Para mitigar el fenómeno de Resistencia Adaptativa, el algoritmo implementa una Periodización Undulante. Al rotar intensidades y volúmenes dentro de la misma semana, evitamos que el sistema nervioso central se adapte al estímulo, manteniendo una curva de progreso lineal y eliminando los puntos de estancamiento.</w:t>
      </w:r>
    </w:p>
    <w:p>
      <w:pPr>
        <w:spacing w:after="200" w:line="312"/>
      </w:pPr>
      <w:r>
        <w:rPr>
          <w:rFonts w:ascii="Times New Roman" w:cs="Times New Roman" w:eastAsia="Times New Roman" w:hAnsi="Times New Roman"/>
          <w:color w:val="1E293B"/>
          <w:sz w:val="22"/>
          <w:szCs w:val="22"/>
        </w:rPr>
        <w:t xml:space="preserve">Esta base científica robusta requiere una interfaz que minimice la Carga Cognitiva, permitiendo que la inteligencia del sistema guíe al usuario de forma invisible pero infalible, transformando datos complejos en decisiones de entrenamiento intuitivas y efectivas.</w:t>
      </w:r>
    </w:p>
    <w:p>
      <w:pPr>
        <w:pStyle w:val="Heading1"/>
      </w:pPr>
      <w:r>
        <w:t xml:space="preserve">2. Arquitectura de Adherencia: El Gap del Asesoramiento Profesional</w:t>
      </w:r>
    </w:p>
    <w:p>
      <w:pPr>
        <w:spacing w:after="200" w:line="312"/>
      </w:pPr>
      <w:r>
        <w:rPr>
          <w:rFonts w:ascii="Times New Roman" w:cs="Times New Roman" w:eastAsia="Times New Roman" w:hAnsi="Times New Roman"/>
          <w:color w:val="1E293B"/>
          <w:sz w:val="22"/>
          <w:szCs w:val="22"/>
        </w:rPr>
        <w:t xml:space="preserve">El 50% de los usuarios abandona el entrenamiento en los primeros seis meses debido a la falta de tiempo y la erosión de la motivación. BIOMOV identifica un gap crítico en el mercado: según el Source Context, el 41.8% de la población no recibe asesoramiento de profesionales de la salud. Nuestra estrategia de producto convierte a BIOMOV en ese asesor experto que personaliza la experiencia para neutralizar el abandono y crear una propuesta de valor diferenciada en el mercado de fitness digital.</w:t>
      </w:r>
    </w:p>
    <w:p>
      <w:pPr>
        <w:pStyle w:val="Heading2"/>
      </w:pPr>
      <w:r>
        <w:t xml:space="preserve">Estrategias de Diseño para la Retención Crítica</w:t>
      </w:r>
    </w:p>
    <w:p>
      <w:pPr>
        <w:pStyle w:val="ListParagraph"/>
        <w:numPr>
          <w:ilvl w:val="0"/>
          <w:numId w:val="3"/>
        </w:numPr>
        <w:spacing w:after="80" w:line="312"/>
      </w:pPr>
      <w:r>
        <w:rPr>
          <w:rFonts w:ascii="Times New Roman" w:cs="Times New Roman" w:eastAsia="Times New Roman" w:hAnsi="Times New Roman"/>
          <w:b/>
          <w:bCs/>
          <w:color w:val="1E293B"/>
          <w:sz w:val="22"/>
          <w:szCs w:val="22"/>
        </w:rPr>
        <w:t xml:space="preserve">Gestión de la Sarcopenia y Agendas de Alta Intensidad:</w:t>
      </w:r>
    </w:p>
    <w:p>
      <w:pPr>
        <w:pStyle w:val="ListParagraph"/>
        <w:numPr>
          <w:ilvl w:val="0"/>
          <w:numId w:val="4"/>
        </w:numPr>
        <w:spacing w:after="60" w:line="312"/>
      </w:pPr>
      <w:r>
        <w:rPr>
          <w:rFonts w:ascii="Times New Roman" w:cs="Times New Roman" w:eastAsia="Times New Roman" w:hAnsi="Times New Roman"/>
          <w:b/>
          <w:bCs/>
          <w:color w:val="1E293B"/>
          <w:sz w:val="22"/>
          <w:szCs w:val="22"/>
        </w:rPr>
        <w:t xml:space="preserve">Segmento Juvenil: </w:t>
      </w:r>
      <w:r>
        <w:rPr>
          <w:rFonts w:ascii="Times New Roman" w:cs="Times New Roman" w:eastAsia="Times New Roman" w:hAnsi="Times New Roman"/>
          <w:color w:val="1E293B"/>
          <w:sz w:val="22"/>
          <w:szCs w:val="22"/>
        </w:rPr>
        <w:t xml:space="preserve">Protocolos HIIT compactos diseñados para la eficiencia temporal, reduciendo la fricción de entrada y maximizando la adherencia en poblaciones con agendas saturadas.</w:t>
      </w:r>
    </w:p>
    <w:p>
      <w:pPr>
        <w:pStyle w:val="ListParagraph"/>
        <w:numPr>
          <w:ilvl w:val="0"/>
          <w:numId w:val="4"/>
        </w:numPr>
        <w:spacing w:after="120" w:line="312"/>
      </w:pPr>
      <w:r>
        <w:rPr>
          <w:rFonts w:ascii="Times New Roman" w:cs="Times New Roman" w:eastAsia="Times New Roman" w:hAnsi="Times New Roman"/>
          <w:b/>
          <w:bCs/>
          <w:color w:val="1E293B"/>
          <w:sz w:val="22"/>
          <w:szCs w:val="22"/>
        </w:rPr>
        <w:t xml:space="preserve">Segmento &gt;40 años: </w:t>
      </w:r>
      <w:r>
        <w:rPr>
          <w:rFonts w:ascii="Times New Roman" w:cs="Times New Roman" w:eastAsia="Times New Roman" w:hAnsi="Times New Roman"/>
          <w:color w:val="1E293B"/>
          <w:sz w:val="22"/>
          <w:szCs w:val="22"/>
        </w:rPr>
        <w:t xml:space="preserve">Programas enfocados en la preservación de la masa muscular y densidad ósea para combatir la sarcopenia, con un enfoque en la salud articular y volúmenes moderados que se integran en estilos de vida demandantes.</w:t>
      </w:r>
    </w:p>
    <w:p>
      <w:pPr>
        <w:pStyle w:val="ListParagraph"/>
        <w:numPr>
          <w:ilvl w:val="0"/>
          <w:numId w:val="3"/>
        </w:numPr>
        <w:spacing w:after="200" w:line="312"/>
      </w:pPr>
      <w:r>
        <w:rPr>
          <w:rFonts w:ascii="Times New Roman" w:cs="Times New Roman" w:eastAsia="Times New Roman" w:hAnsi="Times New Roman"/>
          <w:b/>
          <w:bCs/>
          <w:color w:val="1E293B"/>
          <w:sz w:val="22"/>
          <w:szCs w:val="22"/>
        </w:rPr>
        <w:t xml:space="preserve">Transición de Motivación Extrínseca a Educación Intrínseca:</w:t>
      </w:r>
      <w:r>
        <w:rPr>
          <w:rFonts w:ascii="Times New Roman" w:cs="Times New Roman" w:eastAsia="Times New Roman" w:hAnsi="Times New Roman"/>
          <w:color w:val="1E293B"/>
          <w:sz w:val="22"/>
          <w:szCs w:val="22"/>
        </w:rPr>
        <w:t xml:space="preserve"> No basta con "gamificar". BIOMOV despliega contenido educativo sobre la fisiología del ejercicio, transformando el entrenamiento en un proceso de auto-descubrimiento biológico. Al entender el "porqué" de la reparación tisular, el usuario desarrolla una adherencia basada en el valor, no solo en la estética.</w:t>
      </w:r>
    </w:p>
    <w:p>
      <w:pPr>
        <w:pStyle w:val="Heading2"/>
      </w:pPr>
      <w:r>
        <w:t xml:space="preserve">Matriz de Soluciones de Diseño BIOMOV</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2800"/>
        <w:gridCol w:w="3200"/>
        <w:gridCol w:w="3360"/>
      </w:tblGrid>
      <w:tr>
        <w:trPr>
          <w:tblHeader/>
        </w:trPr>
        <w:tc>
          <w:tcPr>
            <w:tcW w:type="dxa" w:w="2800"/>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color w:val="020617"/>
                <w:sz w:val="22"/>
                <w:szCs w:val="22"/>
              </w:rPr>
              <w:t xml:space="preserve">Barrera del Usuario</w:t>
            </w:r>
          </w:p>
        </w:tc>
        <w:tc>
          <w:tcPr>
            <w:tcW w:type="dxa" w:w="3200"/>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color w:val="020617"/>
                <w:sz w:val="22"/>
                <w:szCs w:val="22"/>
              </w:rPr>
              <w:t xml:space="preserve">Solución de Diseño Estratégico</w:t>
            </w:r>
          </w:p>
        </w:tc>
        <w:tc>
          <w:tcPr>
            <w:tcW w:type="dxa" w:w="3360"/>
            <w:tcBorders>
              <w:top w:val="single" w:color="CBD5E1" w:sz="1"/>
              <w:left w:val="single" w:color="CBD5E1" w:sz="1"/>
              <w:bottom w:val="single" w:color="CBD5E1" w:sz="1"/>
              <w:right w:val="single" w:color="CBD5E1" w:sz="1"/>
            </w:tcBorders>
            <w:shd w:fill="E2E8F0" w:val="clear"/>
            <w:vAlign w:val="center"/>
          </w:tcPr>
          <w:p>
            <w:pPr>
              <w:jc w:val="center"/>
            </w:pPr>
            <w:r>
              <w:rPr>
                <w:rFonts w:ascii="Times New Roman" w:cs="Times New Roman" w:eastAsia="Times New Roman" w:hAnsi="Times New Roman"/>
                <w:b/>
                <w:bCs/>
                <w:color w:val="020617"/>
                <w:sz w:val="22"/>
                <w:szCs w:val="22"/>
              </w:rPr>
              <w:t xml:space="preserve">Impacto UX</w:t>
            </w:r>
          </w:p>
        </w:tc>
      </w:tr>
      <w:tr>
        <w:tc>
          <w:tcPr>
            <w:tcW w:type="dxa" w:w="28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color w:val="1E293B"/>
                <w:sz w:val="22"/>
                <w:szCs w:val="22"/>
              </w:rPr>
              <w:t xml:space="preserve">Falta de Tiempo</w:t>
            </w:r>
          </w:p>
        </w:tc>
        <w:tc>
          <w:tcPr>
            <w:tcW w:type="dxa" w:w="32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color w:val="1E293B"/>
                <w:sz w:val="22"/>
                <w:szCs w:val="22"/>
              </w:rPr>
              <w:t xml:space="preserve">Algoritmos de selección de ejercicios compuestos (Big Rocks)</w:t>
            </w:r>
          </w:p>
        </w:tc>
        <w:tc>
          <w:tcPr>
            <w:tcW w:type="dxa" w:w="336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color w:val="1E293B"/>
                <w:sz w:val="22"/>
                <w:szCs w:val="22"/>
              </w:rPr>
              <w:t xml:space="preserve">Maximiza el ROI metabólico por minuto</w:t>
            </w:r>
          </w:p>
        </w:tc>
      </w:tr>
      <w:tr>
        <w:tc>
          <w:tcPr>
            <w:tcW w:type="dxa" w:w="2800"/>
            <w:tcBorders>
              <w:top w:val="single" w:color="CBD5E1" w:sz="1"/>
              <w:left w:val="single" w:color="CBD5E1" w:sz="1"/>
              <w:bottom w:val="single" w:color="CBD5E1" w:sz="1"/>
              <w:right w:val="single" w:color="CBD5E1" w:sz="1"/>
            </w:tcBorders>
            <w:shd w:fill="FFFFFF" w:val="clear"/>
            <w:vAlign w:val="center"/>
          </w:tcPr>
          <w:p>
            <w:pPr>
              <w:jc w:val="center"/>
            </w:pPr>
            <w:r>
              <w:rPr>
                <w:rFonts w:ascii="Times New Roman" w:cs="Times New Roman" w:eastAsia="Times New Roman" w:hAnsi="Times New Roman"/>
                <w:color w:val="1E293B"/>
                <w:sz w:val="22"/>
                <w:szCs w:val="22"/>
              </w:rPr>
              <w:t xml:space="preserve">Falta de Motivación</w:t>
            </w:r>
          </w:p>
        </w:tc>
        <w:tc>
          <w:tcPr>
            <w:tcW w:type="dxa" w:w="3200"/>
            <w:tcBorders>
              <w:top w:val="single" w:color="CBD5E1" w:sz="1"/>
              <w:left w:val="single" w:color="CBD5E1" w:sz="1"/>
              <w:bottom w:val="single" w:color="CBD5E1" w:sz="1"/>
              <w:right w:val="single" w:color="CBD5E1" w:sz="1"/>
            </w:tcBorders>
            <w:shd w:fill="FFFFFF" w:val="clear"/>
            <w:vAlign w:val="center"/>
          </w:tcPr>
          <w:p>
            <w:pPr>
              <w:jc w:val="center"/>
            </w:pPr>
            <w:r>
              <w:rPr>
                <w:rFonts w:ascii="Times New Roman" w:cs="Times New Roman" w:eastAsia="Times New Roman" w:hAnsi="Times New Roman"/>
                <w:color w:val="1E293B"/>
                <w:sz w:val="22"/>
                <w:szCs w:val="22"/>
              </w:rPr>
              <w:t xml:space="preserve">Visualización de Strength Scores dinámicos (0-100+)</w:t>
            </w:r>
          </w:p>
        </w:tc>
        <w:tc>
          <w:tcPr>
            <w:tcW w:type="dxa" w:w="3360"/>
            <w:tcBorders>
              <w:top w:val="single" w:color="CBD5E1" w:sz="1"/>
              <w:left w:val="single" w:color="CBD5E1" w:sz="1"/>
              <w:bottom w:val="single" w:color="CBD5E1" w:sz="1"/>
              <w:right w:val="single" w:color="CBD5E1" w:sz="1"/>
            </w:tcBorders>
            <w:shd w:fill="FFFFFF" w:val="clear"/>
            <w:vAlign w:val="center"/>
          </w:tcPr>
          <w:p>
            <w:pPr>
              <w:jc w:val="center"/>
            </w:pPr>
            <w:r>
              <w:rPr>
                <w:rFonts w:ascii="Times New Roman" w:cs="Times New Roman" w:eastAsia="Times New Roman" w:hAnsi="Times New Roman"/>
                <w:color w:val="1E293B"/>
                <w:sz w:val="22"/>
                <w:szCs w:val="22"/>
              </w:rPr>
              <w:t xml:space="preserve">Gamificación basada en datos reales de 1RM</w:t>
            </w:r>
          </w:p>
        </w:tc>
      </w:tr>
      <w:tr>
        <w:tc>
          <w:tcPr>
            <w:tcW w:type="dxa" w:w="28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color w:val="1E293B"/>
                <w:sz w:val="22"/>
                <w:szCs w:val="22"/>
              </w:rPr>
              <w:t xml:space="preserve">Gap de Asesoramiento</w:t>
            </w:r>
          </w:p>
        </w:tc>
        <w:tc>
          <w:tcPr>
            <w:tcW w:type="dxa" w:w="320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color w:val="1E293B"/>
                <w:sz w:val="22"/>
                <w:szCs w:val="22"/>
              </w:rPr>
              <w:t xml:space="preserve">Consultoría de IA con alta Inteligencia Percibida (PI)</w:t>
            </w:r>
          </w:p>
        </w:tc>
        <w:tc>
          <w:tcPr>
            <w:tcW w:type="dxa" w:w="3360"/>
            <w:tcBorders>
              <w:top w:val="single" w:color="CBD5E1" w:sz="1"/>
              <w:left w:val="single" w:color="CBD5E1" w:sz="1"/>
              <w:bottom w:val="single" w:color="CBD5E1" w:sz="1"/>
              <w:right w:val="single" w:color="CBD5E1" w:sz="1"/>
            </w:tcBorders>
            <w:shd w:fill="F8FAFC" w:val="clear"/>
            <w:vAlign w:val="center"/>
          </w:tcPr>
          <w:p>
            <w:pPr>
              <w:jc w:val="center"/>
            </w:pPr>
            <w:r>
              <w:rPr>
                <w:rFonts w:ascii="Times New Roman" w:cs="Times New Roman" w:eastAsia="Times New Roman" w:hAnsi="Times New Roman"/>
                <w:color w:val="1E293B"/>
                <w:sz w:val="22"/>
                <w:szCs w:val="22"/>
              </w:rPr>
              <w:t xml:space="preserve">Cubre el 41.8% de falta de guía profesional</w:t>
            </w:r>
          </w:p>
        </w:tc>
      </w:tr>
      <w:tr>
        <w:tc>
          <w:tcPr>
            <w:tcW w:type="dxa" w:w="2800"/>
            <w:tcBorders>
              <w:top w:val="single" w:color="CBD5E1" w:sz="1"/>
              <w:left w:val="single" w:color="CBD5E1" w:sz="1"/>
              <w:bottom w:val="single" w:color="CBD5E1" w:sz="1"/>
              <w:right w:val="single" w:color="CBD5E1" w:sz="1"/>
            </w:tcBorders>
            <w:shd w:fill="FFFFFF" w:val="clear"/>
            <w:vAlign w:val="center"/>
          </w:tcPr>
          <w:p>
            <w:pPr>
              <w:jc w:val="center"/>
            </w:pPr>
            <w:r>
              <w:rPr>
                <w:rFonts w:ascii="Times New Roman" w:cs="Times New Roman" w:eastAsia="Times New Roman" w:hAnsi="Times New Roman"/>
                <w:color w:val="1E293B"/>
                <w:sz w:val="22"/>
                <w:szCs w:val="22"/>
              </w:rPr>
              <w:t xml:space="preserve">Estancamiento</w:t>
            </w:r>
          </w:p>
        </w:tc>
        <w:tc>
          <w:tcPr>
            <w:tcW w:type="dxa" w:w="3200"/>
            <w:tcBorders>
              <w:top w:val="single" w:color="CBD5E1" w:sz="1"/>
              <w:left w:val="single" w:color="CBD5E1" w:sz="1"/>
              <w:bottom w:val="single" w:color="CBD5E1" w:sz="1"/>
              <w:right w:val="single" w:color="CBD5E1" w:sz="1"/>
            </w:tcBorders>
            <w:shd w:fill="FFFFFF" w:val="clear"/>
            <w:vAlign w:val="center"/>
          </w:tcPr>
          <w:p>
            <w:pPr>
              <w:jc w:val="center"/>
            </w:pPr>
            <w:r>
              <w:rPr>
                <w:rFonts w:ascii="Times New Roman" w:cs="Times New Roman" w:eastAsia="Times New Roman" w:hAnsi="Times New Roman"/>
                <w:color w:val="1E293B"/>
                <w:sz w:val="22"/>
                <w:szCs w:val="22"/>
              </w:rPr>
              <w:t xml:space="preserve">Rotación de cargas mediante Periodización Undulante</w:t>
            </w:r>
          </w:p>
        </w:tc>
        <w:tc>
          <w:tcPr>
            <w:tcW w:type="dxa" w:w="3360"/>
            <w:tcBorders>
              <w:top w:val="single" w:color="CBD5E1" w:sz="1"/>
              <w:left w:val="single" w:color="CBD5E1" w:sz="1"/>
              <w:bottom w:val="single" w:color="CBD5E1" w:sz="1"/>
              <w:right w:val="single" w:color="CBD5E1" w:sz="1"/>
            </w:tcBorders>
            <w:shd w:fill="FFFFFF" w:val="clear"/>
            <w:vAlign w:val="center"/>
          </w:tcPr>
          <w:p>
            <w:pPr>
              <w:jc w:val="center"/>
            </w:pPr>
            <w:r>
              <w:rPr>
                <w:rFonts w:ascii="Times New Roman" w:cs="Times New Roman" w:eastAsia="Times New Roman" w:hAnsi="Times New Roman"/>
                <w:color w:val="1E293B"/>
                <w:sz w:val="22"/>
                <w:szCs w:val="22"/>
              </w:rPr>
              <w:t xml:space="preserve">Evita el abandono por falta de resultados visibles</w:t>
            </w:r>
          </w:p>
        </w:tc>
      </w:tr>
    </w:tbl>
    <w:p>
      <w:pPr>
        <w:spacing w:before="80" w:after="200"/>
        <w:jc w:val="center"/>
      </w:pPr>
      <w:r>
        <w:rPr>
          <w:rFonts w:ascii="Times New Roman" w:cs="Times New Roman" w:eastAsia="Times New Roman" w:hAnsi="Times New Roman"/>
          <w:i/>
          <w:iCs/>
          <w:color w:val="64748B"/>
          <w:sz w:val="18"/>
          <w:szCs w:val="18"/>
        </w:rPr>
        <w:t xml:space="preserve">Tabla 1: Matriz de Soluciones de Diseño para Barreras de Usuario</w:t>
      </w:r>
    </w:p>
    <w:p>
      <w:pPr>
        <w:pStyle w:val="Heading1"/>
      </w:pPr>
      <w:r>
        <w:t xml:space="preserve">3. El Motor de IA: Inteligencia Percibida (PI) y Antropomorfismo (PA)</w:t>
      </w:r>
    </w:p>
    <w:p>
      <w:pPr>
        <w:spacing w:after="200" w:line="312"/>
      </w:pPr>
      <w:r>
        <w:rPr>
          <w:rFonts w:ascii="Times New Roman" w:cs="Times New Roman" w:eastAsia="Times New Roman" w:hAnsi="Times New Roman"/>
          <w:color w:val="1E293B"/>
          <w:sz w:val="22"/>
          <w:szCs w:val="22"/>
        </w:rPr>
        <w:t xml:space="preserve">El motor de BIOMOV se aleja de las plantillas estáticas. Nuestra IA se fundamenta en un repositorio de 400 millones de puntos de datos y el análisis de 148 millones de sets logueados. Para que esta potencia técnica sea efectiva, debe poseer Antropomorfismo Percibido (PA); el usuario debe sentir que interactúa con un "coach", no con una hoja de cálculo. Esto eleva el disfrute del ejercicio (Exercise Enjoyment) y la intención de compra, creando una conexión emocional que trasciende la funcionalidad pura.</w:t>
      </w:r>
    </w:p>
    <w:p>
      <w:pPr>
        <w:pStyle w:val="Heading2"/>
      </w:pPr>
      <w:r>
        <w:t xml:space="preserve">Capacidades del Algoritmo de Alto Impacto</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Deep Learning de Máximo Esfuerzo: </w:t>
      </w:r>
      <w:r>
        <w:rPr>
          <w:rFonts w:ascii="Times New Roman" w:cs="Times New Roman" w:eastAsia="Times New Roman" w:hAnsi="Times New Roman"/>
          <w:color w:val="1E293B"/>
          <w:sz w:val="22"/>
          <w:szCs w:val="22"/>
        </w:rPr>
        <w:t xml:space="preserve">El sistema procesa millones de "Sets de Máximo Esfuerzo" para calibrar el 1RM estimado en tiempo real, ajustando la carga de la siguiente serie según la fatiga detectada. Esta capacidad permite una personalización sin precedentes que evoluciona con cada sesión de entrenamiento.</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Ajuste de Entorno y Capacidad: </w:t>
      </w:r>
      <w:r>
        <w:rPr>
          <w:rFonts w:ascii="Times New Roman" w:cs="Times New Roman" w:eastAsia="Times New Roman" w:hAnsi="Times New Roman"/>
          <w:color w:val="1E293B"/>
          <w:sz w:val="22"/>
          <w:szCs w:val="22"/>
        </w:rPr>
        <w:t xml:space="preserve">Si el equipo disponible cambia o el usuario reporta una recuperación incompleta, la IA recalibra la sesión instantáneamente para mantener la Fidelidad Biomecánica sin comprometer la seguridad. Esta flexibilidad adaptativa es crucial para usuarios con acceso limitado a equipamiento específico.</w:t>
      </w:r>
    </w:p>
    <w:p>
      <w:pPr>
        <w:pStyle w:val="ListParagraph"/>
        <w:numPr>
          <w:ilvl w:val="0"/>
          <w:numId w:val="2"/>
        </w:numPr>
        <w:spacing w:after="200" w:line="312"/>
      </w:pPr>
      <w:r>
        <w:rPr>
          <w:rFonts w:ascii="Times New Roman" w:cs="Times New Roman" w:eastAsia="Times New Roman" w:hAnsi="Times New Roman"/>
          <w:b/>
          <w:bCs/>
          <w:color w:val="1E293B"/>
          <w:sz w:val="22"/>
          <w:szCs w:val="22"/>
        </w:rPr>
        <w:t xml:space="preserve">Mirror Function y 3D Motion Tracking: </w:t>
      </w:r>
      <w:r>
        <w:rPr>
          <w:rFonts w:ascii="Times New Roman" w:cs="Times New Roman" w:eastAsia="Times New Roman" w:hAnsi="Times New Roman"/>
          <w:color w:val="1E293B"/>
          <w:sz w:val="22"/>
          <w:szCs w:val="22"/>
        </w:rPr>
        <w:t xml:space="preserve">Implementación de visión computacional para capturar movimientos a través de la cámara, proporcionando un feedback en pantalla sobre la corrección de la postura, simulando la presencia física de un entrenador personal. Esta tecnología reduce significativamente el riesgo de lesiones por técnica incorrecta.</w:t>
      </w:r>
    </w:p>
    <w:p>
      <w:pPr>
        <w:pStyle w:val="Heading1"/>
      </w:pPr>
      <w:r>
        <w:t xml:space="preserve">4. Guía de Prototipado para el Diseñador Web (UI/UX)</w:t>
      </w:r>
    </w:p>
    <w:p>
      <w:pPr>
        <w:spacing w:after="200" w:line="312"/>
      </w:pPr>
      <w:r>
        <w:rPr>
          <w:rFonts w:ascii="Times New Roman" w:cs="Times New Roman" w:eastAsia="Times New Roman" w:hAnsi="Times New Roman"/>
          <w:color w:val="1E293B"/>
          <w:sz w:val="22"/>
          <w:szCs w:val="22"/>
        </w:rPr>
        <w:t xml:space="preserve">El prototipo debe balancear la densidad de datos científicos con una simplicidad operativa que reduzca la fricción. La interfaz debe comunicar autoridad técnica mediante Data-Driven Feedback Loops que inspiren confianza sin abrumar al usuario con información excesiva.</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Visualización de Heat Maps y Biometría: </w:t>
      </w:r>
      <w:r>
        <w:rPr>
          <w:rFonts w:ascii="Times New Roman" w:cs="Times New Roman" w:eastAsia="Times New Roman" w:hAnsi="Times New Roman"/>
          <w:color w:val="1E293B"/>
          <w:sz w:val="22"/>
          <w:szCs w:val="22"/>
        </w:rPr>
        <w:t xml:space="preserve">El dashboard debe incluir mapas de calor muscular que indiquen la fatiga acumulada y el volumen total por grupo muscular, junto con gráficos de tendencias de hipertrofia basados en el historial de carga. Estas visualizaciones transforman datos abstractos en información accionable.</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Feedback de Postura en Tiempo Real: </w:t>
      </w:r>
      <w:r>
        <w:rPr>
          <w:rFonts w:ascii="Times New Roman" w:cs="Times New Roman" w:eastAsia="Times New Roman" w:hAnsi="Times New Roman"/>
          <w:color w:val="1E293B"/>
          <w:sz w:val="22"/>
          <w:szCs w:val="22"/>
        </w:rPr>
        <w:t xml:space="preserve">Interfaz de cámara con overlays 3D que resalten ángulos articulares críticos durante el levantamiento para asegurar la técnica correcta y prevenir lesiones. Esta función representa uno de los diferenciadores técnicos más significativos frente a la competencia.</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Social Presence (Intimidad e Inmediatez): </w:t>
      </w:r>
      <w:r>
        <w:rPr>
          <w:rFonts w:ascii="Times New Roman" w:cs="Times New Roman" w:eastAsia="Times New Roman" w:hAnsi="Times New Roman"/>
          <w:color w:val="1E293B"/>
          <w:sz w:val="22"/>
          <w:szCs w:val="22"/>
        </w:rPr>
        <w:t xml:space="preserve">La capa social debe permitir ver la "huella en vivo" (live footprint) de otros miembros de la comunidad realizando el mismo reto, fomentando una interacción sincrónica que refuerce el sentido de pertenencia y motivación comunitaria.</w:t>
      </w:r>
    </w:p>
    <w:p>
      <w:pPr>
        <w:pStyle w:val="ListParagraph"/>
        <w:numPr>
          <w:ilvl w:val="0"/>
          <w:numId w:val="2"/>
        </w:numPr>
        <w:spacing w:after="200" w:line="312"/>
      </w:pPr>
      <w:r>
        <w:rPr>
          <w:rFonts w:ascii="Times New Roman" w:cs="Times New Roman" w:eastAsia="Times New Roman" w:hAnsi="Times New Roman"/>
          <w:b/>
          <w:bCs/>
          <w:color w:val="1E293B"/>
          <w:sz w:val="22"/>
          <w:szCs w:val="22"/>
        </w:rPr>
        <w:t xml:space="preserve">Notebook vs. Coach: </w:t>
      </w:r>
      <w:r>
        <w:rPr>
          <w:rFonts w:ascii="Times New Roman" w:cs="Times New Roman" w:eastAsia="Times New Roman" w:hAnsi="Times New Roman"/>
          <w:color w:val="1E293B"/>
          <w:sz w:val="22"/>
          <w:szCs w:val="22"/>
        </w:rPr>
        <w:t xml:space="preserve">El diseño debe permitir una entrada de datos rápida (estilo "notebook") pero con una capa superior de insights proactivos que actúen como un entrenador personal dinámico. Este equilibrio entre eficiencia operativa y valor añadido es fundamental para la experiencia de usuario.</w:t>
      </w:r>
    </w:p>
    <w:p>
      <w:pPr>
        <w:pStyle w:val="Heading1"/>
      </w:pPr>
      <w:r>
        <w:t xml:space="preserve">5. Nutrición y Recuperación: El Soporte de la Adaptación</w:t>
      </w:r>
    </w:p>
    <w:p>
      <w:pPr>
        <w:spacing w:after="200" w:line="312"/>
      </w:pPr>
      <w:r>
        <w:rPr>
          <w:rFonts w:ascii="Times New Roman" w:cs="Times New Roman" w:eastAsia="Times New Roman" w:hAnsi="Times New Roman"/>
          <w:color w:val="1E293B"/>
          <w:sz w:val="22"/>
          <w:szCs w:val="22"/>
        </w:rPr>
        <w:t xml:space="preserve">El entrenamiento es un estímulo catabólico; la adaptación es un proceso anabólico. BIOMOV integra la nutrición como el pilar de la reparación de micro-desgarros musculares, reconociendo que sin el soporte nutricional adecuado, el estímulo de entrenamiento no puede traducirse en mejoras fisiológicas significativas.</w:t>
      </w:r>
    </w:p>
    <w:p>
      <w:pPr>
        <w:pStyle w:val="Heading2"/>
      </w:pPr>
      <w:r>
        <w:t xml:space="preserve">Gestión de Macronutrientes Específicos</w:t>
      </w:r>
    </w:p>
    <w:p>
      <w:pPr>
        <w:pStyle w:val="ListParagraph"/>
        <w:numPr>
          <w:ilvl w:val="0"/>
          <w:numId w:val="2"/>
        </w:numPr>
        <w:spacing w:after="100" w:line="312"/>
      </w:pPr>
      <w:r>
        <w:rPr>
          <w:rFonts w:ascii="Times New Roman" w:cs="Times New Roman" w:eastAsia="Times New Roman" w:hAnsi="Times New Roman"/>
          <w:b/>
          <w:bCs/>
          <w:color w:val="1E293B"/>
          <w:sz w:val="22"/>
          <w:szCs w:val="22"/>
        </w:rPr>
        <w:t xml:space="preserve">Proteína: </w:t>
      </w:r>
      <w:r>
        <w:rPr>
          <w:rFonts w:ascii="Times New Roman" w:cs="Times New Roman" w:eastAsia="Times New Roman" w:hAnsi="Times New Roman"/>
          <w:color w:val="1E293B"/>
          <w:sz w:val="22"/>
          <w:szCs w:val="22"/>
        </w:rPr>
        <w:t xml:space="preserve">Calculadoras dinámicas que prescriben entre 1.2 y 2.0 g/kg para optimizar la síntesis proteica, ajustando automáticamente según los objetivos del usuario y el volumen de entrenamiento actual.</w:t>
      </w:r>
    </w:p>
    <w:p>
      <w:pPr>
        <w:pStyle w:val="ListParagraph"/>
        <w:numPr>
          <w:ilvl w:val="0"/>
          <w:numId w:val="2"/>
        </w:numPr>
        <w:spacing w:after="200" w:line="312"/>
      </w:pPr>
      <w:r>
        <w:rPr>
          <w:rFonts w:ascii="Times New Roman" w:cs="Times New Roman" w:eastAsia="Times New Roman" w:hAnsi="Times New Roman"/>
          <w:b/>
          <w:bCs/>
          <w:color w:val="1E293B"/>
          <w:sz w:val="22"/>
          <w:szCs w:val="22"/>
        </w:rPr>
        <w:t xml:space="preserve">Carbohidratos: </w:t>
      </w:r>
      <w:r>
        <w:rPr>
          <w:rFonts w:ascii="Times New Roman" w:cs="Times New Roman" w:eastAsia="Times New Roman" w:hAnsi="Times New Roman"/>
          <w:color w:val="1E293B"/>
          <w:sz w:val="22"/>
          <w:szCs w:val="22"/>
        </w:rPr>
        <w:t xml:space="preserve">Ajustes según la intensidad del entrenamiento (rango de 3-7 g/kg), priorizando carbohidratos de alto índice glucémico post-entrenamiento para la reposición acelerada de glucógeno y optimización de la recuperación.</w:t>
      </w:r>
    </w:p>
    <w:p>
      <w:pPr>
        <w:pStyle w:val="Heading2"/>
      </w:pPr>
      <w:r>
        <w:t xml:space="preserve">Suplementación y Mitigación de Inflamación</w:t>
      </w:r>
    </w:p>
    <w:p>
      <w:pPr>
        <w:pStyle w:val="ListParagraph"/>
        <w:numPr>
          <w:ilvl w:val="0"/>
          <w:numId w:val="2"/>
        </w:numPr>
        <w:spacing w:after="100" w:line="312"/>
      </w:pPr>
      <w:r>
        <w:rPr>
          <w:rFonts w:ascii="Times New Roman" w:cs="Times New Roman" w:eastAsia="Times New Roman" w:hAnsi="Times New Roman"/>
          <w:color w:val="1E293B"/>
          <w:sz w:val="22"/>
          <w:szCs w:val="22"/>
        </w:rPr>
        <w:t xml:space="preserve">Módulos de seguimiento para Creatina (optimización de ATP) y Omega-3s para gestionar la inflamación sistémica post-esfuerzo, proporcionando recomendaciones basadas en evidencia científica actualizada.</w:t>
      </w:r>
    </w:p>
    <w:p>
      <w:pPr>
        <w:pStyle w:val="ListParagraph"/>
        <w:numPr>
          <w:ilvl w:val="0"/>
          <w:numId w:val="2"/>
        </w:numPr>
        <w:spacing w:after="200" w:line="312"/>
      </w:pPr>
      <w:r>
        <w:rPr>
          <w:rFonts w:ascii="Times New Roman" w:cs="Times New Roman" w:eastAsia="Times New Roman" w:hAnsi="Times New Roman"/>
          <w:b/>
          <w:bCs/>
          <w:color w:val="1E293B"/>
          <w:sz w:val="22"/>
          <w:szCs w:val="22"/>
        </w:rPr>
        <w:t xml:space="preserve">Hidratación y Electrolitos: </w:t>
      </w:r>
      <w:r>
        <w:rPr>
          <w:rFonts w:ascii="Times New Roman" w:cs="Times New Roman" w:eastAsia="Times New Roman" w:hAnsi="Times New Roman"/>
          <w:color w:val="1E293B"/>
          <w:sz w:val="22"/>
          <w:szCs w:val="22"/>
        </w:rPr>
        <w:t xml:space="preserve">Sistema de recordatorios inteligentes basados en la pérdida de sudor estimada para mantener la contractilidad muscular y prevenir calambres. El sistema considera factores ambientales como temperatura y humedad para ajustar las recomendaciones.</w:t>
      </w:r>
    </w:p>
    <w:p>
      <w:pPr>
        <w:pStyle w:val="Heading1"/>
      </w:pPr>
      <w:r>
        <w:t xml:space="preserve">6. Roadmap de Funcionalidades P0 (Prioridad Máxima 2026)</w:t>
      </w:r>
    </w:p>
    <w:p>
      <w:pPr>
        <w:spacing w:after="200" w:line="312"/>
      </w:pPr>
      <w:r>
        <w:rPr>
          <w:rFonts w:ascii="Times New Roman" w:cs="Times New Roman" w:eastAsia="Times New Roman" w:hAnsi="Times New Roman"/>
          <w:color w:val="1E293B"/>
          <w:sz w:val="22"/>
          <w:szCs w:val="22"/>
        </w:rPr>
        <w:t xml:space="preserve">Para consolidar a BIOMOV como el estándar de oro en HealthTech, el prototipo debe priorizar las siguientes funcionalidades para su lanzamiento MVP. Cada característica ha sido seleccionada estratégicamente para maximizar el diferencial competitivo y el valor percibido por el usuario:</w:t>
      </w:r>
    </w:p>
    <w:p>
      <w:pPr>
        <w:pStyle w:val="ListParagraph"/>
        <w:numPr>
          <w:ilvl w:val="0"/>
          <w:numId w:val="5"/>
        </w:numPr>
        <w:spacing w:after="100" w:line="312"/>
      </w:pPr>
      <w:r>
        <w:rPr>
          <w:rFonts w:ascii="Times New Roman" w:cs="Times New Roman" w:eastAsia="Times New Roman" w:hAnsi="Times New Roman"/>
          <w:b/>
          <w:bCs/>
          <w:color w:val="1E293B"/>
          <w:sz w:val="22"/>
          <w:szCs w:val="22"/>
        </w:rPr>
        <w:t xml:space="preserve">Neurological Readiness Score: </w:t>
      </w:r>
      <w:r>
        <w:rPr>
          <w:rFonts w:ascii="Times New Roman" w:cs="Times New Roman" w:eastAsia="Times New Roman" w:hAnsi="Times New Roman"/>
          <w:color w:val="1E293B"/>
          <w:sz w:val="22"/>
          <w:szCs w:val="22"/>
        </w:rPr>
        <w:t xml:space="preserve">Un indicador diario que evalúa la recuperación del sistema nervioso central antes de prescribir cargas máximas, diferenciándonos de cualquier competidor actual. Esta métrica revolucionaria permite una gestión inteligente del riesgo de sobreentrenamiento.</w:t>
      </w:r>
    </w:p>
    <w:p>
      <w:pPr>
        <w:pStyle w:val="ListParagraph"/>
        <w:numPr>
          <w:ilvl w:val="0"/>
          <w:numId w:val="5"/>
        </w:numPr>
        <w:spacing w:after="100" w:line="312"/>
      </w:pPr>
      <w:r>
        <w:rPr>
          <w:rFonts w:ascii="Times New Roman" w:cs="Times New Roman" w:eastAsia="Times New Roman" w:hAnsi="Times New Roman"/>
          <w:b/>
          <w:bCs/>
          <w:color w:val="1E293B"/>
          <w:sz w:val="22"/>
          <w:szCs w:val="22"/>
        </w:rPr>
        <w:t xml:space="preserve">Motor de Periodización Undulante: </w:t>
      </w:r>
      <w:r>
        <w:rPr>
          <w:rFonts w:ascii="Times New Roman" w:cs="Times New Roman" w:eastAsia="Times New Roman" w:hAnsi="Times New Roman"/>
          <w:color w:val="1E293B"/>
          <w:sz w:val="22"/>
          <w:szCs w:val="22"/>
        </w:rPr>
        <w:t xml:space="preserve">Algoritmo nativo que cambie sets y repeticiones sesión a sesión para garantizar un 27% más de velocidad en la ganancia de fuerza, eliminando los estancamientos que tradicionalmente frustran a los usuarios de aplicaciones de fitness.</w:t>
      </w:r>
    </w:p>
    <w:p>
      <w:pPr>
        <w:pStyle w:val="ListParagraph"/>
        <w:numPr>
          <w:ilvl w:val="0"/>
          <w:numId w:val="5"/>
        </w:numPr>
        <w:spacing w:after="100" w:line="312"/>
      </w:pPr>
      <w:r>
        <w:rPr>
          <w:rFonts w:ascii="Times New Roman" w:cs="Times New Roman" w:eastAsia="Times New Roman" w:hAnsi="Times New Roman"/>
          <w:b/>
          <w:bCs/>
          <w:color w:val="1E293B"/>
          <w:sz w:val="22"/>
          <w:szCs w:val="22"/>
        </w:rPr>
        <w:t xml:space="preserve">UI de Corrección Postural 3D: </w:t>
      </w:r>
      <w:r>
        <w:rPr>
          <w:rFonts w:ascii="Times New Roman" w:cs="Times New Roman" w:eastAsia="Times New Roman" w:hAnsi="Times New Roman"/>
          <w:color w:val="1E293B"/>
          <w:sz w:val="22"/>
          <w:szCs w:val="22"/>
        </w:rPr>
        <w:t xml:space="preserve">Uso obligatorio de la cámara para validación de técnica con avisos hápticos en tiempo real. Esta funcionalidad representa un salto cuántico en la prevención de lesiones y la democratización del acceso a entrenamiento de calidad.</w:t>
      </w:r>
    </w:p>
    <w:p>
      <w:pPr>
        <w:pStyle w:val="ListParagraph"/>
        <w:numPr>
          <w:ilvl w:val="0"/>
          <w:numId w:val="5"/>
        </w:numPr>
        <w:spacing w:after="100" w:line="312"/>
      </w:pPr>
      <w:r>
        <w:rPr>
          <w:rFonts w:ascii="Times New Roman" w:cs="Times New Roman" w:eastAsia="Times New Roman" w:hAnsi="Times New Roman"/>
          <w:b/>
          <w:bCs/>
          <w:color w:val="1E293B"/>
          <w:sz w:val="22"/>
          <w:szCs w:val="22"/>
        </w:rPr>
        <w:t xml:space="preserve">Heat Maps de Reclutamiento Muscular: </w:t>
      </w:r>
      <w:r>
        <w:rPr>
          <w:rFonts w:ascii="Times New Roman" w:cs="Times New Roman" w:eastAsia="Times New Roman" w:hAnsi="Times New Roman"/>
          <w:color w:val="1E293B"/>
          <w:sz w:val="22"/>
          <w:szCs w:val="22"/>
        </w:rPr>
        <w:t xml:space="preserve">Visualización estética del impacto del entrenamiento en Fibras Tipo I y II, proporcionando una retroalimentación visual intuitiva que refuerza la comprensión del usuario sobre su progreso fisiológico.</w:t>
      </w:r>
    </w:p>
    <w:p>
      <w:pPr>
        <w:pStyle w:val="ListParagraph"/>
        <w:numPr>
          <w:ilvl w:val="0"/>
          <w:numId w:val="5"/>
        </w:numPr>
        <w:spacing w:after="200" w:line="312"/>
      </w:pPr>
      <w:r>
        <w:rPr>
          <w:rFonts w:ascii="Times New Roman" w:cs="Times New Roman" w:eastAsia="Times New Roman" w:hAnsi="Times New Roman"/>
          <w:b/>
          <w:bCs/>
          <w:color w:val="1E293B"/>
          <w:sz w:val="22"/>
          <w:szCs w:val="22"/>
        </w:rPr>
        <w:t xml:space="preserve">Calculadora Metabólica Dinámica: </w:t>
      </w:r>
      <w:r>
        <w:rPr>
          <w:rFonts w:ascii="Times New Roman" w:cs="Times New Roman" w:eastAsia="Times New Roman" w:hAnsi="Times New Roman"/>
          <w:color w:val="1E293B"/>
          <w:sz w:val="22"/>
          <w:szCs w:val="22"/>
        </w:rPr>
        <w:t xml:space="preserve">Integración total entre el volumen de entrenamiento y la prescripción de macros (3-7g/kg carbs), cerrando el ciclo entre estímulo y recuperación de manera completamente automatizada y personalizada.</w:t>
      </w:r>
    </w:p>
    <w:p>
      <w:pPr>
        <w:spacing w:before="300" w:after="200" w:line="312"/>
      </w:pPr>
      <w:r>
        <w:rPr>
          <w:rFonts w:ascii="Times New Roman" w:cs="Times New Roman" w:eastAsia="Times New Roman" w:hAnsi="Times New Roman"/>
          <w:b/>
          <w:bCs/>
          <w:color w:val="020617"/>
          <w:sz w:val="22"/>
          <w:szCs w:val="22"/>
        </w:rPr>
        <w:t xml:space="preserve">Este roadmap es la ruta crítica para dominar el mercado. La convergencia entre ciencia real y diseño centrado en el humano no es una opción; es el requisito para el liderazgo en 2026. La ejecución debe ser inmediata y sin compromisos, posicionando a BIOMOV como la referencia indiscutible en el sector de HealthTech y fitness inteligente.</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 </w:t>
    </w:r>
    <w:r>
      <w:rPr>
        <w:color w:val="64748B"/>
        <w:sz w:val="18"/>
        <w:szCs w:val="18"/>
      </w:rPr>
      <w:fldChar w:fldCharType="begin"/>
      <w:instrText xml:space="preserve">PAGE</w:instrText>
      <w:fldChar w:fldCharType="separate"/>
      <w:fldChar w:fldCharType="end"/>
    </w:r>
    <w:r>
      <w:rPr>
        <w:color w:val="64748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BIOMOV | Estrategia de Producto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64748B"/>
      <w:sz w:val="26"/>
      <w:szCs w:val="26"/>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2026-02-21T15:32:38.218Z</dcterms:created>
  <dcterms:modified xsi:type="dcterms:W3CDTF">2026-02-21T15:32:38.218Z</dcterms:modified>
</cp:coreProperties>
</file>

<file path=docProps/custom.xml><?xml version="1.0" encoding="utf-8"?>
<Properties xmlns="http://schemas.openxmlformats.org/officeDocument/2006/custom-properties" xmlns:vt="http://schemas.openxmlformats.org/officeDocument/2006/docPropsVTypes"/>
</file>