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EB0129" w14:textId="77777777" w:rsidR="00694A27" w:rsidRPr="00386439" w:rsidRDefault="00694A27" w:rsidP="00386439">
      <w:pPr>
        <w:spacing w:line="300" w:lineRule="auto"/>
        <w:ind w:firstLineChars="200" w:firstLine="422"/>
        <w:rPr>
          <w:rFonts w:ascii="宋体" w:eastAsia="宋体" w:hAnsi="宋体"/>
          <w:b/>
          <w:bCs/>
          <w:szCs w:val="21"/>
        </w:rPr>
      </w:pPr>
      <w:r w:rsidRPr="00386439">
        <w:rPr>
          <w:rFonts w:ascii="宋体" w:eastAsia="宋体" w:hAnsi="宋体"/>
          <w:b/>
          <w:bCs/>
          <w:szCs w:val="21"/>
        </w:rPr>
        <w:t>第一章 时代变局与战略抉择：高校海外科技人才引进政策优化的逻辑起点</w:t>
      </w:r>
    </w:p>
    <w:p w14:paraId="2D983DB0" w14:textId="77777777" w:rsidR="00694A27" w:rsidRPr="00386439" w:rsidRDefault="00694A27" w:rsidP="00386439">
      <w:pPr>
        <w:spacing w:line="300" w:lineRule="auto"/>
        <w:ind w:firstLineChars="200" w:firstLine="422"/>
        <w:rPr>
          <w:rFonts w:ascii="宋体" w:eastAsia="宋体" w:hAnsi="宋体"/>
          <w:b/>
          <w:bCs/>
          <w:szCs w:val="21"/>
        </w:rPr>
      </w:pPr>
      <w:r w:rsidRPr="00386439">
        <w:rPr>
          <w:rFonts w:ascii="宋体" w:eastAsia="宋体" w:hAnsi="宋体"/>
          <w:b/>
          <w:bCs/>
          <w:szCs w:val="21"/>
        </w:rPr>
        <w:t>引语</w:t>
      </w:r>
    </w:p>
    <w:p w14:paraId="448360D4" w14:textId="77777777" w:rsidR="00694A27" w:rsidRPr="00386439" w:rsidRDefault="00694A27" w:rsidP="00386439">
      <w:pPr>
        <w:spacing w:line="300" w:lineRule="auto"/>
        <w:ind w:firstLineChars="200" w:firstLine="420"/>
        <w:rPr>
          <w:rFonts w:ascii="宋体" w:eastAsia="宋体" w:hAnsi="宋体"/>
          <w:szCs w:val="21"/>
        </w:rPr>
      </w:pPr>
      <w:r w:rsidRPr="00386439">
        <w:rPr>
          <w:rFonts w:ascii="宋体" w:eastAsia="宋体" w:hAnsi="宋体"/>
          <w:szCs w:val="21"/>
        </w:rPr>
        <w:t>人类社会正在经历百年未有之大变局。这一</w:t>
      </w:r>
      <w:proofErr w:type="gramStart"/>
      <w:r w:rsidRPr="00386439">
        <w:rPr>
          <w:rFonts w:ascii="宋体" w:eastAsia="宋体" w:hAnsi="宋体"/>
          <w:szCs w:val="21"/>
        </w:rPr>
        <w:t>判断既</w:t>
      </w:r>
      <w:proofErr w:type="gramEnd"/>
      <w:r w:rsidRPr="00386439">
        <w:rPr>
          <w:rFonts w:ascii="宋体" w:eastAsia="宋体" w:hAnsi="宋体"/>
          <w:szCs w:val="21"/>
        </w:rPr>
        <w:t>指向世界政治经济格局的深刻重塑，也指向科学技术革命对人类生产方式、知识体系与权力结构的根本性改造。在这一历史大变局的宏阔背景下，高层次科技人才已从国家竞争优势的重要资产升格为决定大国战略博弈走向的核心战略资源，围绕顶尖科技人才的全球性竞争，已成为21世纪大国角力最具决定性意义的制度性战场。</w:t>
      </w:r>
    </w:p>
    <w:p w14:paraId="7F268153" w14:textId="77777777" w:rsidR="00694A27" w:rsidRPr="00386439" w:rsidRDefault="00694A27" w:rsidP="00386439">
      <w:pPr>
        <w:spacing w:line="300" w:lineRule="auto"/>
        <w:ind w:firstLineChars="200" w:firstLine="420"/>
        <w:rPr>
          <w:rFonts w:ascii="宋体" w:eastAsia="宋体" w:hAnsi="宋体"/>
          <w:szCs w:val="21"/>
        </w:rPr>
      </w:pPr>
      <w:r w:rsidRPr="00386439">
        <w:rPr>
          <w:rFonts w:ascii="宋体" w:eastAsia="宋体" w:hAnsi="宋体"/>
          <w:szCs w:val="21"/>
        </w:rPr>
        <w:t>对于正处于创新驱动发展战略深入实施关键阶段的中国而言，高校作为科技创新的核心主体与高层次人才汇聚的战略平台，其海外科技人才引进政策的质量与效能，直接关乎国家科技自立自强目标的实现进程与速度。自20世纪末"长江学者奖励计划"开创中国高校系统性引进海外高层次科技人才的制度先河以来，经过二十余年的持续政策演进与制度积累，中国已初步构建起覆盖国家、省市与高校三个层级的引才政策体系，引进了一批具有重要影响力的海外顶尖科技人才，为若干战略领域的科技突破提供了不可替代的人才支撑。</w:t>
      </w:r>
    </w:p>
    <w:p w14:paraId="033C44F7" w14:textId="77777777" w:rsidR="00694A27" w:rsidRPr="00386439" w:rsidRDefault="00694A27" w:rsidP="00386439">
      <w:pPr>
        <w:spacing w:line="300" w:lineRule="auto"/>
        <w:ind w:firstLineChars="200" w:firstLine="420"/>
        <w:rPr>
          <w:rFonts w:ascii="宋体" w:eastAsia="宋体" w:hAnsi="宋体"/>
          <w:szCs w:val="21"/>
        </w:rPr>
      </w:pPr>
      <w:r w:rsidRPr="00386439">
        <w:rPr>
          <w:rFonts w:ascii="宋体" w:eastAsia="宋体" w:hAnsi="宋体"/>
          <w:szCs w:val="21"/>
        </w:rPr>
        <w:t>然而，随着国际环境的深刻演变与国内发展形势的系统转变，现行引才政策体系的</w:t>
      </w:r>
      <w:proofErr w:type="gramStart"/>
      <w:r w:rsidRPr="00386439">
        <w:rPr>
          <w:rFonts w:ascii="宋体" w:eastAsia="宋体" w:hAnsi="宋体"/>
          <w:szCs w:val="21"/>
        </w:rPr>
        <w:t>深层制度</w:t>
      </w:r>
      <w:proofErr w:type="gramEnd"/>
      <w:r w:rsidRPr="00386439">
        <w:rPr>
          <w:rFonts w:ascii="宋体" w:eastAsia="宋体" w:hAnsi="宋体"/>
          <w:szCs w:val="21"/>
        </w:rPr>
        <w:t>性局限日益凸显。在外部环境层面，中美科技竞争的全面激化使部分海外高层次人才来华面临更大的外部压力与不确定性；全球引才竞争格局的急剧升温使各主要科技强国的引才力度持续加码，中国高校引才政策的比较竞争优势面临严峻挑战。在内部机制层面，引才政策碎片化与协调失灵问题尚未根本解决，评价体系"唯论文"导向的深层纠偏仍在推进之中，引进人才的长效留用与深度融合机制建设仍存在明显短板。</w:t>
      </w:r>
    </w:p>
    <w:p w14:paraId="3A2E7C4A" w14:textId="77777777" w:rsidR="00694A27" w:rsidRPr="00386439" w:rsidRDefault="00694A27" w:rsidP="00386439">
      <w:pPr>
        <w:spacing w:line="300" w:lineRule="auto"/>
        <w:ind w:firstLineChars="200" w:firstLine="420"/>
        <w:rPr>
          <w:rFonts w:ascii="宋体" w:eastAsia="宋体" w:hAnsi="宋体"/>
          <w:szCs w:val="21"/>
        </w:rPr>
      </w:pPr>
      <w:r w:rsidRPr="00386439">
        <w:rPr>
          <w:rFonts w:ascii="宋体" w:eastAsia="宋体" w:hAnsi="宋体"/>
          <w:szCs w:val="21"/>
        </w:rPr>
        <w:t>正是在上述</w:t>
      </w:r>
      <w:proofErr w:type="gramStart"/>
      <w:r w:rsidRPr="00386439">
        <w:rPr>
          <w:rFonts w:ascii="宋体" w:eastAsia="宋体" w:hAnsi="宋体"/>
          <w:szCs w:val="21"/>
        </w:rPr>
        <w:t>时代场</w:t>
      </w:r>
      <w:proofErr w:type="gramEnd"/>
      <w:r w:rsidRPr="00386439">
        <w:rPr>
          <w:rFonts w:ascii="宋体" w:eastAsia="宋体" w:hAnsi="宋体"/>
          <w:szCs w:val="21"/>
        </w:rPr>
        <w:t>域的深刻变局中，高校海外科技人才引进政策的系统优化，成为一项具有迫切现实意义与深远战略价值的重大制度工程。深入剖析大国博弈与科技竞争的</w:t>
      </w:r>
      <w:proofErr w:type="gramStart"/>
      <w:r w:rsidRPr="00386439">
        <w:rPr>
          <w:rFonts w:ascii="宋体" w:eastAsia="宋体" w:hAnsi="宋体"/>
          <w:szCs w:val="21"/>
        </w:rPr>
        <w:t>时代场域</w:t>
      </w:r>
      <w:proofErr w:type="gramEnd"/>
      <w:r w:rsidRPr="00386439">
        <w:rPr>
          <w:rFonts w:ascii="宋体" w:eastAsia="宋体" w:hAnsi="宋体"/>
          <w:szCs w:val="21"/>
        </w:rPr>
        <w:t>、知识流动与创新重组的现实驱动，以及高校转型与制度破题的战略回应，是探寻引才政策优化逻辑起点的必由之路，也是全书分析框架展开的理论出发点。</w:t>
      </w:r>
    </w:p>
    <w:p w14:paraId="24630472" w14:textId="77777777" w:rsidR="00694A27" w:rsidRPr="00386439" w:rsidRDefault="002078B7" w:rsidP="00386439">
      <w:pPr>
        <w:spacing w:line="300" w:lineRule="auto"/>
        <w:ind w:firstLineChars="200" w:firstLine="420"/>
        <w:rPr>
          <w:rFonts w:ascii="宋体" w:eastAsia="宋体" w:hAnsi="宋体"/>
          <w:szCs w:val="21"/>
        </w:rPr>
      </w:pPr>
      <w:r>
        <w:rPr>
          <w:rFonts w:ascii="宋体" w:eastAsia="宋体" w:hAnsi="宋体"/>
          <w:szCs w:val="21"/>
        </w:rPr>
        <w:pict w14:anchorId="6B6661F3">
          <v:rect id="_x0000_i1025" style="width:0;height:1.5pt" o:hralign="center" o:hrstd="t" o:hr="t" fillcolor="#a0a0a0" stroked="f"/>
        </w:pict>
      </w:r>
    </w:p>
    <w:p w14:paraId="05AE4091" w14:textId="77777777" w:rsidR="00694A27" w:rsidRPr="00386439" w:rsidRDefault="00694A27" w:rsidP="00386439">
      <w:pPr>
        <w:spacing w:line="300" w:lineRule="auto"/>
        <w:ind w:firstLineChars="200" w:firstLine="422"/>
        <w:rPr>
          <w:rFonts w:ascii="宋体" w:eastAsia="宋体" w:hAnsi="宋体"/>
          <w:b/>
          <w:bCs/>
          <w:szCs w:val="21"/>
        </w:rPr>
      </w:pPr>
      <w:r w:rsidRPr="00386439">
        <w:rPr>
          <w:rFonts w:ascii="宋体" w:eastAsia="宋体" w:hAnsi="宋体"/>
          <w:b/>
          <w:bCs/>
          <w:szCs w:val="21"/>
        </w:rPr>
        <w:t>一、大国博弈与科技竞争：高校海外科技人才引进政策优化的</w:t>
      </w:r>
      <w:proofErr w:type="gramStart"/>
      <w:r w:rsidRPr="00386439">
        <w:rPr>
          <w:rFonts w:ascii="宋体" w:eastAsia="宋体" w:hAnsi="宋体"/>
          <w:b/>
          <w:bCs/>
          <w:szCs w:val="21"/>
        </w:rPr>
        <w:t>时代场域</w:t>
      </w:r>
      <w:proofErr w:type="gramEnd"/>
    </w:p>
    <w:p w14:paraId="08EFA22B" w14:textId="77777777" w:rsidR="00694A27" w:rsidRPr="00386439" w:rsidRDefault="00694A27" w:rsidP="00386439">
      <w:pPr>
        <w:spacing w:line="300" w:lineRule="auto"/>
        <w:ind w:firstLineChars="200" w:firstLine="422"/>
        <w:rPr>
          <w:rFonts w:ascii="宋体" w:eastAsia="宋体" w:hAnsi="宋体"/>
          <w:b/>
          <w:bCs/>
          <w:szCs w:val="21"/>
        </w:rPr>
      </w:pPr>
      <w:r w:rsidRPr="00386439">
        <w:rPr>
          <w:rFonts w:ascii="宋体" w:eastAsia="宋体" w:hAnsi="宋体"/>
          <w:b/>
          <w:bCs/>
          <w:szCs w:val="21"/>
        </w:rPr>
        <w:t>（一）百年变局中的科技权力转移：历史纵深与结构特征</w:t>
      </w:r>
    </w:p>
    <w:p w14:paraId="6C2CF488" w14:textId="77777777" w:rsidR="00694A27" w:rsidRPr="00386439" w:rsidRDefault="00694A27" w:rsidP="00386439">
      <w:pPr>
        <w:spacing w:line="300" w:lineRule="auto"/>
        <w:ind w:firstLineChars="200" w:firstLine="420"/>
        <w:rPr>
          <w:rFonts w:ascii="宋体" w:eastAsia="宋体" w:hAnsi="宋体"/>
          <w:szCs w:val="21"/>
        </w:rPr>
      </w:pPr>
      <w:r w:rsidRPr="00386439">
        <w:rPr>
          <w:rFonts w:ascii="宋体" w:eastAsia="宋体" w:hAnsi="宋体"/>
          <w:szCs w:val="21"/>
        </w:rPr>
        <w:t>从历史长时段视角审视，每一次重大科技革命都深刻重塑了国际权力格局的基本结构。15至16世纪以航海与制图技术为支撑的地理大发现，奠定了欧洲列强全球扩张的技术基础；18至19世纪蒸汽机与机械制造技术的系统突破，催生了英国作为第一次工业革命核心国家的全球霸权；20世纪核技术、信息技术与航天技术的竞争性发展，深刻塑造了美苏冷战格局的战略对峙态势。历史规律一再表明，掌握核心科技优势的国家，获得了在国际体系中确立领导地位的根本性战略资本[1]。</w:t>
      </w:r>
    </w:p>
    <w:p w14:paraId="13ADE5FE" w14:textId="77777777" w:rsidR="00694A27" w:rsidRPr="00386439" w:rsidRDefault="00694A27" w:rsidP="00386439">
      <w:pPr>
        <w:spacing w:line="300" w:lineRule="auto"/>
        <w:ind w:firstLineChars="200" w:firstLine="420"/>
        <w:rPr>
          <w:rFonts w:ascii="宋体" w:eastAsia="宋体" w:hAnsi="宋体"/>
          <w:szCs w:val="21"/>
        </w:rPr>
      </w:pPr>
      <w:r w:rsidRPr="00386439">
        <w:rPr>
          <w:rFonts w:ascii="宋体" w:eastAsia="宋体" w:hAnsi="宋体"/>
          <w:szCs w:val="21"/>
        </w:rPr>
        <w:t>进入21世纪第二个十年，新一轮科技革命与产业变革正以历史上前所未有的速度与广度重塑全球权力格局，其结构性特征与以往历次科技革命相比呈现出若干根本性差异：技术突破的多点并发性——人工智能、量子信息、生物技术、新能源与新材料等多个颠覆性技术</w:t>
      </w:r>
      <w:r w:rsidRPr="00386439">
        <w:rPr>
          <w:rFonts w:ascii="宋体" w:eastAsia="宋体" w:hAnsi="宋体"/>
          <w:szCs w:val="21"/>
        </w:rPr>
        <w:lastRenderedPageBreak/>
        <w:t>方向同步快速推进，技术突破的地理分布更加分散；创新周期的急剧压缩——从基础研究突破到产业化应用的时间周期大幅缩短，技术优势的持续时间窗口显著收窄；知识密集程度的极度强化——新兴技术领域的竞争高度依赖掌握前沿知识的顶尖科技人才，人力资本的质量与分布已成为决定技术竞争胜负的</w:t>
      </w:r>
      <w:proofErr w:type="gramStart"/>
      <w:r w:rsidRPr="00386439">
        <w:rPr>
          <w:rFonts w:ascii="宋体" w:eastAsia="宋体" w:hAnsi="宋体"/>
          <w:szCs w:val="21"/>
        </w:rPr>
        <w:t>最</w:t>
      </w:r>
      <w:proofErr w:type="gramEnd"/>
      <w:r w:rsidRPr="00386439">
        <w:rPr>
          <w:rFonts w:ascii="宋体" w:eastAsia="宋体" w:hAnsi="宋体"/>
          <w:szCs w:val="21"/>
        </w:rPr>
        <w:t>关键变量。这三大结构性特征共同决定了当前国际科技竞争的核心逻辑：谁能在全球科技人才竞争中占据优势，谁就掌握了在新一轮科技革命中赢得战略主动的根本性制度条件。</w:t>
      </w:r>
    </w:p>
    <w:p w14:paraId="115CF9FF" w14:textId="49A6242F" w:rsidR="00694A27" w:rsidRPr="00386439" w:rsidRDefault="00260A59" w:rsidP="00386439">
      <w:pPr>
        <w:spacing w:line="300" w:lineRule="auto"/>
        <w:ind w:firstLineChars="200" w:firstLine="420"/>
        <w:rPr>
          <w:rFonts w:ascii="宋体" w:eastAsia="宋体" w:hAnsi="宋体"/>
          <w:szCs w:val="21"/>
        </w:rPr>
      </w:pPr>
      <w:r w:rsidRPr="00260A59">
        <w:rPr>
          <w:rFonts w:ascii="宋体" w:eastAsia="宋体" w:hAnsi="宋体"/>
          <w:color w:val="FF0000"/>
          <w:szCs w:val="21"/>
        </w:rPr>
        <w:t>斯坦福大学HAI《人工智能指数报告2022》数据显示，在全球顶级人工智能学术会议论文作者的地理来源中，中国以27.6%的份额位居首位，美国以16.9%位居第三，两者合计占全球顶尖人工智能人才总量的44.5%</w:t>
      </w:r>
      <w:r w:rsidR="00694A27" w:rsidRPr="00260A59">
        <w:rPr>
          <w:rFonts w:ascii="宋体" w:eastAsia="宋体" w:hAnsi="宋体"/>
          <w:color w:val="FF0000"/>
          <w:szCs w:val="21"/>
        </w:rPr>
        <w:t>[2]；而在顶尖人工智能博士毕业后的去向分布中，美国高校与科技公司吸纳了全球约</w:t>
      </w:r>
      <w:r w:rsidRPr="00260A59">
        <w:rPr>
          <w:rFonts w:ascii="宋体" w:eastAsia="宋体" w:hAnsi="宋体"/>
          <w:color w:val="FF0000"/>
          <w:szCs w:val="21"/>
        </w:rPr>
        <w:t>90.7</w:t>
      </w:r>
      <w:r w:rsidR="00694A27" w:rsidRPr="00260A59">
        <w:rPr>
          <w:rFonts w:ascii="宋体" w:eastAsia="宋体" w:hAnsi="宋体"/>
          <w:color w:val="FF0000"/>
          <w:szCs w:val="21"/>
        </w:rPr>
        <w:t>%的顶尖人工智能人才</w:t>
      </w:r>
      <w:r w:rsidR="00694A27" w:rsidRPr="00386439">
        <w:rPr>
          <w:rFonts w:ascii="宋体" w:eastAsia="宋体" w:hAnsi="宋体"/>
          <w:szCs w:val="21"/>
        </w:rPr>
        <w:t>[3]，充分揭示了当前全球顶尖科技人才高度向美国集聚的结构性格局。这一数据格局深刻表明，推动顶尖科技人才在全球范围内的战略性再配置，是改变大国科技竞争格局的根本性战略路径。</w:t>
      </w:r>
    </w:p>
    <w:p w14:paraId="36EF725F" w14:textId="77777777" w:rsidR="00694A27" w:rsidRPr="00386439" w:rsidRDefault="00694A27" w:rsidP="00386439">
      <w:pPr>
        <w:spacing w:line="300" w:lineRule="auto"/>
        <w:ind w:firstLineChars="200" w:firstLine="422"/>
        <w:rPr>
          <w:rFonts w:ascii="宋体" w:eastAsia="宋体" w:hAnsi="宋体"/>
          <w:b/>
          <w:bCs/>
          <w:szCs w:val="21"/>
        </w:rPr>
      </w:pPr>
      <w:r w:rsidRPr="00386439">
        <w:rPr>
          <w:rFonts w:ascii="宋体" w:eastAsia="宋体" w:hAnsi="宋体"/>
          <w:b/>
          <w:bCs/>
          <w:szCs w:val="21"/>
        </w:rPr>
        <w:t>（二）中美科技竞争的全面升级：对引才政策的系统性冲击</w:t>
      </w:r>
    </w:p>
    <w:p w14:paraId="1B036BF9" w14:textId="77777777" w:rsidR="00694A27" w:rsidRPr="00386439" w:rsidRDefault="00694A27" w:rsidP="00386439">
      <w:pPr>
        <w:spacing w:line="300" w:lineRule="auto"/>
        <w:ind w:firstLineChars="200" w:firstLine="420"/>
        <w:rPr>
          <w:rFonts w:ascii="宋体" w:eastAsia="宋体" w:hAnsi="宋体"/>
          <w:szCs w:val="21"/>
        </w:rPr>
      </w:pPr>
      <w:r w:rsidRPr="00386439">
        <w:rPr>
          <w:rFonts w:ascii="宋体" w:eastAsia="宋体" w:hAnsi="宋体"/>
          <w:szCs w:val="21"/>
        </w:rPr>
        <w:t>自2018年以来，以中美贸易摩擦为导火索、以半导体技术出</w:t>
      </w:r>
      <w:bookmarkStart w:id="0" w:name="_GoBack"/>
      <w:bookmarkEnd w:id="0"/>
      <w:r w:rsidRPr="00386439">
        <w:rPr>
          <w:rFonts w:ascii="宋体" w:eastAsia="宋体" w:hAnsi="宋体"/>
          <w:szCs w:val="21"/>
        </w:rPr>
        <w:t>口管制为核心抓手的中美科技竞争，已从早期的局部贸易争端全面演进为涵盖技术标准制定权、科研合作网络控制权与全球科技人才争夺权的系统性战略博弈，对中国高校海外科技人才引进政策产生了深刻而多维的系统性冲击。</w:t>
      </w:r>
    </w:p>
    <w:p w14:paraId="6D51F18B" w14:textId="77777777" w:rsidR="00694A27" w:rsidRPr="00386439" w:rsidRDefault="00694A27" w:rsidP="00386439">
      <w:pPr>
        <w:spacing w:line="300" w:lineRule="auto"/>
        <w:ind w:firstLineChars="200" w:firstLine="420"/>
        <w:rPr>
          <w:rFonts w:ascii="宋体" w:eastAsia="宋体" w:hAnsi="宋体"/>
          <w:szCs w:val="21"/>
        </w:rPr>
      </w:pPr>
      <w:r w:rsidRPr="00386439">
        <w:rPr>
          <w:rFonts w:ascii="宋体" w:eastAsia="宋体" w:hAnsi="宋体"/>
          <w:szCs w:val="21"/>
        </w:rPr>
        <w:t>在直接政策冲击层面，美国政府自2018年起实施的一系列对华科技人才管控政策，深刻改变了中美两国之间的学术人才流动生态。美国司法部推行的"中国行动计划"（China Initiative，2018—2022年）在实施期间，对逾百名华裔科学家展开联邦调查，虽因被广泛批评为系统性种族歧视而于2022年正式终止，但其所造成的"寒蝉效应"对华裔科学家赴华学术合作意愿的负面影响持续存在[4]。美国国务院对赴美学习特定STEM专业的中国留学生签证审查的全面加强，直接压缩了中国高校通过"留学回流"渠道引才的传统政策空间。美国出口管制改革法（ECRA，2018年）及其配套的"新兴和基础技术"出口管制清单，对人工智能、量子计算等前沿技术领域的国际科研合作施加了系统性限制，直接影响了相关领域中美高校之间的科研人员交流[5]。</w:t>
      </w:r>
    </w:p>
    <w:p w14:paraId="7BAC4346" w14:textId="7912C68D" w:rsidR="00694A27" w:rsidRPr="00386439" w:rsidRDefault="00694A27" w:rsidP="00386439">
      <w:pPr>
        <w:spacing w:line="300" w:lineRule="auto"/>
        <w:ind w:firstLineChars="200" w:firstLine="420"/>
        <w:rPr>
          <w:rFonts w:ascii="宋体" w:eastAsia="宋体" w:hAnsi="宋体"/>
          <w:szCs w:val="21"/>
        </w:rPr>
      </w:pPr>
      <w:r w:rsidRPr="00386439">
        <w:rPr>
          <w:rFonts w:ascii="宋体" w:eastAsia="宋体" w:hAnsi="宋体"/>
          <w:szCs w:val="21"/>
        </w:rPr>
        <w:t>在间接生态影响层面，中美科技竞争的全面升级对全球科技人才流动生态产生了广泛的"磁场扭曲"效应。</w:t>
      </w:r>
      <w:r w:rsidR="009B3CC0" w:rsidRPr="009B3CC0">
        <w:rPr>
          <w:rFonts w:ascii="宋体" w:eastAsia="宋体" w:hAnsi="宋体"/>
          <w:szCs w:val="21"/>
        </w:rPr>
        <w:t>普林斯顿大学谢宇</w:t>
      </w:r>
      <w:r w:rsidRPr="00386439">
        <w:rPr>
          <w:rFonts w:ascii="宋体" w:eastAsia="宋体" w:hAnsi="宋体"/>
          <w:szCs w:val="21"/>
        </w:rPr>
        <w:t>等学者的研究表明，随着中美科技竞争的加剧，部分在美华裔科学家出现了"预防性流动"行为——在尚未受到正式审查压力的情况下，即主动调整学术合作策略，减少与中国高校的正式合作联系，以规避潜在的政治风险[6]。这一行为模式的普遍化，在客观上为中国高校引才工作开辟了新的机遇窗口，但同时也因中美关系的持续紧张而增大了海外高层次人才来华工作的顾虑与不确定性预期。</w:t>
      </w:r>
    </w:p>
    <w:p w14:paraId="1A9DD648" w14:textId="77777777" w:rsidR="00694A27" w:rsidRPr="00386439" w:rsidRDefault="00694A27" w:rsidP="00386439">
      <w:pPr>
        <w:spacing w:line="300" w:lineRule="auto"/>
        <w:ind w:firstLineChars="200" w:firstLine="420"/>
        <w:rPr>
          <w:rFonts w:ascii="宋体" w:eastAsia="宋体" w:hAnsi="宋体"/>
          <w:szCs w:val="21"/>
        </w:rPr>
      </w:pPr>
      <w:r w:rsidRPr="00386439">
        <w:rPr>
          <w:rFonts w:ascii="宋体" w:eastAsia="宋体" w:hAnsi="宋体"/>
          <w:szCs w:val="21"/>
        </w:rPr>
        <w:t>在技术封锁与引才需求倒逼层面，美国及其盟友实施的对华半导体技术出口管制，客观上形成</w:t>
      </w:r>
      <w:proofErr w:type="gramStart"/>
      <w:r w:rsidRPr="00386439">
        <w:rPr>
          <w:rFonts w:ascii="宋体" w:eastAsia="宋体" w:hAnsi="宋体"/>
          <w:szCs w:val="21"/>
        </w:rPr>
        <w:t>了倒</w:t>
      </w:r>
      <w:proofErr w:type="gramEnd"/>
      <w:r w:rsidRPr="00386439">
        <w:rPr>
          <w:rFonts w:ascii="宋体" w:eastAsia="宋体" w:hAnsi="宋体"/>
          <w:szCs w:val="21"/>
        </w:rPr>
        <w:t>逼中国加速自主培育与战略引进顶尖技术人才的强大政策驱动力。美国商务部2022年10月颁布的全面半导体出口管制措施，将先进芯片设计工具、制造设备与相关技术</w:t>
      </w:r>
      <w:r w:rsidRPr="00386439">
        <w:rPr>
          <w:rFonts w:ascii="宋体" w:eastAsia="宋体" w:hAnsi="宋体"/>
          <w:szCs w:val="21"/>
        </w:rPr>
        <w:lastRenderedPageBreak/>
        <w:t>的对华出口全面纳入严格管制范围[7]，直接切断了中国高校与企业通过正常商业渠道获取相关技术的途径，使具备自主集成电路设计、</w:t>
      </w:r>
      <w:proofErr w:type="gramStart"/>
      <w:r w:rsidRPr="00386439">
        <w:rPr>
          <w:rFonts w:ascii="宋体" w:eastAsia="宋体" w:hAnsi="宋体"/>
          <w:szCs w:val="21"/>
        </w:rPr>
        <w:t>先进制程工艺</w:t>
      </w:r>
      <w:proofErr w:type="gramEnd"/>
      <w:r w:rsidRPr="00386439">
        <w:rPr>
          <w:rFonts w:ascii="宋体" w:eastAsia="宋体" w:hAnsi="宋体"/>
          <w:szCs w:val="21"/>
        </w:rPr>
        <w:t>开发能力的顶尖工程科学家的战略价值急剧凸显，成为国家层面引才政策需要优先布局的战略性稀缺人才类型。</w:t>
      </w:r>
    </w:p>
    <w:p w14:paraId="343259C1" w14:textId="77777777" w:rsidR="00694A27" w:rsidRPr="00386439" w:rsidRDefault="00694A27" w:rsidP="00386439">
      <w:pPr>
        <w:spacing w:line="300" w:lineRule="auto"/>
        <w:ind w:firstLineChars="200" w:firstLine="422"/>
        <w:rPr>
          <w:rFonts w:ascii="宋体" w:eastAsia="宋体" w:hAnsi="宋体"/>
          <w:b/>
          <w:bCs/>
          <w:szCs w:val="21"/>
        </w:rPr>
      </w:pPr>
      <w:r w:rsidRPr="00386439">
        <w:rPr>
          <w:rFonts w:ascii="宋体" w:eastAsia="宋体" w:hAnsi="宋体"/>
          <w:b/>
          <w:bCs/>
          <w:szCs w:val="21"/>
        </w:rPr>
        <w:t>（三）全球引才竞争格局的多极化演进：主要竞争者的战略比较</w:t>
      </w:r>
    </w:p>
    <w:p w14:paraId="0AAA138A" w14:textId="77777777" w:rsidR="00694A27" w:rsidRPr="00386439" w:rsidRDefault="00694A27" w:rsidP="00386439">
      <w:pPr>
        <w:spacing w:line="300" w:lineRule="auto"/>
        <w:ind w:firstLineChars="200" w:firstLine="420"/>
        <w:rPr>
          <w:rFonts w:ascii="宋体" w:eastAsia="宋体" w:hAnsi="宋体"/>
          <w:szCs w:val="21"/>
        </w:rPr>
      </w:pPr>
      <w:r w:rsidRPr="00386439">
        <w:rPr>
          <w:rFonts w:ascii="宋体" w:eastAsia="宋体" w:hAnsi="宋体"/>
          <w:szCs w:val="21"/>
        </w:rPr>
        <w:t>大国科技竞争的深层逻辑，决定了全球高层次科技人才争夺的战略烈度只会持续升温而不会降温。审视主要科技强国的引才政策格局，对中国高校引才政策优化具有重要的比较战略参照价值。</w:t>
      </w:r>
    </w:p>
    <w:p w14:paraId="39BC411E" w14:textId="77777777" w:rsidR="00694A27" w:rsidRPr="00386439" w:rsidRDefault="00694A27" w:rsidP="00386439">
      <w:pPr>
        <w:spacing w:line="300" w:lineRule="auto"/>
        <w:ind w:firstLineChars="200" w:firstLine="420"/>
        <w:rPr>
          <w:rFonts w:ascii="宋体" w:eastAsia="宋体" w:hAnsi="宋体"/>
          <w:szCs w:val="21"/>
        </w:rPr>
      </w:pPr>
      <w:r w:rsidRPr="00386439">
        <w:rPr>
          <w:rFonts w:ascii="宋体" w:eastAsia="宋体" w:hAnsi="宋体"/>
          <w:szCs w:val="21"/>
        </w:rPr>
        <w:t>美国凭借其长期积累的综合性制度优势，在全球引才竞争中长期占据主导地位。美国国家科学基金会（NSF）数据显示，2021年在美工作的外国出生科学家与工程师总量约为590万人，占美国科研劳动力总量的29%；在美获得科学与工程博士学位的外国留学生中，约有65%在毕业五年后仍选择留在美国工作[8]，展现出美国科研生态对全球顶尖人才的超强留存黏性。这一显著优势的</w:t>
      </w:r>
      <w:proofErr w:type="gramStart"/>
      <w:r w:rsidRPr="00386439">
        <w:rPr>
          <w:rFonts w:ascii="宋体" w:eastAsia="宋体" w:hAnsi="宋体"/>
          <w:szCs w:val="21"/>
        </w:rPr>
        <w:t>深层制度</w:t>
      </w:r>
      <w:proofErr w:type="gramEnd"/>
      <w:r w:rsidRPr="00386439">
        <w:rPr>
          <w:rFonts w:ascii="宋体" w:eastAsia="宋体" w:hAnsi="宋体"/>
          <w:szCs w:val="21"/>
        </w:rPr>
        <w:t>根基，在于美国已建立起薪酬激励、移民政策、学术自由保障与创业生态四维一体的引才制度生态系统，其整体吸引力远超任何单一政策要素的简单叠加效果。</w:t>
      </w:r>
    </w:p>
    <w:p w14:paraId="061AE748" w14:textId="77777777" w:rsidR="00694A27" w:rsidRPr="00386439" w:rsidRDefault="00694A27" w:rsidP="00386439">
      <w:pPr>
        <w:spacing w:line="300" w:lineRule="auto"/>
        <w:ind w:firstLineChars="200" w:firstLine="420"/>
        <w:rPr>
          <w:rFonts w:ascii="宋体" w:eastAsia="宋体" w:hAnsi="宋体"/>
          <w:szCs w:val="21"/>
        </w:rPr>
      </w:pPr>
      <w:r w:rsidRPr="00386439">
        <w:rPr>
          <w:rFonts w:ascii="宋体" w:eastAsia="宋体" w:hAnsi="宋体"/>
          <w:szCs w:val="21"/>
        </w:rPr>
        <w:t xml:space="preserve">欧盟在持续高层次人才流失的深刻危机感驱动下，近年来大幅强化了引才政策的战略投入。"地平线欧洲"（Horizon Europe）框架计划2021—2027年期间以955亿欧元的历史性规模支持科研创新[9]，其中"玛丽·居里行动计划"（Marie </w:t>
      </w:r>
      <w:proofErr w:type="spellStart"/>
      <w:r w:rsidRPr="00386439">
        <w:rPr>
          <w:rFonts w:ascii="宋体" w:eastAsia="宋体" w:hAnsi="宋体"/>
          <w:szCs w:val="21"/>
        </w:rPr>
        <w:t>Sk</w:t>
      </w:r>
      <w:r w:rsidRPr="00386439">
        <w:rPr>
          <w:rFonts w:ascii="Cambria" w:eastAsia="宋体" w:hAnsi="Cambria" w:cs="Cambria"/>
          <w:szCs w:val="21"/>
        </w:rPr>
        <w:t>ł</w:t>
      </w:r>
      <w:r w:rsidRPr="00386439">
        <w:rPr>
          <w:rFonts w:ascii="宋体" w:eastAsia="宋体" w:hAnsi="宋体"/>
          <w:szCs w:val="21"/>
        </w:rPr>
        <w:t>odowska</w:t>
      </w:r>
      <w:proofErr w:type="spellEnd"/>
      <w:r w:rsidRPr="00386439">
        <w:rPr>
          <w:rFonts w:ascii="宋体" w:eastAsia="宋体" w:hAnsi="宋体"/>
          <w:szCs w:val="21"/>
        </w:rPr>
        <w:t>-Curie Actions）专项支持全球范围内的科研人才国际流动，每年</w:t>
      </w:r>
      <w:proofErr w:type="gramStart"/>
      <w:r w:rsidRPr="00386439">
        <w:rPr>
          <w:rFonts w:ascii="宋体" w:eastAsia="宋体" w:hAnsi="宋体"/>
          <w:szCs w:val="21"/>
        </w:rPr>
        <w:t>资助约</w:t>
      </w:r>
      <w:proofErr w:type="gramEnd"/>
      <w:r w:rsidRPr="00386439">
        <w:rPr>
          <w:rFonts w:ascii="宋体" w:eastAsia="宋体" w:hAnsi="宋体"/>
          <w:szCs w:val="21"/>
        </w:rPr>
        <w:t>6500名早期职业科研人员和3500名经验丰富的科研人员开展国际合作研究。欧盟2021年发布的《新欧洲研究区政策议程》进一步提出建立统一的欧洲科研人才市场，推动成员国之间消除科研人才流动的制度性壁垒，以欧洲整体的体量优势参与全球顶尖科技人才竞争[10]。</w:t>
      </w:r>
    </w:p>
    <w:p w14:paraId="51275E4B" w14:textId="77777777" w:rsidR="00694A27" w:rsidRPr="00386439" w:rsidRDefault="00694A27" w:rsidP="00386439">
      <w:pPr>
        <w:spacing w:line="300" w:lineRule="auto"/>
        <w:ind w:firstLineChars="200" w:firstLine="420"/>
        <w:rPr>
          <w:rFonts w:ascii="宋体" w:eastAsia="宋体" w:hAnsi="宋体"/>
          <w:szCs w:val="21"/>
        </w:rPr>
      </w:pPr>
      <w:r w:rsidRPr="00386439">
        <w:rPr>
          <w:rFonts w:ascii="宋体" w:eastAsia="宋体" w:hAnsi="宋体"/>
          <w:szCs w:val="21"/>
        </w:rPr>
        <w:t>英国在脱欧后面临与欧洲科研合作网络部分脱钩的制度压力，加速推进引才政策的独立化创新。2022年正式实施的"高潜力个人签证"（High Potential Individual Visa）与"全球人才签证"（Global Talent Visa）制度，为具有全球顶尖大学毕业背景与特殊人才资格的科研人员来</w:t>
      </w:r>
      <w:proofErr w:type="gramStart"/>
      <w:r w:rsidRPr="00386439">
        <w:rPr>
          <w:rFonts w:ascii="宋体" w:eastAsia="宋体" w:hAnsi="宋体"/>
          <w:szCs w:val="21"/>
        </w:rPr>
        <w:t>英工作</w:t>
      </w:r>
      <w:proofErr w:type="gramEnd"/>
      <w:r w:rsidRPr="00386439">
        <w:rPr>
          <w:rFonts w:ascii="宋体" w:eastAsia="宋体" w:hAnsi="宋体"/>
          <w:szCs w:val="21"/>
        </w:rPr>
        <w:t>提供了最高限度的签证便利，体现了英国将顶尖科研人才引进作为脱欧后维持国际科技竞争力核心战略的制度性决策[11]。</w:t>
      </w:r>
    </w:p>
    <w:p w14:paraId="6E59325E" w14:textId="77777777" w:rsidR="00694A27" w:rsidRPr="00386439" w:rsidRDefault="00694A27" w:rsidP="00386439">
      <w:pPr>
        <w:spacing w:line="300" w:lineRule="auto"/>
        <w:ind w:firstLineChars="200" w:firstLine="420"/>
        <w:rPr>
          <w:rFonts w:ascii="宋体" w:eastAsia="宋体" w:hAnsi="宋体"/>
          <w:szCs w:val="21"/>
        </w:rPr>
      </w:pPr>
      <w:r w:rsidRPr="00386439">
        <w:rPr>
          <w:rFonts w:ascii="宋体" w:eastAsia="宋体" w:hAnsi="宋体"/>
          <w:szCs w:val="21"/>
        </w:rPr>
        <w:t>德国则依托其深厚的工程科学传统与制造业创新优势，通过"研究在德国"（Research in Germany）国家品牌推介体系、马克斯·普朗克学会与</w:t>
      </w:r>
      <w:proofErr w:type="gramStart"/>
      <w:r w:rsidRPr="00386439">
        <w:rPr>
          <w:rFonts w:ascii="宋体" w:eastAsia="宋体" w:hAnsi="宋体"/>
          <w:szCs w:val="21"/>
        </w:rPr>
        <w:t>亥姆霍</w:t>
      </w:r>
      <w:proofErr w:type="gramEnd"/>
      <w:r w:rsidRPr="00386439">
        <w:rPr>
          <w:rFonts w:ascii="宋体" w:eastAsia="宋体" w:hAnsi="宋体"/>
          <w:szCs w:val="21"/>
        </w:rPr>
        <w:t>兹联合会的国际化人才引进机制，以及德国学术交流服务中心（DAAD）覆盖全球100余个国家的推介网络，构建了具有鲜明德国特色的系统性引才营销与服务体系，2022年德国高校外籍科研人员比例已达24.3%[12]，引才工作取得显著成效。</w:t>
      </w:r>
    </w:p>
    <w:p w14:paraId="6EEE3928" w14:textId="77777777" w:rsidR="00694A27" w:rsidRPr="00386439" w:rsidRDefault="00694A27" w:rsidP="00386439">
      <w:pPr>
        <w:spacing w:line="300" w:lineRule="auto"/>
        <w:ind w:firstLineChars="200" w:firstLine="420"/>
        <w:rPr>
          <w:rFonts w:ascii="宋体" w:eastAsia="宋体" w:hAnsi="宋体"/>
          <w:szCs w:val="21"/>
        </w:rPr>
      </w:pPr>
      <w:r w:rsidRPr="00386439">
        <w:rPr>
          <w:rFonts w:ascii="宋体" w:eastAsia="宋体" w:hAnsi="宋体"/>
          <w:szCs w:val="21"/>
        </w:rPr>
        <w:t>在亚洲区域，日本、韩国、新加坡与中国台湾地区均在近年来大幅加强了对顶尖海外科技人才的战略性争夺。日本文部科学</w:t>
      </w:r>
      <w:proofErr w:type="gramStart"/>
      <w:r w:rsidRPr="00386439">
        <w:rPr>
          <w:rFonts w:ascii="宋体" w:eastAsia="宋体" w:hAnsi="宋体"/>
          <w:szCs w:val="21"/>
        </w:rPr>
        <w:t>省推出</w:t>
      </w:r>
      <w:proofErr w:type="gramEnd"/>
      <w:r w:rsidRPr="00386439">
        <w:rPr>
          <w:rFonts w:ascii="宋体" w:eastAsia="宋体" w:hAnsi="宋体"/>
          <w:szCs w:val="21"/>
        </w:rPr>
        <w:t>的"世界顶尖研究中心计划"（WPI）通过在东京大学、京都大学等顶尖高校设立国际化科研特区，力图创造接近欧美顶尖研究机构标准的科研环境，以制度性环境改善替代单纯薪酬竞争[13]；韩国政府推出的"世界级研究人员计划</w:t>
      </w:r>
      <w:r w:rsidRPr="00386439">
        <w:rPr>
          <w:rFonts w:ascii="宋体" w:eastAsia="宋体" w:hAnsi="宋体"/>
          <w:szCs w:val="21"/>
        </w:rPr>
        <w:lastRenderedPageBreak/>
        <w:t>"（WCI）专项资助世界顶尖科研人员在韩开展研究；新加坡则通过国立研究基金会（NRF）的"卓越研究科学家与工程师奖"（ASTAR）持续吸引全球顶尖科学人才在新加坡建立研究团队，并于2023年宣布将年度引才科研资助总额提升至15亿新元[14]。</w:t>
      </w:r>
    </w:p>
    <w:p w14:paraId="44139ADC" w14:textId="77777777" w:rsidR="00694A27" w:rsidRPr="00386439" w:rsidRDefault="00694A27" w:rsidP="00386439">
      <w:pPr>
        <w:spacing w:line="300" w:lineRule="auto"/>
        <w:ind w:firstLineChars="200" w:firstLine="420"/>
        <w:rPr>
          <w:rFonts w:ascii="宋体" w:eastAsia="宋体" w:hAnsi="宋体"/>
          <w:szCs w:val="21"/>
        </w:rPr>
      </w:pPr>
      <w:r w:rsidRPr="00386439">
        <w:rPr>
          <w:rFonts w:ascii="宋体" w:eastAsia="宋体" w:hAnsi="宋体"/>
          <w:szCs w:val="21"/>
        </w:rPr>
        <w:t>上述多极化全球引才竞争格局的深刻演变表明，中国高校引才政策所面临的外部竞争环境已发生根本性升级，单纯依赖薪酬激励的传统引才路径已无法在愈加激烈的国际竞争中保持可持续的比较优势，必须在制度性竞争力的深层构建上实现系统性突破。</w:t>
      </w:r>
    </w:p>
    <w:p w14:paraId="3F28AFFB" w14:textId="77777777" w:rsidR="00694A27" w:rsidRPr="00386439" w:rsidRDefault="00694A27" w:rsidP="00386439">
      <w:pPr>
        <w:spacing w:line="300" w:lineRule="auto"/>
        <w:ind w:firstLineChars="200" w:firstLine="422"/>
        <w:rPr>
          <w:rFonts w:ascii="宋体" w:eastAsia="宋体" w:hAnsi="宋体"/>
          <w:b/>
          <w:bCs/>
          <w:szCs w:val="21"/>
        </w:rPr>
      </w:pPr>
      <w:r w:rsidRPr="00386439">
        <w:rPr>
          <w:rFonts w:ascii="宋体" w:eastAsia="宋体" w:hAnsi="宋体"/>
          <w:b/>
          <w:bCs/>
          <w:szCs w:val="21"/>
        </w:rPr>
        <w:t>（四）科技竞争视阈下高校的战略地位再定位</w:t>
      </w:r>
    </w:p>
    <w:p w14:paraId="16F403A8" w14:textId="77777777" w:rsidR="00694A27" w:rsidRPr="00386439" w:rsidRDefault="00694A27" w:rsidP="00386439">
      <w:pPr>
        <w:spacing w:line="300" w:lineRule="auto"/>
        <w:ind w:firstLineChars="200" w:firstLine="420"/>
        <w:rPr>
          <w:rFonts w:ascii="宋体" w:eastAsia="宋体" w:hAnsi="宋体"/>
          <w:szCs w:val="21"/>
        </w:rPr>
      </w:pPr>
      <w:r w:rsidRPr="00386439">
        <w:rPr>
          <w:rFonts w:ascii="宋体" w:eastAsia="宋体" w:hAnsi="宋体"/>
          <w:szCs w:val="21"/>
        </w:rPr>
        <w:t>在大国科技博弈的宏观战略格局中，高校在高层次科技人才引进中的战略地位已发生深刻的历史性重新定位——从传统的学术人才培育与输出基地，升格为国家科技竞争战略版图中的核心战略节点。这一战略地位的深刻转变，既源于科学技术发展规律的内在逻辑，也源于国家战略部署对高校功能定位的主动性战略重构。</w:t>
      </w:r>
    </w:p>
    <w:p w14:paraId="2A3D04D9" w14:textId="77777777" w:rsidR="00694A27" w:rsidRPr="00386439" w:rsidRDefault="00694A27" w:rsidP="00386439">
      <w:pPr>
        <w:spacing w:line="300" w:lineRule="auto"/>
        <w:ind w:firstLineChars="200" w:firstLine="420"/>
        <w:rPr>
          <w:rFonts w:ascii="宋体" w:eastAsia="宋体" w:hAnsi="宋体"/>
          <w:szCs w:val="21"/>
        </w:rPr>
      </w:pPr>
      <w:r w:rsidRPr="00386439">
        <w:rPr>
          <w:rFonts w:ascii="宋体" w:eastAsia="宋体" w:hAnsi="宋体"/>
          <w:szCs w:val="21"/>
        </w:rPr>
        <w:t>从科技创新规律的内在逻辑来看，高校在国家创新体系中的不可替代性集中体现在三个维度：其一，高校是基础研究领域的主导性知识生产机构——中国高校承担了全国基础研究经费投入的约50%，2022年全国高校承担的基础研究经费支出达到1938亿元，占全国基础研究总投入的54.3%[15]，基础研究的战略厚度直接决定了应用创新的长期可持续性；其二，高校是高层次科技人才培育的核心平台，博士研究生教育是培育具有前沿科研创新能力高层次人才的不可替代的制度性渠道，而高水平海外引进人才对博士研究生培育质量的带动效应，已被大量实证研究所证实[16]；其三，高校是国际学术网络的关键接入节点，顶尖高校在全球学术合作网络中的中心性位置，决定了其在吸引全球顶尖科技人才、获取前沿知识资源与参与国际科研合作中的系统性制度优势。</w:t>
      </w:r>
    </w:p>
    <w:p w14:paraId="01EFB0E2" w14:textId="77777777" w:rsidR="00694A27" w:rsidRPr="00386439" w:rsidRDefault="00694A27" w:rsidP="00386439">
      <w:pPr>
        <w:spacing w:line="300" w:lineRule="auto"/>
        <w:ind w:firstLineChars="200" w:firstLine="420"/>
        <w:rPr>
          <w:rFonts w:ascii="宋体" w:eastAsia="宋体" w:hAnsi="宋体"/>
          <w:szCs w:val="21"/>
        </w:rPr>
      </w:pPr>
      <w:r w:rsidRPr="00386439">
        <w:rPr>
          <w:rFonts w:ascii="宋体" w:eastAsia="宋体" w:hAnsi="宋体"/>
          <w:szCs w:val="21"/>
        </w:rPr>
        <w:t>从国家战略部署对高校功能定位的主动重构来看，党的二十大报告首次将教育、科技、人才三大战略并列表述为"全面建设社会主义现代化国家的基础性、战略性支撑"[17]，深刻揭示了高校作为三者交汇核心载体的独特战略价值。《关于加快建设世界重要人才中心和创新高地的意见》（2021年）明确提出，要"支持有条件的高校、科研院所、企业开展人才发展体制机制改革试点"[18]，将高校明确定位为引才制度创新的重要试验场域，赋予其在引才政策改革中的更大制度自主空间。</w:t>
      </w:r>
    </w:p>
    <w:p w14:paraId="63617C7B" w14:textId="77777777" w:rsidR="00694A27" w:rsidRPr="00386439" w:rsidRDefault="00694A27" w:rsidP="00386439">
      <w:pPr>
        <w:spacing w:line="300" w:lineRule="auto"/>
        <w:ind w:firstLineChars="200" w:firstLine="420"/>
        <w:rPr>
          <w:rFonts w:ascii="宋体" w:eastAsia="宋体" w:hAnsi="宋体"/>
          <w:szCs w:val="21"/>
        </w:rPr>
      </w:pPr>
      <w:r w:rsidRPr="00386439">
        <w:rPr>
          <w:rFonts w:ascii="宋体" w:eastAsia="宋体" w:hAnsi="宋体"/>
          <w:szCs w:val="21"/>
        </w:rPr>
        <w:t>在这一战略背景下，"双一流"建设的深入推进进一步强化了顶尖高校的引才战略意识与实践动力。根据教育部公布的数据，自2017年"双一流"首轮建设启动至2022年第二轮建设推进，全国"双一流"高校的海外引进高层次人才总量增长约42.7%[19]，充分体现了国家建设部署对高校主动参与全球人才竞争的强烈政策导向与制度激励效应。</w:t>
      </w:r>
    </w:p>
    <w:p w14:paraId="2DF1653C" w14:textId="77777777" w:rsidR="00694A27" w:rsidRPr="00386439" w:rsidRDefault="00694A27" w:rsidP="00386439">
      <w:pPr>
        <w:spacing w:line="300" w:lineRule="auto"/>
        <w:ind w:firstLineChars="200" w:firstLine="422"/>
        <w:rPr>
          <w:rFonts w:ascii="宋体" w:eastAsia="宋体" w:hAnsi="宋体"/>
          <w:b/>
          <w:bCs/>
          <w:szCs w:val="21"/>
        </w:rPr>
      </w:pPr>
      <w:r w:rsidRPr="00386439">
        <w:rPr>
          <w:rFonts w:ascii="宋体" w:eastAsia="宋体" w:hAnsi="宋体"/>
          <w:b/>
          <w:bCs/>
          <w:szCs w:val="21"/>
        </w:rPr>
        <w:t>（五）科技人才竞争的规律性特征：对中国引才政策优化的理论启示</w:t>
      </w:r>
    </w:p>
    <w:p w14:paraId="20C58484" w14:textId="77777777" w:rsidR="00694A27" w:rsidRPr="00386439" w:rsidRDefault="00694A27" w:rsidP="00386439">
      <w:pPr>
        <w:spacing w:line="300" w:lineRule="auto"/>
        <w:ind w:firstLineChars="200" w:firstLine="420"/>
        <w:rPr>
          <w:rFonts w:ascii="宋体" w:eastAsia="宋体" w:hAnsi="宋体"/>
          <w:szCs w:val="21"/>
        </w:rPr>
      </w:pPr>
      <w:r w:rsidRPr="00386439">
        <w:rPr>
          <w:rFonts w:ascii="宋体" w:eastAsia="宋体" w:hAnsi="宋体"/>
          <w:szCs w:val="21"/>
        </w:rPr>
        <w:t>系统梳理全球科技人才竞争格局的深层演变规律，可为中国高校引才政策优化提炼出若干具有重要理论启示价值的规律性认识。</w:t>
      </w:r>
    </w:p>
    <w:p w14:paraId="54798E00" w14:textId="77777777" w:rsidR="00694A27" w:rsidRPr="00386439" w:rsidRDefault="00694A27" w:rsidP="00386439">
      <w:pPr>
        <w:spacing w:line="300" w:lineRule="auto"/>
        <w:ind w:firstLineChars="200" w:firstLine="422"/>
        <w:rPr>
          <w:rFonts w:ascii="宋体" w:eastAsia="宋体" w:hAnsi="宋体"/>
          <w:szCs w:val="21"/>
        </w:rPr>
      </w:pPr>
      <w:r w:rsidRPr="00386439">
        <w:rPr>
          <w:rFonts w:ascii="宋体" w:eastAsia="宋体" w:hAnsi="宋体"/>
          <w:b/>
          <w:bCs/>
          <w:szCs w:val="21"/>
        </w:rPr>
        <w:t>规律之一：引才竞争的实质是制度竞争而非要素竞争。</w:t>
      </w:r>
      <w:r w:rsidRPr="00386439">
        <w:rPr>
          <w:rFonts w:ascii="宋体" w:eastAsia="宋体" w:hAnsi="宋体"/>
          <w:szCs w:val="21"/>
        </w:rPr>
        <w:t xml:space="preserve"> 长期跟踪研究表明，顶尖海外科技人才的区位选择，在其决策权重排序中，制度环境质量（包括学术自由度、科研自主权、</w:t>
      </w:r>
      <w:r w:rsidRPr="00386439">
        <w:rPr>
          <w:rFonts w:ascii="宋体" w:eastAsia="宋体" w:hAnsi="宋体"/>
          <w:szCs w:val="21"/>
        </w:rPr>
        <w:lastRenderedPageBreak/>
        <w:t>权益保障可靠性）通常高于薪酬差异，而高于行政便利性[20]。这意味着，仅靠高额薪酬堆叠而无制度性环境改善的引才策略，其可持续性与长效性存在根本局限，制度性竞争力的建构才是引才政策长效优化的根本着力点。</w:t>
      </w:r>
    </w:p>
    <w:p w14:paraId="56496BDE" w14:textId="77777777" w:rsidR="00694A27" w:rsidRPr="00386439" w:rsidRDefault="00694A27" w:rsidP="00386439">
      <w:pPr>
        <w:spacing w:line="300" w:lineRule="auto"/>
        <w:ind w:firstLineChars="200" w:firstLine="422"/>
        <w:rPr>
          <w:rFonts w:ascii="宋体" w:eastAsia="宋体" w:hAnsi="宋体"/>
          <w:szCs w:val="21"/>
        </w:rPr>
      </w:pPr>
      <w:r w:rsidRPr="00386439">
        <w:rPr>
          <w:rFonts w:ascii="宋体" w:eastAsia="宋体" w:hAnsi="宋体"/>
          <w:b/>
          <w:bCs/>
          <w:szCs w:val="21"/>
        </w:rPr>
        <w:t>规律之二：顶尖人才的引才具有显著的集群效应与网络外部性。</w:t>
      </w:r>
      <w:r w:rsidRPr="00386439">
        <w:rPr>
          <w:rFonts w:ascii="宋体" w:eastAsia="宋体" w:hAnsi="宋体"/>
          <w:szCs w:val="21"/>
        </w:rPr>
        <w:t xml:space="preserve"> 诺贝尔经济学奖得主赫伯特·西蒙（Herbert Simon）的科学生产率研究揭示，科研产出遵循严格的</w:t>
      </w:r>
      <w:proofErr w:type="gramStart"/>
      <w:r w:rsidRPr="00386439">
        <w:rPr>
          <w:rFonts w:ascii="宋体" w:eastAsia="宋体" w:hAnsi="宋体"/>
          <w:szCs w:val="21"/>
        </w:rPr>
        <w:t>幂</w:t>
      </w:r>
      <w:proofErr w:type="gramEnd"/>
      <w:r w:rsidRPr="00386439">
        <w:rPr>
          <w:rFonts w:ascii="宋体" w:eastAsia="宋体" w:hAnsi="宋体"/>
          <w:szCs w:val="21"/>
        </w:rPr>
        <w:t>律分布——顶端约5%的科研人员产生了约50%的高影响力科研成果[21]。在人才引进策略上，这意味着集中资源引进少数真正处于全球科技前沿的顶尖科学家，其对高校学科生态与创新产出的带动效应，远超分散式引进大量中等层次人才的替代策略，引才质量比引才数量具有更高的战略价值。</w:t>
      </w:r>
    </w:p>
    <w:p w14:paraId="59BC03A1" w14:textId="77777777" w:rsidR="00694A27" w:rsidRPr="00386439" w:rsidRDefault="00694A27" w:rsidP="00386439">
      <w:pPr>
        <w:spacing w:line="300" w:lineRule="auto"/>
        <w:ind w:firstLineChars="200" w:firstLine="422"/>
        <w:rPr>
          <w:rFonts w:ascii="宋体" w:eastAsia="宋体" w:hAnsi="宋体"/>
          <w:szCs w:val="21"/>
        </w:rPr>
      </w:pPr>
      <w:r w:rsidRPr="00386439">
        <w:rPr>
          <w:rFonts w:ascii="宋体" w:eastAsia="宋体" w:hAnsi="宋体"/>
          <w:b/>
          <w:bCs/>
          <w:szCs w:val="21"/>
        </w:rPr>
        <w:t>规律之三：全球科技人才竞争正在进入"</w:t>
      </w:r>
      <w:proofErr w:type="gramStart"/>
      <w:r w:rsidRPr="00386439">
        <w:rPr>
          <w:rFonts w:ascii="宋体" w:eastAsia="宋体" w:hAnsi="宋体"/>
          <w:b/>
          <w:bCs/>
          <w:szCs w:val="21"/>
        </w:rPr>
        <w:t>软实力</w:t>
      </w:r>
      <w:proofErr w:type="gramEnd"/>
      <w:r w:rsidRPr="00386439">
        <w:rPr>
          <w:rFonts w:ascii="宋体" w:eastAsia="宋体" w:hAnsi="宋体"/>
          <w:b/>
          <w:bCs/>
          <w:szCs w:val="21"/>
        </w:rPr>
        <w:t>决定论"阶段。</w:t>
      </w:r>
      <w:r w:rsidRPr="00386439">
        <w:rPr>
          <w:rFonts w:ascii="宋体" w:eastAsia="宋体" w:hAnsi="宋体"/>
          <w:szCs w:val="21"/>
        </w:rPr>
        <w:t xml:space="preserve"> 随着越来越多的国家提供有竞争力的薪酬待遇与科研条件，文化开放性、生活质量、职业发展生态与价值意义感等软性因素在顶尖人才区位选择中的相对权重持续上升。OECD《人才吸引力研究报告》（2021年）的系统调查表明，在35岁以下高层次科研人员的来华意愿影响因素评估中，"文化开放性"与"职业发展前景"的权重已超过"薪酬水平"成为最重要的两项</w:t>
      </w:r>
      <w:proofErr w:type="gramStart"/>
      <w:r w:rsidRPr="00386439">
        <w:rPr>
          <w:rFonts w:ascii="宋体" w:eastAsia="宋体" w:hAnsi="宋体"/>
          <w:szCs w:val="21"/>
        </w:rPr>
        <w:t>考量</w:t>
      </w:r>
      <w:proofErr w:type="gramEnd"/>
      <w:r w:rsidRPr="00386439">
        <w:rPr>
          <w:rFonts w:ascii="宋体" w:eastAsia="宋体" w:hAnsi="宋体"/>
          <w:szCs w:val="21"/>
        </w:rPr>
        <w:t>因素[22]，深刻揭示了引才</w:t>
      </w:r>
      <w:proofErr w:type="gramStart"/>
      <w:r w:rsidRPr="00386439">
        <w:rPr>
          <w:rFonts w:ascii="宋体" w:eastAsia="宋体" w:hAnsi="宋体"/>
          <w:szCs w:val="21"/>
        </w:rPr>
        <w:t>软实</w:t>
      </w:r>
      <w:proofErr w:type="gramEnd"/>
      <w:r w:rsidRPr="00386439">
        <w:rPr>
          <w:rFonts w:ascii="宋体" w:eastAsia="宋体" w:hAnsi="宋体"/>
          <w:szCs w:val="21"/>
        </w:rPr>
        <w:t>力建设在当前全球竞争格局中的战略性价值跃升。</w:t>
      </w:r>
    </w:p>
    <w:p w14:paraId="1CE42B7B" w14:textId="77777777" w:rsidR="00694A27" w:rsidRPr="00386439" w:rsidRDefault="00694A27" w:rsidP="00386439">
      <w:pPr>
        <w:spacing w:line="300" w:lineRule="auto"/>
        <w:ind w:firstLineChars="200" w:firstLine="420"/>
        <w:rPr>
          <w:rFonts w:ascii="宋体" w:eastAsia="宋体" w:hAnsi="宋体"/>
          <w:szCs w:val="21"/>
        </w:rPr>
      </w:pPr>
      <w:r w:rsidRPr="00386439">
        <w:rPr>
          <w:rFonts w:ascii="宋体" w:eastAsia="宋体" w:hAnsi="宋体"/>
          <w:szCs w:val="21"/>
        </w:rPr>
        <w:t>上述规律性认识共同指向一个核心政策判断：面对日益复杂的大国博弈与科技竞争</w:t>
      </w:r>
      <w:proofErr w:type="gramStart"/>
      <w:r w:rsidRPr="00386439">
        <w:rPr>
          <w:rFonts w:ascii="宋体" w:eastAsia="宋体" w:hAnsi="宋体"/>
          <w:szCs w:val="21"/>
        </w:rPr>
        <w:t>时代场域</w:t>
      </w:r>
      <w:proofErr w:type="gramEnd"/>
      <w:r w:rsidRPr="00386439">
        <w:rPr>
          <w:rFonts w:ascii="宋体" w:eastAsia="宋体" w:hAnsi="宋体"/>
          <w:szCs w:val="21"/>
        </w:rPr>
        <w:t>，中国高校海外科技人才引进政策的优化，必须完成从单纯激励要素堆叠向系统性制度生态建构的深层范式转变，在制度性竞争力、引才质量导向与</w:t>
      </w:r>
      <w:proofErr w:type="gramStart"/>
      <w:r w:rsidRPr="00386439">
        <w:rPr>
          <w:rFonts w:ascii="宋体" w:eastAsia="宋体" w:hAnsi="宋体"/>
          <w:szCs w:val="21"/>
        </w:rPr>
        <w:t>软实</w:t>
      </w:r>
      <w:proofErr w:type="gramEnd"/>
      <w:r w:rsidRPr="00386439">
        <w:rPr>
          <w:rFonts w:ascii="宋体" w:eastAsia="宋体" w:hAnsi="宋体"/>
          <w:szCs w:val="21"/>
        </w:rPr>
        <w:t>力塑造三个核心维</w:t>
      </w:r>
      <w:proofErr w:type="gramStart"/>
      <w:r w:rsidRPr="00386439">
        <w:rPr>
          <w:rFonts w:ascii="宋体" w:eastAsia="宋体" w:hAnsi="宋体"/>
          <w:szCs w:val="21"/>
        </w:rPr>
        <w:t>度实</w:t>
      </w:r>
      <w:proofErr w:type="gramEnd"/>
      <w:r w:rsidRPr="00386439">
        <w:rPr>
          <w:rFonts w:ascii="宋体" w:eastAsia="宋体" w:hAnsi="宋体"/>
          <w:szCs w:val="21"/>
        </w:rPr>
        <w:t>现协同突破，方能在全球引才竞争的新格局中赢得持久而可持续的战略主动。</w:t>
      </w:r>
    </w:p>
    <w:p w14:paraId="7864C80D" w14:textId="77777777" w:rsidR="00694A27" w:rsidRPr="00386439" w:rsidRDefault="002078B7" w:rsidP="00386439">
      <w:pPr>
        <w:spacing w:line="300" w:lineRule="auto"/>
        <w:ind w:firstLineChars="200" w:firstLine="420"/>
        <w:rPr>
          <w:rFonts w:ascii="宋体" w:eastAsia="宋体" w:hAnsi="宋体"/>
          <w:szCs w:val="21"/>
        </w:rPr>
      </w:pPr>
      <w:r>
        <w:rPr>
          <w:rFonts w:ascii="宋体" w:eastAsia="宋体" w:hAnsi="宋体"/>
          <w:szCs w:val="21"/>
        </w:rPr>
        <w:pict w14:anchorId="51C89AE4">
          <v:rect id="_x0000_i1026" style="width:0;height:1.5pt" o:hralign="center" o:hrstd="t" o:hr="t" fillcolor="#a0a0a0" stroked="f"/>
        </w:pict>
      </w:r>
    </w:p>
    <w:p w14:paraId="4D5B87AB" w14:textId="77777777" w:rsidR="00694A27" w:rsidRPr="00386439" w:rsidRDefault="00694A27" w:rsidP="00386439">
      <w:pPr>
        <w:spacing w:line="300" w:lineRule="auto"/>
        <w:ind w:firstLineChars="200" w:firstLine="422"/>
        <w:rPr>
          <w:rFonts w:ascii="宋体" w:eastAsia="宋体" w:hAnsi="宋体"/>
          <w:b/>
          <w:bCs/>
          <w:szCs w:val="21"/>
        </w:rPr>
      </w:pPr>
      <w:r w:rsidRPr="00386439">
        <w:rPr>
          <w:rFonts w:ascii="宋体" w:eastAsia="宋体" w:hAnsi="宋体"/>
          <w:b/>
          <w:bCs/>
          <w:szCs w:val="21"/>
        </w:rPr>
        <w:t>参考文献</w:t>
      </w:r>
    </w:p>
    <w:p w14:paraId="4B708928" w14:textId="77777777" w:rsidR="00694A27" w:rsidRPr="00386439" w:rsidRDefault="00694A27" w:rsidP="00386439">
      <w:pPr>
        <w:spacing w:line="300" w:lineRule="auto"/>
        <w:ind w:firstLineChars="200" w:firstLine="420"/>
        <w:rPr>
          <w:rFonts w:ascii="Times New Roman" w:eastAsia="宋体" w:hAnsi="Times New Roman" w:cs="Times New Roman"/>
          <w:color w:val="FF0000"/>
          <w:szCs w:val="21"/>
        </w:rPr>
      </w:pPr>
      <w:r w:rsidRPr="00386439">
        <w:rPr>
          <w:rFonts w:ascii="Times New Roman" w:eastAsia="宋体" w:hAnsi="Times New Roman" w:cs="Times New Roman"/>
          <w:color w:val="FF0000"/>
          <w:szCs w:val="21"/>
        </w:rPr>
        <w:t>[1] Kennedy P. The Rise and Fall of the Great Powers: Economic Change and Military Conflict from 1500 to 2000[M]. New York: Random House, 1987.</w:t>
      </w:r>
    </w:p>
    <w:p w14:paraId="569AF5D7" w14:textId="77777777" w:rsidR="00260A59" w:rsidRDefault="00694A27" w:rsidP="00386439">
      <w:pPr>
        <w:spacing w:line="300" w:lineRule="auto"/>
        <w:ind w:firstLineChars="200" w:firstLine="420"/>
        <w:rPr>
          <w:rFonts w:ascii="Times New Roman" w:eastAsia="宋体" w:hAnsi="Times New Roman" w:cs="Times New Roman"/>
          <w:color w:val="FF0000"/>
          <w:szCs w:val="21"/>
        </w:rPr>
      </w:pPr>
      <w:r w:rsidRPr="00386439">
        <w:rPr>
          <w:rFonts w:ascii="Times New Roman" w:eastAsia="宋体" w:hAnsi="Times New Roman" w:cs="Times New Roman"/>
          <w:color w:val="FF0000"/>
          <w:szCs w:val="21"/>
        </w:rPr>
        <w:t xml:space="preserve">[2] </w:t>
      </w:r>
      <w:proofErr w:type="spellStart"/>
      <w:r w:rsidR="00260A59" w:rsidRPr="00260A59">
        <w:rPr>
          <w:rFonts w:ascii="Times New Roman" w:eastAsia="宋体" w:hAnsi="Times New Roman" w:cs="Times New Roman"/>
          <w:color w:val="FF0000"/>
          <w:szCs w:val="21"/>
        </w:rPr>
        <w:t>Maslej</w:t>
      </w:r>
      <w:proofErr w:type="spellEnd"/>
      <w:r w:rsidR="00260A59" w:rsidRPr="00260A59">
        <w:rPr>
          <w:rFonts w:ascii="Times New Roman" w:eastAsia="宋体" w:hAnsi="Times New Roman" w:cs="Times New Roman"/>
          <w:color w:val="FF0000"/>
          <w:szCs w:val="21"/>
        </w:rPr>
        <w:t xml:space="preserve"> N, </w:t>
      </w:r>
      <w:proofErr w:type="spellStart"/>
      <w:r w:rsidR="00260A59" w:rsidRPr="00260A59">
        <w:rPr>
          <w:rFonts w:ascii="Times New Roman" w:eastAsia="宋体" w:hAnsi="Times New Roman" w:cs="Times New Roman"/>
          <w:color w:val="FF0000"/>
          <w:szCs w:val="21"/>
        </w:rPr>
        <w:t>Fattorini</w:t>
      </w:r>
      <w:proofErr w:type="spellEnd"/>
      <w:r w:rsidR="00260A59" w:rsidRPr="00260A59">
        <w:rPr>
          <w:rFonts w:ascii="Times New Roman" w:eastAsia="宋体" w:hAnsi="Times New Roman" w:cs="Times New Roman"/>
          <w:color w:val="FF0000"/>
          <w:szCs w:val="21"/>
        </w:rPr>
        <w:t xml:space="preserve"> L, Brynjolfsson E, et al. Artificial Intelligence Index Report 2022[R/OL]. Stanford: Stanford University, Stanford Institute for Human-Centered Artificial Intelligence (HAI), 2022[2026-03-08].</w:t>
      </w:r>
    </w:p>
    <w:p w14:paraId="0C15705B" w14:textId="6DE3615E" w:rsidR="00260A59" w:rsidRPr="00260A59" w:rsidRDefault="00260A59" w:rsidP="00386439">
      <w:pPr>
        <w:spacing w:line="300" w:lineRule="auto"/>
        <w:ind w:firstLineChars="200" w:firstLine="420"/>
        <w:rPr>
          <w:rFonts w:ascii="Times New Roman" w:eastAsia="宋体" w:hAnsi="Times New Roman" w:cs="Times New Roman" w:hint="eastAsia"/>
          <w:color w:val="FF0000"/>
          <w:szCs w:val="21"/>
        </w:rPr>
      </w:pPr>
      <w:hyperlink r:id="rId6" w:history="1">
        <w:r w:rsidRPr="002B4663">
          <w:rPr>
            <w:rStyle w:val="a7"/>
            <w:rFonts w:ascii="Times New Roman" w:eastAsia="宋体" w:hAnsi="Times New Roman" w:cs="Times New Roman"/>
            <w:szCs w:val="21"/>
          </w:rPr>
          <w:t>https://aiindex.stanford.edu/wp-content/uploads/2022/03/2022-AI-Index-Report_Master.pdf</w:t>
        </w:r>
      </w:hyperlink>
      <w:r>
        <w:rPr>
          <w:rFonts w:ascii="Times New Roman" w:eastAsia="宋体" w:hAnsi="Times New Roman" w:cs="Times New Roman" w:hint="eastAsia"/>
          <w:color w:val="FF0000"/>
          <w:szCs w:val="21"/>
        </w:rPr>
        <w:t>.</w:t>
      </w:r>
    </w:p>
    <w:p w14:paraId="6C7A33E6" w14:textId="53842D45" w:rsidR="00260A59" w:rsidRPr="00386439" w:rsidRDefault="00694A27" w:rsidP="00386439">
      <w:pPr>
        <w:spacing w:line="300" w:lineRule="auto"/>
        <w:ind w:firstLineChars="200" w:firstLine="420"/>
        <w:rPr>
          <w:rFonts w:ascii="Times New Roman" w:eastAsia="宋体" w:hAnsi="Times New Roman" w:cs="Times New Roman" w:hint="eastAsia"/>
          <w:color w:val="FF0000"/>
          <w:szCs w:val="21"/>
        </w:rPr>
      </w:pPr>
      <w:r w:rsidRPr="00386439">
        <w:rPr>
          <w:rFonts w:ascii="Times New Roman" w:eastAsia="宋体" w:hAnsi="Times New Roman" w:cs="Times New Roman"/>
          <w:color w:val="FF0000"/>
          <w:szCs w:val="21"/>
        </w:rPr>
        <w:t xml:space="preserve">[3] </w:t>
      </w:r>
      <w:r w:rsidR="00260A59" w:rsidRPr="00260A59">
        <w:rPr>
          <w:rFonts w:ascii="Times New Roman" w:eastAsia="宋体" w:hAnsi="Times New Roman" w:cs="Times New Roman"/>
          <w:color w:val="FF0000"/>
          <w:szCs w:val="21"/>
        </w:rPr>
        <w:t>Stanford HAI. Artificial Intelligence Index Report 2024[R/OL]. Stanford: Stanford University, Stanford Institute for Human-Centered Artificial Intelligence (HAI), 2024[2026-03-08].</w:t>
      </w:r>
      <w:hyperlink r:id="rId7" w:tgtFrame="_blank" w:history="1">
        <w:r w:rsidR="00260A59" w:rsidRPr="00260A59">
          <w:rPr>
            <w:rStyle w:val="a7"/>
            <w:rFonts w:ascii="Times New Roman" w:eastAsia="宋体" w:hAnsi="Times New Roman" w:cs="Times New Roman"/>
            <w:szCs w:val="21"/>
          </w:rPr>
          <w:t>https://aiindex.stanford.edu/wp-content/uploads/2024/04/HAI_AI-Index-Report-2024_Chapter6-1.pdf.</w:t>
        </w:r>
      </w:hyperlink>
    </w:p>
    <w:p w14:paraId="0EB38FC3" w14:textId="77777777" w:rsidR="00694A27" w:rsidRPr="00386439" w:rsidRDefault="00694A27" w:rsidP="00386439">
      <w:pPr>
        <w:spacing w:line="300" w:lineRule="auto"/>
        <w:ind w:firstLineChars="200" w:firstLine="420"/>
        <w:rPr>
          <w:rFonts w:ascii="Times New Roman" w:eastAsia="宋体" w:hAnsi="Times New Roman" w:cs="Times New Roman"/>
          <w:color w:val="FF0000"/>
          <w:szCs w:val="21"/>
        </w:rPr>
      </w:pPr>
      <w:r w:rsidRPr="00386439">
        <w:rPr>
          <w:rFonts w:ascii="Times New Roman" w:eastAsia="宋体" w:hAnsi="Times New Roman" w:cs="Times New Roman"/>
          <w:color w:val="FF0000"/>
          <w:szCs w:val="21"/>
        </w:rPr>
        <w:t xml:space="preserve">[4] </w:t>
      </w:r>
      <w:proofErr w:type="spellStart"/>
      <w:r w:rsidRPr="00386439">
        <w:rPr>
          <w:rFonts w:ascii="Times New Roman" w:eastAsia="宋体" w:hAnsi="Times New Roman" w:cs="Times New Roman"/>
          <w:color w:val="FF0000"/>
          <w:szCs w:val="21"/>
        </w:rPr>
        <w:t>Mervis</w:t>
      </w:r>
      <w:proofErr w:type="spellEnd"/>
      <w:r w:rsidRPr="00386439">
        <w:rPr>
          <w:rFonts w:ascii="Times New Roman" w:eastAsia="宋体" w:hAnsi="Times New Roman" w:cs="Times New Roman"/>
          <w:color w:val="FF0000"/>
          <w:szCs w:val="21"/>
        </w:rPr>
        <w:t xml:space="preserve"> J. U.S. effort to combat Chinese espionage ensnares innocent researchers, report finds[J]. Science, 2022, 375(6578): 249-250.</w:t>
      </w:r>
    </w:p>
    <w:p w14:paraId="199EF233" w14:textId="6BEAAB5F" w:rsidR="00694A27" w:rsidRPr="00386439" w:rsidRDefault="00694A27" w:rsidP="00386439">
      <w:pPr>
        <w:spacing w:line="300" w:lineRule="auto"/>
        <w:ind w:firstLineChars="200" w:firstLine="420"/>
        <w:rPr>
          <w:rFonts w:ascii="Times New Roman" w:eastAsia="宋体" w:hAnsi="Times New Roman" w:cs="Times New Roman"/>
          <w:color w:val="FF0000"/>
          <w:szCs w:val="21"/>
        </w:rPr>
      </w:pPr>
      <w:r w:rsidRPr="00386439">
        <w:rPr>
          <w:rFonts w:ascii="Times New Roman" w:eastAsia="宋体" w:hAnsi="Times New Roman" w:cs="Times New Roman"/>
          <w:color w:val="FF0000"/>
          <w:szCs w:val="21"/>
        </w:rPr>
        <w:t xml:space="preserve">[5] </w:t>
      </w:r>
      <w:r w:rsidR="00386439" w:rsidRPr="00386439">
        <w:rPr>
          <w:rFonts w:ascii="Times New Roman" w:eastAsia="宋体" w:hAnsi="Times New Roman" w:cs="Times New Roman"/>
          <w:color w:val="FF0000"/>
          <w:szCs w:val="21"/>
        </w:rPr>
        <w:t>U.S. Department of Commerce, Bureau of Industry and Security. Review of Controls for Certain Emerging Technologies[Z]. Federal Register, 2018-11-19.</w:t>
      </w:r>
    </w:p>
    <w:p w14:paraId="457805DE" w14:textId="2885DE1B" w:rsidR="00386439" w:rsidRPr="00386439" w:rsidRDefault="00386439" w:rsidP="00386439">
      <w:pPr>
        <w:spacing w:line="300" w:lineRule="auto"/>
        <w:ind w:firstLineChars="200" w:firstLine="420"/>
        <w:rPr>
          <w:rFonts w:ascii="Times New Roman" w:eastAsia="宋体" w:hAnsi="Times New Roman" w:cs="Times New Roman"/>
          <w:color w:val="FF0000"/>
          <w:szCs w:val="21"/>
        </w:rPr>
      </w:pPr>
    </w:p>
    <w:p w14:paraId="3E654112" w14:textId="00CA6FCA" w:rsidR="009B3CC0" w:rsidRPr="00386439" w:rsidRDefault="00694A27" w:rsidP="00386439">
      <w:pPr>
        <w:spacing w:line="300" w:lineRule="auto"/>
        <w:ind w:firstLineChars="200" w:firstLine="420"/>
        <w:rPr>
          <w:rFonts w:ascii="Times New Roman" w:eastAsia="宋体" w:hAnsi="Times New Roman" w:cs="Times New Roman"/>
          <w:color w:val="FF0000"/>
          <w:szCs w:val="21"/>
        </w:rPr>
      </w:pPr>
      <w:r w:rsidRPr="00386439">
        <w:rPr>
          <w:rFonts w:ascii="Times New Roman" w:eastAsia="宋体" w:hAnsi="Times New Roman" w:cs="Times New Roman"/>
          <w:color w:val="FF0000"/>
          <w:szCs w:val="21"/>
        </w:rPr>
        <w:t xml:space="preserve">[6] </w:t>
      </w:r>
      <w:proofErr w:type="spellStart"/>
      <w:r w:rsidR="009B3CC0" w:rsidRPr="009B3CC0">
        <w:rPr>
          <w:rFonts w:ascii="Times New Roman" w:eastAsia="宋体" w:hAnsi="Times New Roman" w:cs="Times New Roman"/>
          <w:color w:val="FF0000"/>
          <w:szCs w:val="21"/>
        </w:rPr>
        <w:t>Xie</w:t>
      </w:r>
      <w:proofErr w:type="spellEnd"/>
      <w:r w:rsidR="009B3CC0" w:rsidRPr="009B3CC0">
        <w:rPr>
          <w:rFonts w:ascii="Times New Roman" w:eastAsia="宋体" w:hAnsi="Times New Roman" w:cs="Times New Roman"/>
          <w:color w:val="FF0000"/>
          <w:szCs w:val="21"/>
        </w:rPr>
        <w:t xml:space="preserve"> Y, Zhang Y, Fu Q. US–China scientific collaboration benefits both sides[J]. Proceedings of the National Academy of Sciences of the United States of America, 2021, 118(45): e2104581118.</w:t>
      </w:r>
    </w:p>
    <w:p w14:paraId="784B774C" w14:textId="7E16060C" w:rsidR="00386439" w:rsidRPr="00386439" w:rsidRDefault="00694A27" w:rsidP="00386439">
      <w:pPr>
        <w:spacing w:line="300" w:lineRule="auto"/>
        <w:ind w:firstLineChars="200" w:firstLine="420"/>
        <w:rPr>
          <w:rFonts w:ascii="Times New Roman" w:eastAsia="宋体" w:hAnsi="Times New Roman" w:cs="Times New Roman"/>
          <w:color w:val="FF0000"/>
          <w:szCs w:val="21"/>
        </w:rPr>
      </w:pPr>
      <w:r w:rsidRPr="00386439">
        <w:rPr>
          <w:rFonts w:ascii="Times New Roman" w:eastAsia="宋体" w:hAnsi="Times New Roman" w:cs="Times New Roman"/>
          <w:color w:val="FF0000"/>
          <w:szCs w:val="21"/>
        </w:rPr>
        <w:t xml:space="preserve">[7] </w:t>
      </w:r>
      <w:r w:rsidR="00386439" w:rsidRPr="00386439">
        <w:rPr>
          <w:rFonts w:ascii="Times New Roman" w:eastAsia="宋体" w:hAnsi="Times New Roman" w:cs="Times New Roman"/>
          <w:color w:val="FF0000"/>
          <w:szCs w:val="21"/>
        </w:rPr>
        <w:t>U.S. Department of Commerce, Bureau of Industry and Security. Commerce implements new export controls on advanced computing and semiconductor manufacturing items to the People’s Republic of China[Z]. 2022-10-07.</w:t>
      </w:r>
    </w:p>
    <w:p w14:paraId="5A8C5A33" w14:textId="2872281B" w:rsidR="00386439" w:rsidRPr="00386439" w:rsidRDefault="00694A27" w:rsidP="00386439">
      <w:pPr>
        <w:spacing w:line="300" w:lineRule="auto"/>
        <w:ind w:firstLineChars="200" w:firstLine="420"/>
        <w:rPr>
          <w:rFonts w:ascii="Times New Roman" w:eastAsia="宋体" w:hAnsi="Times New Roman" w:cs="Times New Roman"/>
          <w:color w:val="FF0000"/>
          <w:szCs w:val="21"/>
        </w:rPr>
      </w:pPr>
      <w:r w:rsidRPr="00386439">
        <w:rPr>
          <w:rFonts w:ascii="Times New Roman" w:eastAsia="宋体" w:hAnsi="Times New Roman" w:cs="Times New Roman"/>
          <w:color w:val="FF0000"/>
          <w:szCs w:val="21"/>
        </w:rPr>
        <w:t xml:space="preserve">[8] </w:t>
      </w:r>
      <w:r w:rsidR="00386439" w:rsidRPr="00386439">
        <w:rPr>
          <w:rFonts w:ascii="Times New Roman" w:eastAsia="宋体" w:hAnsi="Times New Roman" w:cs="Times New Roman"/>
          <w:color w:val="FF0000"/>
          <w:szCs w:val="21"/>
        </w:rPr>
        <w:t>National Science Board. The state of U.S. science and engineering 2024[R]. Alexandria: National Science Foundation, 2024.</w:t>
      </w:r>
    </w:p>
    <w:p w14:paraId="27D64EE5" w14:textId="77777777" w:rsidR="00694A27" w:rsidRPr="00386439" w:rsidRDefault="00694A27" w:rsidP="00386439">
      <w:pPr>
        <w:spacing w:line="300" w:lineRule="auto"/>
        <w:ind w:firstLineChars="200" w:firstLine="420"/>
        <w:rPr>
          <w:rFonts w:ascii="Times New Roman" w:eastAsia="宋体" w:hAnsi="Times New Roman" w:cs="Times New Roman"/>
          <w:color w:val="FF0000"/>
          <w:szCs w:val="21"/>
        </w:rPr>
      </w:pPr>
      <w:r w:rsidRPr="00386439">
        <w:rPr>
          <w:rFonts w:ascii="Times New Roman" w:eastAsia="宋体" w:hAnsi="Times New Roman" w:cs="Times New Roman"/>
          <w:color w:val="FF0000"/>
          <w:szCs w:val="21"/>
        </w:rPr>
        <w:t xml:space="preserve">[9] European Commission. Horizon Europe: The EU Research and Innovation </w:t>
      </w:r>
      <w:proofErr w:type="spellStart"/>
      <w:r w:rsidRPr="00386439">
        <w:rPr>
          <w:rFonts w:ascii="Times New Roman" w:eastAsia="宋体" w:hAnsi="Times New Roman" w:cs="Times New Roman"/>
          <w:color w:val="FF0000"/>
          <w:szCs w:val="21"/>
        </w:rPr>
        <w:t>Programme</w:t>
      </w:r>
      <w:proofErr w:type="spellEnd"/>
      <w:r w:rsidRPr="00386439">
        <w:rPr>
          <w:rFonts w:ascii="Times New Roman" w:eastAsia="宋体" w:hAnsi="Times New Roman" w:cs="Times New Roman"/>
          <w:color w:val="FF0000"/>
          <w:szCs w:val="21"/>
        </w:rPr>
        <w:t xml:space="preserve"> 2021–2027[R]. Brussels: European Commission, 2021.</w:t>
      </w:r>
    </w:p>
    <w:p w14:paraId="639D6395" w14:textId="77777777" w:rsidR="00694A27" w:rsidRPr="00386439" w:rsidRDefault="00694A27" w:rsidP="00386439">
      <w:pPr>
        <w:spacing w:line="300" w:lineRule="auto"/>
        <w:ind w:firstLineChars="200" w:firstLine="420"/>
        <w:rPr>
          <w:rFonts w:ascii="Times New Roman" w:eastAsia="宋体" w:hAnsi="Times New Roman" w:cs="Times New Roman"/>
          <w:color w:val="FF0000"/>
          <w:szCs w:val="21"/>
        </w:rPr>
      </w:pPr>
      <w:r w:rsidRPr="00386439">
        <w:rPr>
          <w:rFonts w:ascii="Times New Roman" w:eastAsia="宋体" w:hAnsi="Times New Roman" w:cs="Times New Roman"/>
          <w:color w:val="FF0000"/>
          <w:szCs w:val="21"/>
        </w:rPr>
        <w:t xml:space="preserve">[10] European Commission. </w:t>
      </w:r>
      <w:bookmarkStart w:id="1" w:name="OLE_LINK1"/>
      <w:bookmarkStart w:id="2" w:name="OLE_LINK2"/>
      <w:r w:rsidRPr="00386439">
        <w:rPr>
          <w:rFonts w:ascii="Times New Roman" w:eastAsia="宋体" w:hAnsi="Times New Roman" w:cs="Times New Roman"/>
          <w:color w:val="FF0000"/>
          <w:szCs w:val="21"/>
        </w:rPr>
        <w:t>A New ERA for Research and Innovation: Communication from the Commission to the European Parliament</w:t>
      </w:r>
      <w:bookmarkEnd w:id="1"/>
      <w:bookmarkEnd w:id="2"/>
      <w:r w:rsidRPr="00386439">
        <w:rPr>
          <w:rFonts w:ascii="Times New Roman" w:eastAsia="宋体" w:hAnsi="Times New Roman" w:cs="Times New Roman"/>
          <w:color w:val="FF0000"/>
          <w:szCs w:val="21"/>
        </w:rPr>
        <w:t>, the Council, the European Economic and Social Committee and the Committee of the Regions[R]. Brussels: European Commission, 2020.</w:t>
      </w:r>
    </w:p>
    <w:p w14:paraId="420D7B75" w14:textId="77777777" w:rsidR="00386439" w:rsidRPr="00386439" w:rsidRDefault="00386439" w:rsidP="00386439">
      <w:pPr>
        <w:spacing w:line="300" w:lineRule="auto"/>
        <w:ind w:firstLineChars="200" w:firstLine="420"/>
        <w:rPr>
          <w:rFonts w:ascii="Times New Roman" w:eastAsia="宋体" w:hAnsi="Times New Roman" w:cs="Times New Roman"/>
          <w:szCs w:val="21"/>
        </w:rPr>
      </w:pPr>
    </w:p>
    <w:p w14:paraId="28023468" w14:textId="37408A7C" w:rsidR="00694A27" w:rsidRPr="00386439" w:rsidRDefault="00694A27" w:rsidP="00386439">
      <w:pPr>
        <w:spacing w:line="300" w:lineRule="auto"/>
        <w:ind w:firstLineChars="200" w:firstLine="420"/>
        <w:rPr>
          <w:rFonts w:ascii="Times New Roman" w:eastAsia="宋体" w:hAnsi="Times New Roman" w:cs="Times New Roman"/>
          <w:szCs w:val="21"/>
        </w:rPr>
      </w:pPr>
      <w:r w:rsidRPr="00386439">
        <w:rPr>
          <w:rFonts w:ascii="Times New Roman" w:eastAsia="宋体" w:hAnsi="Times New Roman" w:cs="Times New Roman"/>
          <w:szCs w:val="21"/>
        </w:rPr>
        <w:t>[11] UK Visas and Immigration. Global Talent Visa: Guidance[Z]. London: Home Office, 2022.</w:t>
      </w:r>
    </w:p>
    <w:p w14:paraId="77A1351F" w14:textId="77777777" w:rsidR="00694A27" w:rsidRPr="00386439" w:rsidRDefault="00694A27" w:rsidP="00386439">
      <w:pPr>
        <w:spacing w:line="300" w:lineRule="auto"/>
        <w:ind w:firstLineChars="200" w:firstLine="420"/>
        <w:rPr>
          <w:rFonts w:ascii="Times New Roman" w:eastAsia="宋体" w:hAnsi="Times New Roman" w:cs="Times New Roman"/>
          <w:szCs w:val="21"/>
        </w:rPr>
      </w:pPr>
      <w:r w:rsidRPr="00386439">
        <w:rPr>
          <w:rFonts w:ascii="Times New Roman" w:eastAsia="宋体" w:hAnsi="Times New Roman" w:cs="Times New Roman"/>
          <w:szCs w:val="21"/>
        </w:rPr>
        <w:t xml:space="preserve">[12] </w:t>
      </w:r>
      <w:proofErr w:type="spellStart"/>
      <w:r w:rsidRPr="00386439">
        <w:rPr>
          <w:rFonts w:ascii="Times New Roman" w:eastAsia="宋体" w:hAnsi="Times New Roman" w:cs="Times New Roman"/>
          <w:szCs w:val="21"/>
        </w:rPr>
        <w:t>Statistisches</w:t>
      </w:r>
      <w:proofErr w:type="spellEnd"/>
      <w:r w:rsidRPr="00386439">
        <w:rPr>
          <w:rFonts w:ascii="Times New Roman" w:eastAsia="宋体" w:hAnsi="Times New Roman" w:cs="Times New Roman"/>
          <w:szCs w:val="21"/>
        </w:rPr>
        <w:t xml:space="preserve"> </w:t>
      </w:r>
      <w:proofErr w:type="spellStart"/>
      <w:r w:rsidRPr="00386439">
        <w:rPr>
          <w:rFonts w:ascii="Times New Roman" w:eastAsia="宋体" w:hAnsi="Times New Roman" w:cs="Times New Roman"/>
          <w:szCs w:val="21"/>
        </w:rPr>
        <w:t>Bundesamt</w:t>
      </w:r>
      <w:proofErr w:type="spellEnd"/>
      <w:r w:rsidRPr="00386439">
        <w:rPr>
          <w:rFonts w:ascii="Times New Roman" w:eastAsia="宋体" w:hAnsi="Times New Roman" w:cs="Times New Roman"/>
          <w:szCs w:val="21"/>
        </w:rPr>
        <w:t xml:space="preserve"> (</w:t>
      </w:r>
      <w:proofErr w:type="spellStart"/>
      <w:r w:rsidRPr="00386439">
        <w:rPr>
          <w:rFonts w:ascii="Times New Roman" w:eastAsia="宋体" w:hAnsi="Times New Roman" w:cs="Times New Roman"/>
          <w:szCs w:val="21"/>
        </w:rPr>
        <w:t>Destatis</w:t>
      </w:r>
      <w:proofErr w:type="spellEnd"/>
      <w:r w:rsidRPr="00386439">
        <w:rPr>
          <w:rFonts w:ascii="Times New Roman" w:eastAsia="宋体" w:hAnsi="Times New Roman" w:cs="Times New Roman"/>
          <w:szCs w:val="21"/>
        </w:rPr>
        <w:t xml:space="preserve">). </w:t>
      </w:r>
      <w:proofErr w:type="spellStart"/>
      <w:r w:rsidRPr="00386439">
        <w:rPr>
          <w:rFonts w:ascii="Times New Roman" w:eastAsia="宋体" w:hAnsi="Times New Roman" w:cs="Times New Roman"/>
          <w:szCs w:val="21"/>
        </w:rPr>
        <w:t>Bildung</w:t>
      </w:r>
      <w:proofErr w:type="spellEnd"/>
      <w:r w:rsidRPr="00386439">
        <w:rPr>
          <w:rFonts w:ascii="Times New Roman" w:eastAsia="宋体" w:hAnsi="Times New Roman" w:cs="Times New Roman"/>
          <w:szCs w:val="21"/>
        </w:rPr>
        <w:t xml:space="preserve"> und Kultur: Personal an </w:t>
      </w:r>
      <w:proofErr w:type="spellStart"/>
      <w:r w:rsidRPr="00386439">
        <w:rPr>
          <w:rFonts w:ascii="Times New Roman" w:eastAsia="宋体" w:hAnsi="Times New Roman" w:cs="Times New Roman"/>
          <w:szCs w:val="21"/>
        </w:rPr>
        <w:t>Hochschulen</w:t>
      </w:r>
      <w:proofErr w:type="spellEnd"/>
      <w:r w:rsidRPr="00386439">
        <w:rPr>
          <w:rFonts w:ascii="Times New Roman" w:eastAsia="宋体" w:hAnsi="Times New Roman" w:cs="Times New Roman"/>
          <w:szCs w:val="21"/>
        </w:rPr>
        <w:t xml:space="preserve"> 2022[R]. Wiesbaden: </w:t>
      </w:r>
      <w:proofErr w:type="spellStart"/>
      <w:r w:rsidRPr="00386439">
        <w:rPr>
          <w:rFonts w:ascii="Times New Roman" w:eastAsia="宋体" w:hAnsi="Times New Roman" w:cs="Times New Roman"/>
          <w:szCs w:val="21"/>
        </w:rPr>
        <w:t>Destatis</w:t>
      </w:r>
      <w:proofErr w:type="spellEnd"/>
      <w:r w:rsidRPr="00386439">
        <w:rPr>
          <w:rFonts w:ascii="Times New Roman" w:eastAsia="宋体" w:hAnsi="Times New Roman" w:cs="Times New Roman"/>
          <w:szCs w:val="21"/>
        </w:rPr>
        <w:t>, 2023.</w:t>
      </w:r>
    </w:p>
    <w:p w14:paraId="7E7FE111" w14:textId="77777777" w:rsidR="00694A27" w:rsidRPr="00386439" w:rsidRDefault="00694A27" w:rsidP="00386439">
      <w:pPr>
        <w:spacing w:line="300" w:lineRule="auto"/>
        <w:ind w:firstLineChars="200" w:firstLine="420"/>
        <w:rPr>
          <w:rFonts w:ascii="Times New Roman" w:eastAsia="宋体" w:hAnsi="Times New Roman" w:cs="Times New Roman"/>
          <w:szCs w:val="21"/>
        </w:rPr>
      </w:pPr>
      <w:r w:rsidRPr="00386439">
        <w:rPr>
          <w:rFonts w:ascii="Times New Roman" w:eastAsia="宋体" w:hAnsi="Times New Roman" w:cs="Times New Roman"/>
          <w:szCs w:val="21"/>
        </w:rPr>
        <w:t xml:space="preserve">[13] Ministry of Education, Culture, Sports, Science and Technology Japan. World Premier International Research Center Initiative (WPI) </w:t>
      </w:r>
      <w:proofErr w:type="spellStart"/>
      <w:r w:rsidRPr="00386439">
        <w:rPr>
          <w:rFonts w:ascii="Times New Roman" w:eastAsia="宋体" w:hAnsi="Times New Roman" w:cs="Times New Roman"/>
          <w:szCs w:val="21"/>
        </w:rPr>
        <w:t>Programme</w:t>
      </w:r>
      <w:proofErr w:type="spellEnd"/>
      <w:r w:rsidRPr="00386439">
        <w:rPr>
          <w:rFonts w:ascii="Times New Roman" w:eastAsia="宋体" w:hAnsi="Times New Roman" w:cs="Times New Roman"/>
          <w:szCs w:val="21"/>
        </w:rPr>
        <w:t>[R]. Tokyo: MEXT, 2022.</w:t>
      </w:r>
    </w:p>
    <w:p w14:paraId="0AEA3E4B" w14:textId="77777777" w:rsidR="00694A27" w:rsidRPr="00386439" w:rsidRDefault="00694A27" w:rsidP="00386439">
      <w:pPr>
        <w:spacing w:line="300" w:lineRule="auto"/>
        <w:ind w:firstLineChars="200" w:firstLine="420"/>
        <w:rPr>
          <w:rFonts w:ascii="Times New Roman" w:eastAsia="宋体" w:hAnsi="Times New Roman" w:cs="Times New Roman"/>
          <w:szCs w:val="21"/>
        </w:rPr>
      </w:pPr>
      <w:r w:rsidRPr="00386439">
        <w:rPr>
          <w:rFonts w:ascii="Times New Roman" w:eastAsia="宋体" w:hAnsi="Times New Roman" w:cs="Times New Roman"/>
          <w:szCs w:val="21"/>
        </w:rPr>
        <w:t>[14] Agency for Science, Technology and Research Singapore. A</w:t>
      </w:r>
      <w:r w:rsidRPr="00386439">
        <w:rPr>
          <w:rFonts w:ascii="Times New Roman" w:eastAsia="宋体" w:hAnsi="Times New Roman" w:cs="Times New Roman"/>
          <w:i/>
          <w:iCs/>
          <w:szCs w:val="21"/>
        </w:rPr>
        <w:t>STAR Annual Report 2022/2023[R]. Singapore: A</w:t>
      </w:r>
      <w:r w:rsidRPr="00386439">
        <w:rPr>
          <w:rFonts w:ascii="Times New Roman" w:eastAsia="宋体" w:hAnsi="Times New Roman" w:cs="Times New Roman"/>
          <w:szCs w:val="21"/>
        </w:rPr>
        <w:t>STAR, 2023.</w:t>
      </w:r>
    </w:p>
    <w:p w14:paraId="57647320" w14:textId="77777777" w:rsidR="00694A27" w:rsidRPr="00386439" w:rsidRDefault="00694A27" w:rsidP="00386439">
      <w:pPr>
        <w:spacing w:line="300" w:lineRule="auto"/>
        <w:ind w:firstLineChars="200" w:firstLine="420"/>
        <w:rPr>
          <w:rFonts w:ascii="Times New Roman" w:eastAsia="宋体" w:hAnsi="Times New Roman" w:cs="Times New Roman"/>
          <w:szCs w:val="21"/>
        </w:rPr>
      </w:pPr>
      <w:r w:rsidRPr="00386439">
        <w:rPr>
          <w:rFonts w:ascii="Times New Roman" w:eastAsia="宋体" w:hAnsi="Times New Roman" w:cs="Times New Roman"/>
          <w:szCs w:val="21"/>
        </w:rPr>
        <w:t xml:space="preserve">[15] </w:t>
      </w:r>
      <w:r w:rsidRPr="00386439">
        <w:rPr>
          <w:rFonts w:ascii="Times New Roman" w:eastAsia="宋体" w:hAnsi="Times New Roman" w:cs="Times New Roman"/>
          <w:szCs w:val="21"/>
        </w:rPr>
        <w:t>国家统计局</w:t>
      </w:r>
      <w:r w:rsidRPr="00386439">
        <w:rPr>
          <w:rFonts w:ascii="Times New Roman" w:eastAsia="宋体" w:hAnsi="Times New Roman" w:cs="Times New Roman"/>
          <w:szCs w:val="21"/>
        </w:rPr>
        <w:t xml:space="preserve">, </w:t>
      </w:r>
      <w:r w:rsidRPr="00386439">
        <w:rPr>
          <w:rFonts w:ascii="Times New Roman" w:eastAsia="宋体" w:hAnsi="Times New Roman" w:cs="Times New Roman"/>
          <w:szCs w:val="21"/>
        </w:rPr>
        <w:t>科学技术部</w:t>
      </w:r>
      <w:r w:rsidRPr="00386439">
        <w:rPr>
          <w:rFonts w:ascii="Times New Roman" w:eastAsia="宋体" w:hAnsi="Times New Roman" w:cs="Times New Roman"/>
          <w:szCs w:val="21"/>
        </w:rPr>
        <w:t xml:space="preserve">, </w:t>
      </w:r>
      <w:r w:rsidRPr="00386439">
        <w:rPr>
          <w:rFonts w:ascii="Times New Roman" w:eastAsia="宋体" w:hAnsi="Times New Roman" w:cs="Times New Roman"/>
          <w:szCs w:val="21"/>
        </w:rPr>
        <w:t>财政部</w:t>
      </w:r>
      <w:r w:rsidRPr="00386439">
        <w:rPr>
          <w:rFonts w:ascii="Times New Roman" w:eastAsia="宋体" w:hAnsi="Times New Roman" w:cs="Times New Roman"/>
          <w:szCs w:val="21"/>
        </w:rPr>
        <w:t>. 2022</w:t>
      </w:r>
      <w:r w:rsidRPr="00386439">
        <w:rPr>
          <w:rFonts w:ascii="Times New Roman" w:eastAsia="宋体" w:hAnsi="Times New Roman" w:cs="Times New Roman"/>
          <w:szCs w:val="21"/>
        </w:rPr>
        <w:t>年全国科技经费投入统计公报</w:t>
      </w:r>
      <w:r w:rsidRPr="00386439">
        <w:rPr>
          <w:rFonts w:ascii="Times New Roman" w:eastAsia="宋体" w:hAnsi="Times New Roman" w:cs="Times New Roman"/>
          <w:szCs w:val="21"/>
        </w:rPr>
        <w:t xml:space="preserve">[R]. </w:t>
      </w:r>
      <w:r w:rsidRPr="00386439">
        <w:rPr>
          <w:rFonts w:ascii="Times New Roman" w:eastAsia="宋体" w:hAnsi="Times New Roman" w:cs="Times New Roman"/>
          <w:szCs w:val="21"/>
        </w:rPr>
        <w:t>北京</w:t>
      </w:r>
      <w:r w:rsidRPr="00386439">
        <w:rPr>
          <w:rFonts w:ascii="Times New Roman" w:eastAsia="宋体" w:hAnsi="Times New Roman" w:cs="Times New Roman"/>
          <w:szCs w:val="21"/>
        </w:rPr>
        <w:t xml:space="preserve">: </w:t>
      </w:r>
      <w:r w:rsidRPr="00386439">
        <w:rPr>
          <w:rFonts w:ascii="Times New Roman" w:eastAsia="宋体" w:hAnsi="Times New Roman" w:cs="Times New Roman"/>
          <w:szCs w:val="21"/>
        </w:rPr>
        <w:t>国家统计局</w:t>
      </w:r>
      <w:r w:rsidRPr="00386439">
        <w:rPr>
          <w:rFonts w:ascii="Times New Roman" w:eastAsia="宋体" w:hAnsi="Times New Roman" w:cs="Times New Roman"/>
          <w:szCs w:val="21"/>
        </w:rPr>
        <w:t>, 2023.</w:t>
      </w:r>
    </w:p>
    <w:p w14:paraId="43A16F16" w14:textId="77777777" w:rsidR="00694A27" w:rsidRPr="00386439" w:rsidRDefault="00694A27" w:rsidP="00386439">
      <w:pPr>
        <w:spacing w:line="300" w:lineRule="auto"/>
        <w:ind w:firstLineChars="200" w:firstLine="420"/>
        <w:rPr>
          <w:rFonts w:ascii="Times New Roman" w:eastAsia="宋体" w:hAnsi="Times New Roman" w:cs="Times New Roman"/>
          <w:szCs w:val="21"/>
        </w:rPr>
      </w:pPr>
      <w:r w:rsidRPr="00386439">
        <w:rPr>
          <w:rFonts w:ascii="Times New Roman" w:eastAsia="宋体" w:hAnsi="Times New Roman" w:cs="Times New Roman"/>
          <w:szCs w:val="21"/>
        </w:rPr>
        <w:t xml:space="preserve">[16] </w:t>
      </w:r>
      <w:r w:rsidRPr="00386439">
        <w:rPr>
          <w:rFonts w:ascii="Times New Roman" w:eastAsia="宋体" w:hAnsi="Times New Roman" w:cs="Times New Roman"/>
          <w:szCs w:val="21"/>
        </w:rPr>
        <w:t>赵世奎</w:t>
      </w:r>
      <w:r w:rsidRPr="00386439">
        <w:rPr>
          <w:rFonts w:ascii="Times New Roman" w:eastAsia="宋体" w:hAnsi="Times New Roman" w:cs="Times New Roman"/>
          <w:szCs w:val="21"/>
        </w:rPr>
        <w:t xml:space="preserve">, </w:t>
      </w:r>
      <w:r w:rsidRPr="00386439">
        <w:rPr>
          <w:rFonts w:ascii="Times New Roman" w:eastAsia="宋体" w:hAnsi="Times New Roman" w:cs="Times New Roman"/>
          <w:szCs w:val="21"/>
        </w:rPr>
        <w:t>沈文钦</w:t>
      </w:r>
      <w:r w:rsidRPr="00386439">
        <w:rPr>
          <w:rFonts w:ascii="Times New Roman" w:eastAsia="宋体" w:hAnsi="Times New Roman" w:cs="Times New Roman"/>
          <w:szCs w:val="21"/>
        </w:rPr>
        <w:t xml:space="preserve">. </w:t>
      </w:r>
      <w:r w:rsidRPr="00386439">
        <w:rPr>
          <w:rFonts w:ascii="Times New Roman" w:eastAsia="宋体" w:hAnsi="Times New Roman" w:cs="Times New Roman"/>
          <w:szCs w:val="21"/>
        </w:rPr>
        <w:t>海外高层次人才引进的科研效应研究</w:t>
      </w:r>
      <w:r w:rsidRPr="00386439">
        <w:rPr>
          <w:rFonts w:ascii="Times New Roman" w:eastAsia="宋体" w:hAnsi="Times New Roman" w:cs="Times New Roman"/>
          <w:szCs w:val="21"/>
        </w:rPr>
        <w:t xml:space="preserve">[J]. </w:t>
      </w:r>
      <w:r w:rsidRPr="00386439">
        <w:rPr>
          <w:rFonts w:ascii="Times New Roman" w:eastAsia="宋体" w:hAnsi="Times New Roman" w:cs="Times New Roman"/>
          <w:szCs w:val="21"/>
        </w:rPr>
        <w:t>高等教育研究</w:t>
      </w:r>
      <w:r w:rsidRPr="00386439">
        <w:rPr>
          <w:rFonts w:ascii="Times New Roman" w:eastAsia="宋体" w:hAnsi="Times New Roman" w:cs="Times New Roman"/>
          <w:szCs w:val="21"/>
        </w:rPr>
        <w:t>, 2019, 40(6): 42-51.</w:t>
      </w:r>
    </w:p>
    <w:p w14:paraId="232F7E61" w14:textId="77777777" w:rsidR="00694A27" w:rsidRPr="00386439" w:rsidRDefault="00694A27" w:rsidP="00386439">
      <w:pPr>
        <w:spacing w:line="300" w:lineRule="auto"/>
        <w:ind w:firstLineChars="200" w:firstLine="420"/>
        <w:rPr>
          <w:rFonts w:ascii="Times New Roman" w:eastAsia="宋体" w:hAnsi="Times New Roman" w:cs="Times New Roman"/>
          <w:szCs w:val="21"/>
        </w:rPr>
      </w:pPr>
      <w:r w:rsidRPr="00386439">
        <w:rPr>
          <w:rFonts w:ascii="Times New Roman" w:eastAsia="宋体" w:hAnsi="Times New Roman" w:cs="Times New Roman"/>
          <w:szCs w:val="21"/>
        </w:rPr>
        <w:t xml:space="preserve">[17] </w:t>
      </w:r>
      <w:r w:rsidRPr="00386439">
        <w:rPr>
          <w:rFonts w:ascii="Times New Roman" w:eastAsia="宋体" w:hAnsi="Times New Roman" w:cs="Times New Roman"/>
          <w:szCs w:val="21"/>
        </w:rPr>
        <w:t>习近平</w:t>
      </w:r>
      <w:r w:rsidRPr="00386439">
        <w:rPr>
          <w:rFonts w:ascii="Times New Roman" w:eastAsia="宋体" w:hAnsi="Times New Roman" w:cs="Times New Roman"/>
          <w:szCs w:val="21"/>
        </w:rPr>
        <w:t xml:space="preserve">. </w:t>
      </w:r>
      <w:r w:rsidRPr="00386439">
        <w:rPr>
          <w:rFonts w:ascii="Times New Roman" w:eastAsia="宋体" w:hAnsi="Times New Roman" w:cs="Times New Roman"/>
          <w:szCs w:val="21"/>
        </w:rPr>
        <w:t>高举中国特色社会主义伟大旗帜</w:t>
      </w:r>
      <w:r w:rsidRPr="00386439">
        <w:rPr>
          <w:rFonts w:ascii="Times New Roman" w:eastAsia="宋体" w:hAnsi="Times New Roman" w:cs="Times New Roman"/>
          <w:szCs w:val="21"/>
        </w:rPr>
        <w:t xml:space="preserve"> </w:t>
      </w:r>
      <w:r w:rsidRPr="00386439">
        <w:rPr>
          <w:rFonts w:ascii="Times New Roman" w:eastAsia="宋体" w:hAnsi="Times New Roman" w:cs="Times New Roman"/>
          <w:szCs w:val="21"/>
        </w:rPr>
        <w:t>为全面建设社会主义现代化国家而团结奋斗</w:t>
      </w:r>
      <w:r w:rsidRPr="00386439">
        <w:rPr>
          <w:rFonts w:ascii="Times New Roman" w:eastAsia="宋体" w:hAnsi="Times New Roman" w:cs="Times New Roman"/>
          <w:szCs w:val="21"/>
        </w:rPr>
        <w:t>——</w:t>
      </w:r>
      <w:r w:rsidRPr="00386439">
        <w:rPr>
          <w:rFonts w:ascii="Times New Roman" w:eastAsia="宋体" w:hAnsi="Times New Roman" w:cs="Times New Roman"/>
          <w:szCs w:val="21"/>
        </w:rPr>
        <w:t>在中国共产党第二十次全国代表大会上的报告</w:t>
      </w:r>
      <w:r w:rsidRPr="00386439">
        <w:rPr>
          <w:rFonts w:ascii="Times New Roman" w:eastAsia="宋体" w:hAnsi="Times New Roman" w:cs="Times New Roman"/>
          <w:szCs w:val="21"/>
        </w:rPr>
        <w:t xml:space="preserve">[M]. </w:t>
      </w:r>
      <w:r w:rsidRPr="00386439">
        <w:rPr>
          <w:rFonts w:ascii="Times New Roman" w:eastAsia="宋体" w:hAnsi="Times New Roman" w:cs="Times New Roman"/>
          <w:szCs w:val="21"/>
        </w:rPr>
        <w:t>北京</w:t>
      </w:r>
      <w:r w:rsidRPr="00386439">
        <w:rPr>
          <w:rFonts w:ascii="Times New Roman" w:eastAsia="宋体" w:hAnsi="Times New Roman" w:cs="Times New Roman"/>
          <w:szCs w:val="21"/>
        </w:rPr>
        <w:t xml:space="preserve">: </w:t>
      </w:r>
      <w:r w:rsidRPr="00386439">
        <w:rPr>
          <w:rFonts w:ascii="Times New Roman" w:eastAsia="宋体" w:hAnsi="Times New Roman" w:cs="Times New Roman"/>
          <w:szCs w:val="21"/>
        </w:rPr>
        <w:t>人民出版社</w:t>
      </w:r>
      <w:r w:rsidRPr="00386439">
        <w:rPr>
          <w:rFonts w:ascii="Times New Roman" w:eastAsia="宋体" w:hAnsi="Times New Roman" w:cs="Times New Roman"/>
          <w:szCs w:val="21"/>
        </w:rPr>
        <w:t>, 2022.</w:t>
      </w:r>
    </w:p>
    <w:p w14:paraId="70100B7A" w14:textId="77777777" w:rsidR="00694A27" w:rsidRPr="00386439" w:rsidRDefault="00694A27" w:rsidP="00386439">
      <w:pPr>
        <w:spacing w:line="300" w:lineRule="auto"/>
        <w:ind w:firstLineChars="200" w:firstLine="420"/>
        <w:rPr>
          <w:rFonts w:ascii="Times New Roman" w:eastAsia="宋体" w:hAnsi="Times New Roman" w:cs="Times New Roman"/>
          <w:szCs w:val="21"/>
        </w:rPr>
      </w:pPr>
      <w:r w:rsidRPr="00386439">
        <w:rPr>
          <w:rFonts w:ascii="Times New Roman" w:eastAsia="宋体" w:hAnsi="Times New Roman" w:cs="Times New Roman"/>
          <w:szCs w:val="21"/>
        </w:rPr>
        <w:t xml:space="preserve">[18] </w:t>
      </w:r>
      <w:r w:rsidRPr="00386439">
        <w:rPr>
          <w:rFonts w:ascii="Times New Roman" w:eastAsia="宋体" w:hAnsi="Times New Roman" w:cs="Times New Roman"/>
          <w:szCs w:val="21"/>
        </w:rPr>
        <w:t>中共中央</w:t>
      </w:r>
      <w:r w:rsidRPr="00386439">
        <w:rPr>
          <w:rFonts w:ascii="Times New Roman" w:eastAsia="宋体" w:hAnsi="Times New Roman" w:cs="Times New Roman"/>
          <w:szCs w:val="21"/>
        </w:rPr>
        <w:t xml:space="preserve">, </w:t>
      </w:r>
      <w:r w:rsidRPr="00386439">
        <w:rPr>
          <w:rFonts w:ascii="Times New Roman" w:eastAsia="宋体" w:hAnsi="Times New Roman" w:cs="Times New Roman"/>
          <w:szCs w:val="21"/>
        </w:rPr>
        <w:t>国务院</w:t>
      </w:r>
      <w:r w:rsidRPr="00386439">
        <w:rPr>
          <w:rFonts w:ascii="Times New Roman" w:eastAsia="宋体" w:hAnsi="Times New Roman" w:cs="Times New Roman"/>
          <w:szCs w:val="21"/>
        </w:rPr>
        <w:t xml:space="preserve">. </w:t>
      </w:r>
      <w:r w:rsidRPr="00386439">
        <w:rPr>
          <w:rFonts w:ascii="Times New Roman" w:eastAsia="宋体" w:hAnsi="Times New Roman" w:cs="Times New Roman"/>
          <w:szCs w:val="21"/>
        </w:rPr>
        <w:t>关于加快建设世界重要人才中心和创新高地的意见</w:t>
      </w:r>
      <w:r w:rsidRPr="00386439">
        <w:rPr>
          <w:rFonts w:ascii="Times New Roman" w:eastAsia="宋体" w:hAnsi="Times New Roman" w:cs="Times New Roman"/>
          <w:szCs w:val="21"/>
        </w:rPr>
        <w:t>[Z]. 2021-09-27.</w:t>
      </w:r>
    </w:p>
    <w:p w14:paraId="32954906" w14:textId="77777777" w:rsidR="00694A27" w:rsidRPr="00386439" w:rsidRDefault="00694A27" w:rsidP="00386439">
      <w:pPr>
        <w:spacing w:line="300" w:lineRule="auto"/>
        <w:ind w:firstLineChars="200" w:firstLine="420"/>
        <w:rPr>
          <w:rFonts w:ascii="Times New Roman" w:eastAsia="宋体" w:hAnsi="Times New Roman" w:cs="Times New Roman"/>
          <w:szCs w:val="21"/>
        </w:rPr>
      </w:pPr>
      <w:r w:rsidRPr="00386439">
        <w:rPr>
          <w:rFonts w:ascii="Times New Roman" w:eastAsia="宋体" w:hAnsi="Times New Roman" w:cs="Times New Roman"/>
          <w:szCs w:val="21"/>
        </w:rPr>
        <w:t xml:space="preserve">[19] </w:t>
      </w:r>
      <w:r w:rsidRPr="00386439">
        <w:rPr>
          <w:rFonts w:ascii="Times New Roman" w:eastAsia="宋体" w:hAnsi="Times New Roman" w:cs="Times New Roman"/>
          <w:szCs w:val="21"/>
        </w:rPr>
        <w:t>教育部发展规划司</w:t>
      </w:r>
      <w:r w:rsidRPr="00386439">
        <w:rPr>
          <w:rFonts w:ascii="Times New Roman" w:eastAsia="宋体" w:hAnsi="Times New Roman" w:cs="Times New Roman"/>
          <w:szCs w:val="21"/>
        </w:rPr>
        <w:t>. 2022</w:t>
      </w:r>
      <w:r w:rsidRPr="00386439">
        <w:rPr>
          <w:rFonts w:ascii="Times New Roman" w:eastAsia="宋体" w:hAnsi="Times New Roman" w:cs="Times New Roman"/>
          <w:szCs w:val="21"/>
        </w:rPr>
        <w:t>年全国教育事业发展统计公报</w:t>
      </w:r>
      <w:r w:rsidRPr="00386439">
        <w:rPr>
          <w:rFonts w:ascii="Times New Roman" w:eastAsia="宋体" w:hAnsi="Times New Roman" w:cs="Times New Roman"/>
          <w:szCs w:val="21"/>
        </w:rPr>
        <w:t xml:space="preserve">[R]. </w:t>
      </w:r>
      <w:r w:rsidRPr="00386439">
        <w:rPr>
          <w:rFonts w:ascii="Times New Roman" w:eastAsia="宋体" w:hAnsi="Times New Roman" w:cs="Times New Roman"/>
          <w:szCs w:val="21"/>
        </w:rPr>
        <w:t>北京</w:t>
      </w:r>
      <w:r w:rsidRPr="00386439">
        <w:rPr>
          <w:rFonts w:ascii="Times New Roman" w:eastAsia="宋体" w:hAnsi="Times New Roman" w:cs="Times New Roman"/>
          <w:szCs w:val="21"/>
        </w:rPr>
        <w:t xml:space="preserve">: </w:t>
      </w:r>
      <w:r w:rsidRPr="00386439">
        <w:rPr>
          <w:rFonts w:ascii="Times New Roman" w:eastAsia="宋体" w:hAnsi="Times New Roman" w:cs="Times New Roman"/>
          <w:szCs w:val="21"/>
        </w:rPr>
        <w:t>教育部</w:t>
      </w:r>
      <w:r w:rsidRPr="00386439">
        <w:rPr>
          <w:rFonts w:ascii="Times New Roman" w:eastAsia="宋体" w:hAnsi="Times New Roman" w:cs="Times New Roman"/>
          <w:szCs w:val="21"/>
        </w:rPr>
        <w:t>, 2023.</w:t>
      </w:r>
    </w:p>
    <w:p w14:paraId="241F2ED8" w14:textId="77777777" w:rsidR="00694A27" w:rsidRPr="00386439" w:rsidRDefault="00694A27" w:rsidP="00386439">
      <w:pPr>
        <w:spacing w:line="300" w:lineRule="auto"/>
        <w:ind w:firstLineChars="200" w:firstLine="420"/>
        <w:rPr>
          <w:rFonts w:ascii="Times New Roman" w:eastAsia="宋体" w:hAnsi="Times New Roman" w:cs="Times New Roman"/>
          <w:szCs w:val="21"/>
        </w:rPr>
      </w:pPr>
      <w:r w:rsidRPr="00386439">
        <w:rPr>
          <w:rFonts w:ascii="Times New Roman" w:eastAsia="宋体" w:hAnsi="Times New Roman" w:cs="Times New Roman"/>
          <w:szCs w:val="21"/>
        </w:rPr>
        <w:t xml:space="preserve">[20] </w:t>
      </w:r>
      <w:proofErr w:type="spellStart"/>
      <w:r w:rsidRPr="00386439">
        <w:rPr>
          <w:rFonts w:ascii="Times New Roman" w:eastAsia="宋体" w:hAnsi="Times New Roman" w:cs="Times New Roman"/>
          <w:szCs w:val="21"/>
        </w:rPr>
        <w:t>Solimano</w:t>
      </w:r>
      <w:proofErr w:type="spellEnd"/>
      <w:r w:rsidRPr="00386439">
        <w:rPr>
          <w:rFonts w:ascii="Times New Roman" w:eastAsia="宋体" w:hAnsi="Times New Roman" w:cs="Times New Roman"/>
          <w:szCs w:val="21"/>
        </w:rPr>
        <w:t xml:space="preserve"> A. International Migration in the Age of Crisis and Globalization[M]. Cambridge: Cambridge University Press, 2010.</w:t>
      </w:r>
    </w:p>
    <w:p w14:paraId="5B54C8C4" w14:textId="77777777" w:rsidR="00694A27" w:rsidRPr="00386439" w:rsidRDefault="00694A27" w:rsidP="00386439">
      <w:pPr>
        <w:spacing w:line="300" w:lineRule="auto"/>
        <w:ind w:firstLineChars="200" w:firstLine="420"/>
        <w:rPr>
          <w:rFonts w:ascii="Times New Roman" w:eastAsia="宋体" w:hAnsi="Times New Roman" w:cs="Times New Roman"/>
          <w:szCs w:val="21"/>
        </w:rPr>
      </w:pPr>
      <w:r w:rsidRPr="00386439">
        <w:rPr>
          <w:rFonts w:ascii="Times New Roman" w:eastAsia="宋体" w:hAnsi="Times New Roman" w:cs="Times New Roman"/>
          <w:szCs w:val="21"/>
        </w:rPr>
        <w:t>[21] Price D J de S. Little Science, Big Science[M]. New York: Columbia University Press, 1963.</w:t>
      </w:r>
    </w:p>
    <w:p w14:paraId="5EA6FF29" w14:textId="77777777" w:rsidR="00694A27" w:rsidRPr="00386439" w:rsidRDefault="00694A27" w:rsidP="00386439">
      <w:pPr>
        <w:spacing w:line="300" w:lineRule="auto"/>
        <w:ind w:firstLineChars="200" w:firstLine="420"/>
        <w:rPr>
          <w:rFonts w:ascii="Times New Roman" w:eastAsia="宋体" w:hAnsi="Times New Roman" w:cs="Times New Roman"/>
          <w:szCs w:val="21"/>
        </w:rPr>
      </w:pPr>
      <w:r w:rsidRPr="00386439">
        <w:rPr>
          <w:rFonts w:ascii="Times New Roman" w:eastAsia="宋体" w:hAnsi="Times New Roman" w:cs="Times New Roman"/>
          <w:szCs w:val="21"/>
        </w:rPr>
        <w:t xml:space="preserve">[22] OECD. Talent Attractiveness: Identifying Opportunities to Strengthen the Offer for </w:t>
      </w:r>
      <w:r w:rsidRPr="00386439">
        <w:rPr>
          <w:rFonts w:ascii="Times New Roman" w:eastAsia="宋体" w:hAnsi="Times New Roman" w:cs="Times New Roman"/>
          <w:szCs w:val="21"/>
        </w:rPr>
        <w:lastRenderedPageBreak/>
        <w:t>Internationally Mobile Talent[R]. Paris: OECD Publishing, 2021.</w:t>
      </w:r>
    </w:p>
    <w:p w14:paraId="6B35E6F0" w14:textId="77777777" w:rsidR="00DA290B" w:rsidRPr="00386439" w:rsidRDefault="00DA290B" w:rsidP="00386439">
      <w:pPr>
        <w:spacing w:line="300" w:lineRule="auto"/>
        <w:ind w:firstLineChars="200" w:firstLine="420"/>
        <w:rPr>
          <w:rFonts w:ascii="Times New Roman" w:eastAsia="宋体" w:hAnsi="Times New Roman" w:cs="Times New Roman"/>
          <w:szCs w:val="21"/>
        </w:rPr>
      </w:pPr>
    </w:p>
    <w:sectPr w:rsidR="00DA290B" w:rsidRPr="00386439">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6694FD" w14:textId="77777777" w:rsidR="002078B7" w:rsidRDefault="002078B7" w:rsidP="00694A27">
      <w:r>
        <w:separator/>
      </w:r>
    </w:p>
  </w:endnote>
  <w:endnote w:type="continuationSeparator" w:id="0">
    <w:p w14:paraId="2AA8136C" w14:textId="77777777" w:rsidR="002078B7" w:rsidRDefault="002078B7" w:rsidP="00694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36097523"/>
      <w:docPartObj>
        <w:docPartGallery w:val="Page Numbers (Bottom of Page)"/>
        <w:docPartUnique/>
      </w:docPartObj>
    </w:sdtPr>
    <w:sdtEndPr/>
    <w:sdtContent>
      <w:p w14:paraId="29E0529E" w14:textId="0C6EC119" w:rsidR="00386439" w:rsidRDefault="00386439">
        <w:pPr>
          <w:pStyle w:val="a5"/>
          <w:jc w:val="center"/>
        </w:pPr>
        <w:r>
          <w:fldChar w:fldCharType="begin"/>
        </w:r>
        <w:r>
          <w:instrText>PAGE   \* MERGEFORMAT</w:instrText>
        </w:r>
        <w:r>
          <w:fldChar w:fldCharType="separate"/>
        </w:r>
        <w:r>
          <w:rPr>
            <w:lang w:val="zh-CN"/>
          </w:rPr>
          <w:t>2</w:t>
        </w:r>
        <w:r>
          <w:fldChar w:fldCharType="end"/>
        </w:r>
      </w:p>
    </w:sdtContent>
  </w:sdt>
  <w:p w14:paraId="5A8248DE" w14:textId="77777777" w:rsidR="00386439" w:rsidRDefault="0038643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B35165" w14:textId="77777777" w:rsidR="002078B7" w:rsidRDefault="002078B7" w:rsidP="00694A27">
      <w:r>
        <w:separator/>
      </w:r>
    </w:p>
  </w:footnote>
  <w:footnote w:type="continuationSeparator" w:id="0">
    <w:p w14:paraId="59D551DF" w14:textId="77777777" w:rsidR="002078B7" w:rsidRDefault="002078B7" w:rsidP="00694A2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E7B"/>
    <w:rsid w:val="000115A5"/>
    <w:rsid w:val="000123E6"/>
    <w:rsid w:val="000250A3"/>
    <w:rsid w:val="00036F72"/>
    <w:rsid w:val="000548AA"/>
    <w:rsid w:val="000775B0"/>
    <w:rsid w:val="00081806"/>
    <w:rsid w:val="0009203F"/>
    <w:rsid w:val="00094B56"/>
    <w:rsid w:val="000A2D5F"/>
    <w:rsid w:val="000A4782"/>
    <w:rsid w:val="000D14F3"/>
    <w:rsid w:val="000E1DEF"/>
    <w:rsid w:val="000E20C6"/>
    <w:rsid w:val="000E3164"/>
    <w:rsid w:val="000E6C38"/>
    <w:rsid w:val="000F060F"/>
    <w:rsid w:val="00100B92"/>
    <w:rsid w:val="00120915"/>
    <w:rsid w:val="001209D6"/>
    <w:rsid w:val="0012750D"/>
    <w:rsid w:val="00144B80"/>
    <w:rsid w:val="00147A9E"/>
    <w:rsid w:val="001535BA"/>
    <w:rsid w:val="001623F0"/>
    <w:rsid w:val="00180C9A"/>
    <w:rsid w:val="001A74F3"/>
    <w:rsid w:val="001B0CE7"/>
    <w:rsid w:val="001D2D45"/>
    <w:rsid w:val="001D52E5"/>
    <w:rsid w:val="001D77D3"/>
    <w:rsid w:val="001E7C78"/>
    <w:rsid w:val="001F0A12"/>
    <w:rsid w:val="0020017C"/>
    <w:rsid w:val="0020405A"/>
    <w:rsid w:val="002078B7"/>
    <w:rsid w:val="002114EC"/>
    <w:rsid w:val="002135E9"/>
    <w:rsid w:val="00217C72"/>
    <w:rsid w:val="00241579"/>
    <w:rsid w:val="00246D96"/>
    <w:rsid w:val="00252A86"/>
    <w:rsid w:val="0025798A"/>
    <w:rsid w:val="00260A59"/>
    <w:rsid w:val="00264454"/>
    <w:rsid w:val="00285E6C"/>
    <w:rsid w:val="00287BB7"/>
    <w:rsid w:val="002904DD"/>
    <w:rsid w:val="002928DF"/>
    <w:rsid w:val="002A0178"/>
    <w:rsid w:val="002B52D5"/>
    <w:rsid w:val="002D37C1"/>
    <w:rsid w:val="002D3C70"/>
    <w:rsid w:val="002D539B"/>
    <w:rsid w:val="002D7AE8"/>
    <w:rsid w:val="002E35DB"/>
    <w:rsid w:val="002F6531"/>
    <w:rsid w:val="0031050B"/>
    <w:rsid w:val="003223F6"/>
    <w:rsid w:val="00324EFA"/>
    <w:rsid w:val="00326097"/>
    <w:rsid w:val="0033653B"/>
    <w:rsid w:val="00356282"/>
    <w:rsid w:val="0035678D"/>
    <w:rsid w:val="00366A20"/>
    <w:rsid w:val="00370A70"/>
    <w:rsid w:val="0038102D"/>
    <w:rsid w:val="0038318F"/>
    <w:rsid w:val="00386439"/>
    <w:rsid w:val="00393516"/>
    <w:rsid w:val="00393FF1"/>
    <w:rsid w:val="003E2B38"/>
    <w:rsid w:val="003F015C"/>
    <w:rsid w:val="003F342B"/>
    <w:rsid w:val="00401FC7"/>
    <w:rsid w:val="004059D0"/>
    <w:rsid w:val="00405C51"/>
    <w:rsid w:val="00426AC7"/>
    <w:rsid w:val="00437415"/>
    <w:rsid w:val="00437A8E"/>
    <w:rsid w:val="00437EF7"/>
    <w:rsid w:val="00447A23"/>
    <w:rsid w:val="00463160"/>
    <w:rsid w:val="00466AE4"/>
    <w:rsid w:val="00485202"/>
    <w:rsid w:val="004913B2"/>
    <w:rsid w:val="004A455D"/>
    <w:rsid w:val="004B3518"/>
    <w:rsid w:val="004B476D"/>
    <w:rsid w:val="004D169C"/>
    <w:rsid w:val="004D303D"/>
    <w:rsid w:val="004D431B"/>
    <w:rsid w:val="004E45CC"/>
    <w:rsid w:val="004E4AD3"/>
    <w:rsid w:val="004F3DCB"/>
    <w:rsid w:val="004F6B65"/>
    <w:rsid w:val="00514F91"/>
    <w:rsid w:val="0052678E"/>
    <w:rsid w:val="005427F2"/>
    <w:rsid w:val="0055227C"/>
    <w:rsid w:val="005614D5"/>
    <w:rsid w:val="00591E0D"/>
    <w:rsid w:val="005A0CCC"/>
    <w:rsid w:val="005A473C"/>
    <w:rsid w:val="005A765D"/>
    <w:rsid w:val="005D1EB2"/>
    <w:rsid w:val="005F41C3"/>
    <w:rsid w:val="00606054"/>
    <w:rsid w:val="006120D1"/>
    <w:rsid w:val="00614282"/>
    <w:rsid w:val="00616A27"/>
    <w:rsid w:val="00631457"/>
    <w:rsid w:val="006370E1"/>
    <w:rsid w:val="00644F48"/>
    <w:rsid w:val="00652DB0"/>
    <w:rsid w:val="006613CB"/>
    <w:rsid w:val="00666FE5"/>
    <w:rsid w:val="00681F4D"/>
    <w:rsid w:val="006824F6"/>
    <w:rsid w:val="00686E86"/>
    <w:rsid w:val="00686F36"/>
    <w:rsid w:val="00694A27"/>
    <w:rsid w:val="006A5FCC"/>
    <w:rsid w:val="006B340B"/>
    <w:rsid w:val="006E2C22"/>
    <w:rsid w:val="006E7DB3"/>
    <w:rsid w:val="006F21DC"/>
    <w:rsid w:val="0070030F"/>
    <w:rsid w:val="00701630"/>
    <w:rsid w:val="00703A67"/>
    <w:rsid w:val="0071083E"/>
    <w:rsid w:val="00725EF4"/>
    <w:rsid w:val="0074092C"/>
    <w:rsid w:val="0075004C"/>
    <w:rsid w:val="00756BAB"/>
    <w:rsid w:val="007630C7"/>
    <w:rsid w:val="00782C2D"/>
    <w:rsid w:val="00794843"/>
    <w:rsid w:val="00795A35"/>
    <w:rsid w:val="007A0D4A"/>
    <w:rsid w:val="007A21DB"/>
    <w:rsid w:val="007B430C"/>
    <w:rsid w:val="007C4510"/>
    <w:rsid w:val="007C5878"/>
    <w:rsid w:val="007C5CC4"/>
    <w:rsid w:val="007E0929"/>
    <w:rsid w:val="007E283F"/>
    <w:rsid w:val="00806253"/>
    <w:rsid w:val="00806B34"/>
    <w:rsid w:val="00816E49"/>
    <w:rsid w:val="00823003"/>
    <w:rsid w:val="00830389"/>
    <w:rsid w:val="00831526"/>
    <w:rsid w:val="00833C01"/>
    <w:rsid w:val="00835596"/>
    <w:rsid w:val="008420B3"/>
    <w:rsid w:val="0084576A"/>
    <w:rsid w:val="00845C92"/>
    <w:rsid w:val="0088089B"/>
    <w:rsid w:val="008910BE"/>
    <w:rsid w:val="008B314D"/>
    <w:rsid w:val="008B4365"/>
    <w:rsid w:val="008C4B53"/>
    <w:rsid w:val="008D07EE"/>
    <w:rsid w:val="008E54C8"/>
    <w:rsid w:val="008E5B88"/>
    <w:rsid w:val="008F623A"/>
    <w:rsid w:val="00917C2F"/>
    <w:rsid w:val="00924FFA"/>
    <w:rsid w:val="00927C33"/>
    <w:rsid w:val="00931253"/>
    <w:rsid w:val="00933E8A"/>
    <w:rsid w:val="0093710F"/>
    <w:rsid w:val="00937D58"/>
    <w:rsid w:val="0094725C"/>
    <w:rsid w:val="009521A8"/>
    <w:rsid w:val="009545DA"/>
    <w:rsid w:val="009546BA"/>
    <w:rsid w:val="009744E7"/>
    <w:rsid w:val="00977665"/>
    <w:rsid w:val="00983E31"/>
    <w:rsid w:val="00993EE4"/>
    <w:rsid w:val="009A1293"/>
    <w:rsid w:val="009A20D5"/>
    <w:rsid w:val="009B3CC0"/>
    <w:rsid w:val="009B779A"/>
    <w:rsid w:val="009C1E06"/>
    <w:rsid w:val="009C2C55"/>
    <w:rsid w:val="009C6ED2"/>
    <w:rsid w:val="009D1F76"/>
    <w:rsid w:val="009D33DA"/>
    <w:rsid w:val="009E2988"/>
    <w:rsid w:val="009F02E1"/>
    <w:rsid w:val="009F2AC2"/>
    <w:rsid w:val="009F7B24"/>
    <w:rsid w:val="00A04CF2"/>
    <w:rsid w:val="00A073F4"/>
    <w:rsid w:val="00A10D1A"/>
    <w:rsid w:val="00A1464B"/>
    <w:rsid w:val="00A150CD"/>
    <w:rsid w:val="00A17640"/>
    <w:rsid w:val="00A2455C"/>
    <w:rsid w:val="00A334A2"/>
    <w:rsid w:val="00A37E97"/>
    <w:rsid w:val="00A4413F"/>
    <w:rsid w:val="00A44CDA"/>
    <w:rsid w:val="00A52E4C"/>
    <w:rsid w:val="00A54767"/>
    <w:rsid w:val="00A61FF6"/>
    <w:rsid w:val="00A62C25"/>
    <w:rsid w:val="00A67129"/>
    <w:rsid w:val="00A7030D"/>
    <w:rsid w:val="00A7044C"/>
    <w:rsid w:val="00A767A5"/>
    <w:rsid w:val="00A76F96"/>
    <w:rsid w:val="00A92E09"/>
    <w:rsid w:val="00AB1776"/>
    <w:rsid w:val="00AD682A"/>
    <w:rsid w:val="00B006AF"/>
    <w:rsid w:val="00B014B6"/>
    <w:rsid w:val="00B1035A"/>
    <w:rsid w:val="00B11615"/>
    <w:rsid w:val="00B21EFB"/>
    <w:rsid w:val="00B32D49"/>
    <w:rsid w:val="00B35D4E"/>
    <w:rsid w:val="00B36CB2"/>
    <w:rsid w:val="00B66C36"/>
    <w:rsid w:val="00B73E09"/>
    <w:rsid w:val="00B762B6"/>
    <w:rsid w:val="00B76A3B"/>
    <w:rsid w:val="00B811D6"/>
    <w:rsid w:val="00B83AF3"/>
    <w:rsid w:val="00BA5C3A"/>
    <w:rsid w:val="00BB0A88"/>
    <w:rsid w:val="00BB1E58"/>
    <w:rsid w:val="00BC377C"/>
    <w:rsid w:val="00BC484C"/>
    <w:rsid w:val="00BE3599"/>
    <w:rsid w:val="00BE48ED"/>
    <w:rsid w:val="00BF1582"/>
    <w:rsid w:val="00BF1E31"/>
    <w:rsid w:val="00C02742"/>
    <w:rsid w:val="00C10235"/>
    <w:rsid w:val="00C1473B"/>
    <w:rsid w:val="00C231F3"/>
    <w:rsid w:val="00C300FE"/>
    <w:rsid w:val="00C437D9"/>
    <w:rsid w:val="00C44435"/>
    <w:rsid w:val="00C458E2"/>
    <w:rsid w:val="00C46887"/>
    <w:rsid w:val="00C928CE"/>
    <w:rsid w:val="00C93BD2"/>
    <w:rsid w:val="00CB0A67"/>
    <w:rsid w:val="00CC25F4"/>
    <w:rsid w:val="00CC44B0"/>
    <w:rsid w:val="00CD7F5A"/>
    <w:rsid w:val="00CE6B87"/>
    <w:rsid w:val="00CF5DBB"/>
    <w:rsid w:val="00D31951"/>
    <w:rsid w:val="00D31B37"/>
    <w:rsid w:val="00D45DAC"/>
    <w:rsid w:val="00D50619"/>
    <w:rsid w:val="00D514DE"/>
    <w:rsid w:val="00D55FD2"/>
    <w:rsid w:val="00D63F71"/>
    <w:rsid w:val="00D755C5"/>
    <w:rsid w:val="00D76D4D"/>
    <w:rsid w:val="00D8070A"/>
    <w:rsid w:val="00D83F38"/>
    <w:rsid w:val="00D9283F"/>
    <w:rsid w:val="00D9414C"/>
    <w:rsid w:val="00D9780C"/>
    <w:rsid w:val="00DA290B"/>
    <w:rsid w:val="00DA4D8B"/>
    <w:rsid w:val="00DB798E"/>
    <w:rsid w:val="00DC56DB"/>
    <w:rsid w:val="00DD0FD8"/>
    <w:rsid w:val="00DD1961"/>
    <w:rsid w:val="00DE2428"/>
    <w:rsid w:val="00DF1786"/>
    <w:rsid w:val="00DF5190"/>
    <w:rsid w:val="00E02D38"/>
    <w:rsid w:val="00E15DB6"/>
    <w:rsid w:val="00E529F3"/>
    <w:rsid w:val="00E6483A"/>
    <w:rsid w:val="00E745C2"/>
    <w:rsid w:val="00E81527"/>
    <w:rsid w:val="00E94E7B"/>
    <w:rsid w:val="00E9740A"/>
    <w:rsid w:val="00E97FA3"/>
    <w:rsid w:val="00EA1494"/>
    <w:rsid w:val="00ED42F3"/>
    <w:rsid w:val="00EE143D"/>
    <w:rsid w:val="00EE4594"/>
    <w:rsid w:val="00EE638B"/>
    <w:rsid w:val="00EF0151"/>
    <w:rsid w:val="00EF0AB1"/>
    <w:rsid w:val="00EF40E2"/>
    <w:rsid w:val="00F073B6"/>
    <w:rsid w:val="00F14461"/>
    <w:rsid w:val="00F1560F"/>
    <w:rsid w:val="00F413AC"/>
    <w:rsid w:val="00F532AC"/>
    <w:rsid w:val="00F55588"/>
    <w:rsid w:val="00F63064"/>
    <w:rsid w:val="00F6456C"/>
    <w:rsid w:val="00F72A56"/>
    <w:rsid w:val="00F82570"/>
    <w:rsid w:val="00F84BCD"/>
    <w:rsid w:val="00F90CA2"/>
    <w:rsid w:val="00FB03B9"/>
    <w:rsid w:val="00FC40D5"/>
    <w:rsid w:val="00FD7FCD"/>
    <w:rsid w:val="00FF2BBD"/>
    <w:rsid w:val="00FF39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B3DC47"/>
  <w15:chartTrackingRefBased/>
  <w15:docId w15:val="{B16ABAEE-4F62-4F63-A993-856F89FC2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94A2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94A27"/>
    <w:rPr>
      <w:sz w:val="18"/>
      <w:szCs w:val="18"/>
    </w:rPr>
  </w:style>
  <w:style w:type="paragraph" w:styleId="a5">
    <w:name w:val="footer"/>
    <w:basedOn w:val="a"/>
    <w:link w:val="a6"/>
    <w:uiPriority w:val="99"/>
    <w:unhideWhenUsed/>
    <w:rsid w:val="00694A27"/>
    <w:pPr>
      <w:tabs>
        <w:tab w:val="center" w:pos="4153"/>
        <w:tab w:val="right" w:pos="8306"/>
      </w:tabs>
      <w:snapToGrid w:val="0"/>
      <w:jc w:val="left"/>
    </w:pPr>
    <w:rPr>
      <w:sz w:val="18"/>
      <w:szCs w:val="18"/>
    </w:rPr>
  </w:style>
  <w:style w:type="character" w:customStyle="1" w:styleId="a6">
    <w:name w:val="页脚 字符"/>
    <w:basedOn w:val="a0"/>
    <w:link w:val="a5"/>
    <w:uiPriority w:val="99"/>
    <w:rsid w:val="00694A27"/>
    <w:rPr>
      <w:sz w:val="18"/>
      <w:szCs w:val="18"/>
    </w:rPr>
  </w:style>
  <w:style w:type="character" w:styleId="a7">
    <w:name w:val="Hyperlink"/>
    <w:basedOn w:val="a0"/>
    <w:uiPriority w:val="99"/>
    <w:unhideWhenUsed/>
    <w:rsid w:val="00260A59"/>
    <w:rPr>
      <w:color w:val="0563C1" w:themeColor="hyperlink"/>
      <w:u w:val="single"/>
    </w:rPr>
  </w:style>
  <w:style w:type="character" w:styleId="a8">
    <w:name w:val="Unresolved Mention"/>
    <w:basedOn w:val="a0"/>
    <w:uiPriority w:val="99"/>
    <w:semiHidden/>
    <w:unhideWhenUsed/>
    <w:rsid w:val="00260A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4550837">
      <w:bodyDiv w:val="1"/>
      <w:marLeft w:val="0"/>
      <w:marRight w:val="0"/>
      <w:marTop w:val="0"/>
      <w:marBottom w:val="0"/>
      <w:divBdr>
        <w:top w:val="none" w:sz="0" w:space="0" w:color="auto"/>
        <w:left w:val="none" w:sz="0" w:space="0" w:color="auto"/>
        <w:bottom w:val="none" w:sz="0" w:space="0" w:color="auto"/>
        <w:right w:val="none" w:sz="0" w:space="0" w:color="auto"/>
      </w:divBdr>
    </w:div>
    <w:div w:id="1587953819">
      <w:bodyDiv w:val="1"/>
      <w:marLeft w:val="0"/>
      <w:marRight w:val="0"/>
      <w:marTop w:val="0"/>
      <w:marBottom w:val="0"/>
      <w:divBdr>
        <w:top w:val="none" w:sz="0" w:space="0" w:color="auto"/>
        <w:left w:val="none" w:sz="0" w:space="0" w:color="auto"/>
        <w:bottom w:val="none" w:sz="0" w:space="0" w:color="auto"/>
        <w:right w:val="none" w:sz="0" w:space="0" w:color="auto"/>
      </w:divBdr>
    </w:div>
    <w:div w:id="1654942454">
      <w:bodyDiv w:val="1"/>
      <w:marLeft w:val="0"/>
      <w:marRight w:val="0"/>
      <w:marTop w:val="0"/>
      <w:marBottom w:val="0"/>
      <w:divBdr>
        <w:top w:val="none" w:sz="0" w:space="0" w:color="auto"/>
        <w:left w:val="none" w:sz="0" w:space="0" w:color="auto"/>
        <w:bottom w:val="none" w:sz="0" w:space="0" w:color="auto"/>
        <w:right w:val="none" w:sz="0" w:space="0" w:color="auto"/>
      </w:divBdr>
    </w:div>
    <w:div w:id="1787233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aiindex.stanford.edu/wp-content/uploads/2024/04/HAI_AI-Index-Report-2024_Chapter6-1.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iindex.stanford.edu/wp-content/uploads/2022/03/2022-AI-Index-Report_Master.pdf"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7</Pages>
  <Words>1382</Words>
  <Characters>7879</Characters>
  <Application>Microsoft Office Word</Application>
  <DocSecurity>0</DocSecurity>
  <Lines>65</Lines>
  <Paragraphs>18</Paragraphs>
  <ScaleCrop>false</ScaleCrop>
  <Company/>
  <LinksUpToDate>false</LinksUpToDate>
  <CharactersWithSpaces>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LC.W</dc:creator>
  <cp:keywords/>
  <dc:description/>
  <cp:lastModifiedBy>LC.W</cp:lastModifiedBy>
  <cp:revision>4</cp:revision>
  <dcterms:created xsi:type="dcterms:W3CDTF">2026-03-07T03:06:00Z</dcterms:created>
  <dcterms:modified xsi:type="dcterms:W3CDTF">2026-03-08T14:09:00Z</dcterms:modified>
</cp:coreProperties>
</file>